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DF71" w14:textId="493E913D" w:rsidR="003D3D34" w:rsidRDefault="00780465" w:rsidP="00780465">
      <w:pPr>
        <w:pStyle w:val="Nzev"/>
      </w:pPr>
      <w:r w:rsidRPr="00780465">
        <w:t>Semestrální práce: Matematický software (KI/MSW)</w:t>
      </w:r>
    </w:p>
    <w:p w14:paraId="43228641" w14:textId="1704FD20" w:rsidR="00780465" w:rsidRDefault="00780465" w:rsidP="00780465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780465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 xml:space="preserve">Shrnutí výsledků a </w:t>
      </w:r>
      <w:r w:rsidR="000D6CDC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výklad</w:t>
      </w:r>
      <w:r w:rsidRPr="00780465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 xml:space="preserve"> matematických modelů</w:t>
      </w:r>
    </w:p>
    <w:p w14:paraId="70654812" w14:textId="3A651457" w:rsidR="00780465" w:rsidRDefault="00780465" w:rsidP="00780465">
      <w:pPr>
        <w:spacing w:after="0"/>
      </w:pPr>
      <w:r w:rsidRPr="00780465">
        <w:rPr>
          <w:b/>
          <w:bCs/>
        </w:rPr>
        <w:t>Autor:</w:t>
      </w:r>
      <w:r>
        <w:t xml:space="preserve"> Klára Kučerová</w:t>
      </w:r>
    </w:p>
    <w:p w14:paraId="2D61343B" w14:textId="31BAE520" w:rsidR="00780465" w:rsidRDefault="00780465" w:rsidP="00780465">
      <w:pPr>
        <w:spacing w:after="0"/>
      </w:pPr>
      <w:r w:rsidRPr="00780465">
        <w:rPr>
          <w:b/>
          <w:bCs/>
        </w:rPr>
        <w:t>Rok:</w:t>
      </w:r>
      <w:r>
        <w:t xml:space="preserve"> 2026</w:t>
      </w:r>
    </w:p>
    <w:p w14:paraId="6D95AA46" w14:textId="45B7EEB2" w:rsidR="00780465" w:rsidRPr="00CB6837" w:rsidRDefault="00780465" w:rsidP="00780465">
      <w:r w:rsidRPr="00780465">
        <w:rPr>
          <w:b/>
          <w:bCs/>
        </w:rPr>
        <w:t xml:space="preserve">Odkaz na </w:t>
      </w:r>
      <w:proofErr w:type="spellStart"/>
      <w:r w:rsidRPr="00780465">
        <w:rPr>
          <w:b/>
          <w:bCs/>
        </w:rPr>
        <w:t>Jupyter</w:t>
      </w:r>
      <w:proofErr w:type="spellEnd"/>
      <w:r w:rsidRPr="00780465">
        <w:rPr>
          <w:b/>
          <w:bCs/>
        </w:rPr>
        <w:t xml:space="preserve"> Notebook:</w:t>
      </w:r>
      <w:r w:rsidR="0013269F">
        <w:rPr>
          <w:b/>
          <w:bCs/>
        </w:rPr>
        <w:t xml:space="preserve"> </w:t>
      </w:r>
      <w:hyperlink r:id="rId8" w:history="1">
        <w:r w:rsidR="00CB6837" w:rsidRPr="00CB6837">
          <w:rPr>
            <w:rStyle w:val="Hypertextovodkaz"/>
          </w:rPr>
          <w:t>https://github.com</w:t>
        </w:r>
        <w:r w:rsidR="00CB6837" w:rsidRPr="00CB6837">
          <w:rPr>
            <w:rStyle w:val="Hypertextovodkaz"/>
          </w:rPr>
          <w:t>/</w:t>
        </w:r>
        <w:r w:rsidR="00CB6837" w:rsidRPr="00CB6837">
          <w:rPr>
            <w:rStyle w:val="Hypertextovodkaz"/>
          </w:rPr>
          <w:t>prezidentzemekoule/MSW/tree/main</w:t>
        </w:r>
      </w:hyperlink>
    </w:p>
    <w:p w14:paraId="4971E139" w14:textId="0DA325B8" w:rsidR="00780465" w:rsidRDefault="00780465" w:rsidP="00780465">
      <w:pPr>
        <w:pStyle w:val="Nadpis1"/>
        <w:rPr>
          <w:sz w:val="36"/>
          <w:szCs w:val="36"/>
        </w:rPr>
      </w:pPr>
      <w:r w:rsidRPr="00780465">
        <w:rPr>
          <w:sz w:val="36"/>
          <w:szCs w:val="36"/>
        </w:rPr>
        <w:t>Úloha 1: Lineární a nelineární oscilátory</w:t>
      </w:r>
    </w:p>
    <w:p w14:paraId="19F1D916" w14:textId="77777777" w:rsidR="00780465" w:rsidRDefault="00780465" w:rsidP="00780465">
      <w:r w:rsidRPr="00780465">
        <w:t>Tato úloha se zabývá numerickým řešením a analýzou chování dvou typů mechanických systémů</w:t>
      </w:r>
      <w:r w:rsidRPr="00780465">
        <w:rPr>
          <w:b/>
          <w:bCs/>
        </w:rPr>
        <w:t>: lineárního tlumeného oscilátoru</w:t>
      </w:r>
      <w:r w:rsidRPr="00780465">
        <w:t xml:space="preserve"> a </w:t>
      </w:r>
      <w:r w:rsidRPr="00780465">
        <w:rPr>
          <w:b/>
          <w:bCs/>
        </w:rPr>
        <w:t xml:space="preserve">nelineárního buzeného </w:t>
      </w:r>
      <w:proofErr w:type="spellStart"/>
      <w:r w:rsidRPr="00780465">
        <w:rPr>
          <w:b/>
          <w:bCs/>
        </w:rPr>
        <w:t>Duffingova</w:t>
      </w:r>
      <w:proofErr w:type="spellEnd"/>
      <w:r w:rsidRPr="00780465">
        <w:rPr>
          <w:b/>
          <w:bCs/>
        </w:rPr>
        <w:t xml:space="preserve"> oscilátoru</w:t>
      </w:r>
      <w:r w:rsidRPr="00780465">
        <w:t>.</w:t>
      </w:r>
    </w:p>
    <w:p w14:paraId="4A5A0B1B" w14:textId="76AD8FBD" w:rsidR="00780465" w:rsidRDefault="00780465" w:rsidP="00780465">
      <w:r w:rsidRPr="00780465">
        <w:t>Rovnice druhého řádu byly přepsány na soustavy dvou obyčejných diferenciálních rovnic (ODE) prvního řádu pro polohu (</w:t>
      </w:r>
      <w:r w:rsidRPr="003330F2">
        <w:rPr>
          <w:rFonts w:ascii="Cambria Math" w:hAnsi="Cambria Math" w:cs="Sans Serif Collection"/>
          <w:i/>
          <w:iCs/>
        </w:rPr>
        <w:t>x</w:t>
      </w:r>
      <w:r w:rsidRPr="00780465">
        <w:t>) a rychlost (</w:t>
      </w:r>
      <w:r w:rsidRPr="003330F2">
        <w:rPr>
          <w:rFonts w:ascii="Cambria Math" w:hAnsi="Cambria Math"/>
          <w:i/>
          <w:iCs/>
        </w:rPr>
        <w:t>v</w:t>
      </w:r>
      <w:r w:rsidRPr="00780465">
        <w:t xml:space="preserve">), což umožnilo jejich integraci pomocí knihovny </w:t>
      </w:r>
      <w:proofErr w:type="spellStart"/>
      <w:r w:rsidRPr="00A657C4">
        <w:rPr>
          <w:highlight w:val="lightGray"/>
        </w:rPr>
        <w:t>scipy.integrate.solve_ivp</w:t>
      </w:r>
      <w:proofErr w:type="spellEnd"/>
      <w:r w:rsidRPr="00780465">
        <w:t>.</w:t>
      </w:r>
    </w:p>
    <w:p w14:paraId="5392460D" w14:textId="59293647" w:rsidR="00A657C4" w:rsidRPr="00A657C4" w:rsidRDefault="00A657C4" w:rsidP="00A657C4">
      <w:pPr>
        <w:pStyle w:val="Odstavecseseznamem"/>
        <w:numPr>
          <w:ilvl w:val="0"/>
          <w:numId w:val="1"/>
        </w:numPr>
        <w:rPr>
          <w:b/>
          <w:bCs/>
        </w:rPr>
      </w:pPr>
      <w:r w:rsidRPr="00A657C4">
        <w:rPr>
          <w:b/>
          <w:bCs/>
        </w:rPr>
        <w:t xml:space="preserve">Lineární oscilátor: </w:t>
      </w:r>
      <w:r w:rsidRPr="00A657C4">
        <w:t>Fyzikální režimy a chování</w:t>
      </w:r>
    </w:p>
    <w:p w14:paraId="4B71CC59" w14:textId="77777777" w:rsidR="00887795" w:rsidRPr="00887795" w:rsidRDefault="00A657C4" w:rsidP="00A657C4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Slabé tlumení: </w:t>
      </w:r>
      <w:r w:rsidRPr="00A657C4">
        <w:t xml:space="preserve">Nastává, když je koeficient tlumení </w:t>
      </w:r>
      <m:oMath>
        <m:r>
          <w:rPr>
            <w:rFonts w:ascii="Cambria Math" w:hAnsi="Cambria Math"/>
          </w:rPr>
          <m:t>ζ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 w:rsidR="00990F5B">
        <w:rPr>
          <w:rFonts w:eastAsiaTheme="minorEastAsia"/>
        </w:rPr>
        <w:t xml:space="preserve">. </w:t>
      </w:r>
      <w:r w:rsidR="00F7179A" w:rsidRPr="00F7179A">
        <w:t>Systém vykazuje kmitavý pohyb kolem rovnovážné polohy, přičemž jeho amplituda exponenciálně klesá k nule.</w:t>
      </w:r>
    </w:p>
    <w:p w14:paraId="0986989B" w14:textId="79B5B871" w:rsidR="00A657C4" w:rsidRPr="00A657C4" w:rsidRDefault="00F7179A" w:rsidP="00887795">
      <w:pPr>
        <w:pStyle w:val="Odstavecseseznamem"/>
        <w:ind w:left="1068"/>
        <w:rPr>
          <w:b/>
          <w:bCs/>
        </w:rPr>
      </w:pPr>
      <w:r w:rsidRPr="006364E6">
        <w:rPr>
          <w:b/>
          <w:bCs/>
        </w:rPr>
        <w:t>Důvod</w:t>
      </w:r>
      <w:r w:rsidRPr="00F7179A">
        <w:t>: Vratná síla pružiny dominuje nad tlumicí silou okolního prostředí, což tělesu umožňuje opakovaně setrvačností překonávat rovnovážný bod.</w:t>
      </w:r>
    </w:p>
    <w:p w14:paraId="5EAB7801" w14:textId="77777777" w:rsidR="00F7179A" w:rsidRPr="00F7179A" w:rsidRDefault="00A657C4" w:rsidP="00F7179A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Kritické tlumení: </w:t>
      </w:r>
      <w:r w:rsidRPr="00A657C4">
        <w:t xml:space="preserve">Nastává přesně při </w:t>
      </w:r>
      <m:oMath>
        <m:r>
          <w:rPr>
            <w:rFonts w:ascii="Cambria Math" w:hAnsi="Cambria Math"/>
          </w:rPr>
          <m:t>ζ=1</m:t>
        </m:r>
      </m:oMath>
      <w:r w:rsidRPr="00A657C4">
        <w:t xml:space="preserve">. </w:t>
      </w:r>
      <w:r w:rsidR="00F7179A" w:rsidRPr="00F7179A">
        <w:t xml:space="preserve">Systém se vrátí do rovnovážné polohy v nejkratším možném čase, aniž by došlo k jedinému překmitu na opačnou stranu. </w:t>
      </w:r>
      <w:r w:rsidR="00F7179A" w:rsidRPr="00770A05">
        <w:rPr>
          <w:b/>
          <w:bCs/>
        </w:rPr>
        <w:t>Důvod</w:t>
      </w:r>
      <w:r w:rsidR="00F7179A" w:rsidRPr="00F7179A">
        <w:t>: Tlumicí síla je v dokonalé matematické rovnováze s pružností systému, což odebere kinetickou energii přesně v momentě dosažení počátku.</w:t>
      </w:r>
    </w:p>
    <w:p w14:paraId="2C4CC5C0" w14:textId="13166EF5" w:rsidR="00190A37" w:rsidRPr="00190A37" w:rsidRDefault="00A657C4" w:rsidP="00F7179A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Silné tlumení:</w:t>
      </w:r>
      <w:r>
        <w:t xml:space="preserve"> </w:t>
      </w:r>
      <w:r w:rsidR="00990F5B" w:rsidRPr="00990F5B">
        <w:t xml:space="preserve">Nastává při </w:t>
      </w:r>
      <m:oMath>
        <m:r>
          <w:rPr>
            <w:rFonts w:ascii="Cambria Math" w:hAnsi="Cambria Math"/>
          </w:rPr>
          <m:t>ζ&gt;1</m:t>
        </m:r>
      </m:oMath>
      <w:r w:rsidR="00990F5B" w:rsidRPr="00990F5B">
        <w:t>. Systém nekmitá a vrací se do rovnovážného stavu asym</w:t>
      </w:r>
      <w:r w:rsidR="00990F5B">
        <w:t>p</w:t>
      </w:r>
      <w:r w:rsidR="00990F5B" w:rsidRPr="00990F5B">
        <w:t>toticky a velmi pomalu.</w:t>
      </w:r>
    </w:p>
    <w:p w14:paraId="0D434781" w14:textId="09AC267A" w:rsidR="00A657C4" w:rsidRPr="00990F5B" w:rsidRDefault="00990F5B" w:rsidP="007972EC">
      <w:pPr>
        <w:pStyle w:val="Odstavecseseznamem"/>
        <w:ind w:left="1068"/>
        <w:rPr>
          <w:b/>
          <w:bCs/>
        </w:rPr>
      </w:pPr>
      <w:r w:rsidRPr="00712D8B">
        <w:rPr>
          <w:b/>
          <w:bCs/>
        </w:rPr>
        <w:t>Důvod</w:t>
      </w:r>
      <w:r w:rsidRPr="00990F5B">
        <w:t>: Viskozita nebo tření prostředí je tak obrovské, že pohyb tělesa je paralyzován a návrat je brzděn přeměnou energie na tření hned od počátku pohybu.</w:t>
      </w:r>
    </w:p>
    <w:p w14:paraId="710704F2" w14:textId="0434690F" w:rsidR="00990F5B" w:rsidRPr="00BC5723" w:rsidRDefault="006A3745" w:rsidP="00A657C4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Plynulost přechodu mezi režimy: </w:t>
      </w:r>
      <w:r w:rsidR="00C65110" w:rsidRPr="00C65110">
        <w:t xml:space="preserve">Změna koeficientu tlumení uvnitř jednoho konkrétního režimu (např. v režimu slabého tlumení ze </w:t>
      </w:r>
      <m:oMath>
        <m:r>
          <w:rPr>
            <w:rFonts w:ascii="Cambria Math" w:hAnsi="Cambria Math"/>
          </w:rPr>
          <m:t>ζ=0</m:t>
        </m:r>
      </m:oMath>
      <w:r w:rsidR="00C65110" w:rsidRPr="00C65110">
        <w:t xml:space="preserve">.15 na </w:t>
      </w:r>
      <m:oMath>
        <m:r>
          <w:rPr>
            <w:rFonts w:ascii="Cambria Math" w:hAnsi="Cambria Math"/>
          </w:rPr>
          <m:t>ζ=0.20</m:t>
        </m:r>
      </m:oMath>
      <w:r w:rsidR="00C65110" w:rsidRPr="00C65110">
        <w:t>) způsobuje plynulou kvantitativní změnu – kmity pouze utichnou o něco dříve.</w:t>
      </w:r>
    </w:p>
    <w:p w14:paraId="17792A9C" w14:textId="77777777" w:rsidR="00482506" w:rsidRDefault="00BC5723" w:rsidP="00BC5723">
      <w:pPr>
        <w:pStyle w:val="Odstavecseseznamem"/>
        <w:ind w:left="1068"/>
      </w:pPr>
      <w:r w:rsidRPr="00BC5723">
        <w:t xml:space="preserve">Samotný přechod přes limitní hodnotu </w:t>
      </w:r>
      <m:oMath>
        <m:r>
          <w:rPr>
            <w:rFonts w:ascii="Cambria Math" w:hAnsi="Cambria Math"/>
          </w:rPr>
          <m:t>ζ=1</m:t>
        </m:r>
      </m:oMath>
      <w:r w:rsidRPr="00BC5723">
        <w:t xml:space="preserve"> je však kvalitativně ostrý.</w:t>
      </w:r>
    </w:p>
    <w:p w14:paraId="0C0411B7" w14:textId="3C334F62" w:rsidR="00BC5723" w:rsidRPr="00BC5723" w:rsidRDefault="00BC5723" w:rsidP="00BC5723">
      <w:pPr>
        <w:pStyle w:val="Odstavecseseznamem"/>
        <w:ind w:left="1068"/>
      </w:pPr>
      <w:r w:rsidRPr="006D7FAE">
        <w:rPr>
          <w:b/>
          <w:bCs/>
        </w:rPr>
        <w:t>Důvod</w:t>
      </w:r>
      <w:r w:rsidRPr="00BC5723">
        <w:t xml:space="preserve">: V tomto bodě dochází k bifurkaci charakteru řešení. Komplexně sdružené kořeny charakteristické rovnice (které matematicky generují goniometrické funkce kmitání </w:t>
      </w:r>
      <m:oMath>
        <m:r>
          <w:rPr>
            <w:rFonts w:ascii="Cambria Math" w:hAnsi="Cambria Math"/>
          </w:rPr>
          <m:t>sin</m:t>
        </m:r>
      </m:oMath>
      <w:r w:rsidRPr="00BC5723">
        <w:t xml:space="preserve"> a </w:t>
      </w:r>
      <m:oMath>
        <m:r>
          <w:rPr>
            <w:rFonts w:ascii="Cambria Math" w:hAnsi="Cambria Math"/>
          </w:rPr>
          <m:t>cos</m:t>
        </m:r>
      </m:oMath>
      <w:r w:rsidRPr="00BC5723">
        <w:t xml:space="preserve"> skokově mizí a mění se v čistě reálné kořeny (popisované reálnou exponenciální funkcí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</m:oMath>
      <w:r w:rsidR="003F1804">
        <w:t>).</w:t>
      </w:r>
    </w:p>
    <w:p w14:paraId="371B7D18" w14:textId="77777777" w:rsidR="0010452C" w:rsidRPr="0010452C" w:rsidRDefault="00F71425" w:rsidP="00A657C4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Mechanismus rezonance:</w:t>
      </w:r>
      <w:r>
        <w:t xml:space="preserve"> </w:t>
      </w:r>
      <w:r w:rsidR="00BE1FDD" w:rsidRPr="00BE1FDD">
        <w:t>Rezonance nastává v okamžiku, kdy se frekvence vnějšího periodického buzení shoduje s vlastní přirozenou frekvencí kmitání oscilátoru.</w:t>
      </w:r>
    </w:p>
    <w:p w14:paraId="5D3D7A3A" w14:textId="349AC0E2" w:rsidR="00F71425" w:rsidRPr="0010452C" w:rsidRDefault="00BE1FDD" w:rsidP="0010452C">
      <w:pPr>
        <w:pStyle w:val="Odstavecseseznamem"/>
        <w:ind w:left="1068"/>
        <w:rPr>
          <w:b/>
          <w:bCs/>
        </w:rPr>
      </w:pPr>
      <w:r w:rsidRPr="002E63A3">
        <w:rPr>
          <w:b/>
          <w:bCs/>
        </w:rPr>
        <w:t>Důvod</w:t>
      </w:r>
      <w:r w:rsidRPr="00BE1FDD">
        <w:t>: Vnější budící síla působí po celou dobu ve shodné fázi s vektorem rychlosti pohybu tělesa. Síla tak neustále koná kladnou mechanickou práci, dodává energii v ideální moment a v systému dochází ke kumulaci této energie, což vede k extrémnímu nárůstu amplitudy.</w:t>
      </w:r>
    </w:p>
    <w:p w14:paraId="11952656" w14:textId="77777777" w:rsidR="0010452C" w:rsidRPr="0010452C" w:rsidRDefault="00BE1FDD" w:rsidP="007972EC">
      <w:pPr>
        <w:pStyle w:val="Odstavecseseznamem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Možnost s</w:t>
      </w:r>
      <w:r w:rsidR="00F71425">
        <w:rPr>
          <w:b/>
          <w:bCs/>
        </w:rPr>
        <w:t>ymbolické</w:t>
      </w:r>
      <w:r>
        <w:rPr>
          <w:b/>
          <w:bCs/>
        </w:rPr>
        <w:t xml:space="preserve">ho (analytického) </w:t>
      </w:r>
      <w:r w:rsidR="00F71425">
        <w:rPr>
          <w:b/>
          <w:bCs/>
        </w:rPr>
        <w:t>řešení:</w:t>
      </w:r>
      <w:r w:rsidR="00F71425">
        <w:t xml:space="preserve"> </w:t>
      </w:r>
      <w:r w:rsidRPr="00BE1FDD">
        <w:t xml:space="preserve">Ano, lineární tlumené oscilátory lze vyřešit zcela přesně analytickou cestou (např. v Pythonu pomocí symbolické knihovny </w:t>
      </w:r>
      <w:proofErr w:type="spellStart"/>
      <w:r w:rsidRPr="00C60956">
        <w:rPr>
          <w:highlight w:val="lightGray"/>
        </w:rPr>
        <w:t>sympy</w:t>
      </w:r>
      <w:proofErr w:type="spellEnd"/>
      <w:r w:rsidRPr="00BE1FDD">
        <w:t xml:space="preserve"> a funkce </w:t>
      </w:r>
      <w:proofErr w:type="spellStart"/>
      <w:r w:rsidRPr="00C60956">
        <w:rPr>
          <w:highlight w:val="lightGray"/>
        </w:rPr>
        <w:t>dsolve</w:t>
      </w:r>
      <w:proofErr w:type="spellEnd"/>
      <w:r w:rsidRPr="00C60956">
        <w:rPr>
          <w:highlight w:val="lightGray"/>
        </w:rPr>
        <w:t>()</w:t>
      </w:r>
      <w:r w:rsidRPr="00BE1FDD">
        <w:t>).</w:t>
      </w:r>
    </w:p>
    <w:p w14:paraId="25771514" w14:textId="0A8453F2" w:rsidR="007972EC" w:rsidRPr="007972EC" w:rsidRDefault="00BE1FDD" w:rsidP="0010452C">
      <w:pPr>
        <w:pStyle w:val="Odstavecseseznamem"/>
        <w:ind w:left="1068"/>
        <w:rPr>
          <w:b/>
          <w:bCs/>
        </w:rPr>
      </w:pPr>
      <w:r w:rsidRPr="00BE1FDD">
        <w:t>Důvod: Lineární diferenciální rovnice splňují princip superpozice, jejich koeficienty jsou konstantní a integrální tvary lze exaktně vyjádřit pomocí kombinace elementárních funkcí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,</m:t>
            </m:r>
          </m:e>
        </m:func>
        <m:r>
          <m:rPr>
            <m:sty m:val="p"/>
          </m:rPr>
          <w:rPr>
            <w:rFonts w:ascii="Cambria Math" w:hAnsi="Cambria Math"/>
          </w:rPr>
          <m:t>cos</m:t>
        </m:r>
      </m:oMath>
      <w:r w:rsidRPr="00BE1FDD">
        <w:t>).</w:t>
      </w:r>
    </w:p>
    <w:p w14:paraId="5E45388C" w14:textId="53964A8A" w:rsidR="007618F7" w:rsidRDefault="007972EC" w:rsidP="007618F7">
      <w:pPr>
        <w:pStyle w:val="Odstavecseseznamem"/>
        <w:numPr>
          <w:ilvl w:val="0"/>
          <w:numId w:val="1"/>
        </w:numPr>
      </w:pPr>
      <w:proofErr w:type="spellStart"/>
      <w:r w:rsidRPr="007972EC">
        <w:rPr>
          <w:b/>
          <w:bCs/>
        </w:rPr>
        <w:t>Duffingův</w:t>
      </w:r>
      <w:proofErr w:type="spellEnd"/>
      <w:r w:rsidRPr="007972EC">
        <w:rPr>
          <w:b/>
          <w:bCs/>
        </w:rPr>
        <w:t xml:space="preserve"> oscilátor:</w:t>
      </w:r>
      <w:r w:rsidRPr="007972EC">
        <w:t xml:space="preserve"> </w:t>
      </w:r>
      <w:r w:rsidR="007618F7">
        <w:t>Průkaz chaotického chování a vliv počátečních podmínek</w:t>
      </w:r>
    </w:p>
    <w:p w14:paraId="0B046C4B" w14:textId="2BF6CB2D" w:rsidR="007618F7" w:rsidRDefault="007618F7" w:rsidP="007618F7">
      <w:pPr>
        <w:pStyle w:val="Odstavecseseznamem"/>
        <w:numPr>
          <w:ilvl w:val="1"/>
          <w:numId w:val="1"/>
        </w:numPr>
      </w:pPr>
      <w:r w:rsidRPr="007618F7">
        <w:t xml:space="preserve">Ano, pro zadané parametry vykazuje </w:t>
      </w:r>
      <w:proofErr w:type="spellStart"/>
      <w:r w:rsidRPr="007618F7">
        <w:t>Duffingův</w:t>
      </w:r>
      <w:proofErr w:type="spellEnd"/>
      <w:r w:rsidRPr="007618F7">
        <w:t xml:space="preserve"> oscilátor deterministický chaos. </w:t>
      </w:r>
      <w:r w:rsidRPr="000F21E1">
        <w:rPr>
          <w:b/>
          <w:bCs/>
        </w:rPr>
        <w:t>Důvod</w:t>
      </w:r>
      <w:r w:rsidRPr="007618F7">
        <w:t xml:space="preserve">: Fázový diagram tvoří nekonečné množství propletených smyček, které se nikdy exaktně neopakují ani neuzavřou. Klíčovým důkazem je </w:t>
      </w:r>
      <w:proofErr w:type="spellStart"/>
      <w:r w:rsidRPr="007618F7">
        <w:rPr>
          <w:b/>
          <w:bCs/>
        </w:rPr>
        <w:t>Poincarého</w:t>
      </w:r>
      <w:proofErr w:type="spellEnd"/>
      <w:r w:rsidRPr="007618F7">
        <w:rPr>
          <w:b/>
          <w:bCs/>
        </w:rPr>
        <w:t xml:space="preserve"> průřez</w:t>
      </w:r>
      <w:r w:rsidRPr="007618F7">
        <w:t xml:space="preserve">, na kterém body nevytvořily jeden fixní bod (ustálený stav) ani uzavřenou smyčku (periodický děj), nýbrž detailně strukturovaný mrak bodů vykazující fraktální geometrii – tzv. </w:t>
      </w:r>
      <w:r w:rsidRPr="007618F7">
        <w:rPr>
          <w:b/>
          <w:bCs/>
        </w:rPr>
        <w:t xml:space="preserve">podivný </w:t>
      </w:r>
      <w:proofErr w:type="spellStart"/>
      <w:r w:rsidRPr="007618F7">
        <w:rPr>
          <w:b/>
          <w:bCs/>
        </w:rPr>
        <w:t>atraktor</w:t>
      </w:r>
      <w:proofErr w:type="spellEnd"/>
      <w:r w:rsidRPr="007618F7">
        <w:t>.</w:t>
      </w:r>
    </w:p>
    <w:p w14:paraId="76531A91" w14:textId="77777777" w:rsidR="0010452C" w:rsidRDefault="00A848B2" w:rsidP="007618F7">
      <w:pPr>
        <w:pStyle w:val="Odstavecseseznamem"/>
        <w:numPr>
          <w:ilvl w:val="1"/>
          <w:numId w:val="1"/>
        </w:numPr>
      </w:pPr>
      <w:r w:rsidRPr="00A848B2">
        <w:t>Systém vykazuje extrémní citlivost na počáteční podmínky (tzv. efekt motýlích křídel). Pokud provedeme dvě simulace, které se na začátku liší v poloze o pouhé miliontiny metru, trajektorie se po krátkém čase fatálně rozejdou.</w:t>
      </w:r>
    </w:p>
    <w:p w14:paraId="01CD2A17" w14:textId="27D6BEB7" w:rsidR="00F630DC" w:rsidRDefault="00A848B2" w:rsidP="00F630DC">
      <w:pPr>
        <w:pStyle w:val="Odstavecseseznamem"/>
        <w:ind w:left="1068"/>
      </w:pPr>
      <w:r w:rsidRPr="00943D56">
        <w:rPr>
          <w:b/>
          <w:bCs/>
        </w:rPr>
        <w:t>Důvod</w:t>
      </w:r>
      <w:r w:rsidRPr="00A848B2">
        <w:t xml:space="preserve">: Přítomnost nelineárního kubického členu </w:t>
      </w:r>
      <m:oMath>
        <m:r>
          <w:rPr>
            <w:rFonts w:ascii="Cambria Math" w:hAnsi="Cambria Math"/>
          </w:rPr>
          <m:t>β x³</m:t>
        </m:r>
      </m:oMath>
      <w:r w:rsidRPr="00A848B2">
        <w:t xml:space="preserve"> v rovnici způsobuje, že počáteční odchylky nejsou v průběhu času tlumeny, </w:t>
      </w:r>
      <w:r w:rsidR="00CF28A6">
        <w:t>ale</w:t>
      </w:r>
      <w:r w:rsidRPr="00A848B2">
        <w:t xml:space="preserve"> exponenciálně zesilovány</w:t>
      </w:r>
      <w:r>
        <w:t>.</w:t>
      </w:r>
    </w:p>
    <w:p w14:paraId="0495B345" w14:textId="4A516311" w:rsidR="00F630DC" w:rsidRDefault="00F630DC" w:rsidP="00F630DC">
      <w:pPr>
        <w:pBdr>
          <w:bottom w:val="single" w:sz="6" w:space="1" w:color="auto"/>
        </w:pBdr>
      </w:pPr>
    </w:p>
    <w:p w14:paraId="31A1DD3B" w14:textId="1F4C6ADF" w:rsidR="00A1536B" w:rsidRDefault="00A1536B" w:rsidP="00A1536B">
      <w:pPr>
        <w:pStyle w:val="Nadpis1"/>
        <w:rPr>
          <w:sz w:val="36"/>
          <w:szCs w:val="36"/>
        </w:rPr>
      </w:pPr>
      <w:r w:rsidRPr="00A1536B">
        <w:rPr>
          <w:sz w:val="36"/>
          <w:szCs w:val="36"/>
        </w:rPr>
        <w:t>Úloha 2: Programová implementace SIR modelu</w:t>
      </w:r>
    </w:p>
    <w:p w14:paraId="68087C66" w14:textId="477DEA49" w:rsidR="00A1536B" w:rsidRPr="00A1536B" w:rsidRDefault="00A1536B" w:rsidP="00A1536B">
      <w:r w:rsidRPr="007D376C">
        <w:rPr>
          <w:b/>
          <w:bCs/>
        </w:rPr>
        <w:t>SIR</w:t>
      </w:r>
      <w:r w:rsidRPr="00A1536B">
        <w:t xml:space="preserve"> model </w:t>
      </w:r>
      <w:r w:rsidRPr="007D376C">
        <w:rPr>
          <w:b/>
          <w:bCs/>
        </w:rPr>
        <w:t xml:space="preserve">simuluje šíření infekčních chorob v uzavřené populaci </w:t>
      </w:r>
      <w:r w:rsidRPr="00A1536B">
        <w:t xml:space="preserve">pomocí soustavy tří nelineárních diferenciálních rovnic. Sleduje podíl </w:t>
      </w:r>
      <w:r w:rsidRPr="007D376C">
        <w:rPr>
          <w:b/>
          <w:bCs/>
        </w:rPr>
        <w:t>vnímavých</w:t>
      </w:r>
      <w:r w:rsidR="00312863" w:rsidRPr="007D376C">
        <w:rPr>
          <w:b/>
          <w:bCs/>
        </w:rPr>
        <w:t>/zdravých</w:t>
      </w:r>
      <w:r w:rsidRPr="00A1536B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A1536B">
        <w:t xml:space="preserve">, </w:t>
      </w:r>
      <w:r w:rsidRPr="007D376C">
        <w:rPr>
          <w:b/>
          <w:bCs/>
        </w:rPr>
        <w:t>nakažených</w:t>
      </w:r>
      <w:r w:rsidRPr="00A1536B">
        <w:t xml:space="preserve"> (</w:t>
      </w:r>
      <m:oMath>
        <m:r>
          <w:rPr>
            <w:rFonts w:ascii="Cambria Math" w:hAnsi="Cambria Math"/>
          </w:rPr>
          <m:t>I</m:t>
        </m:r>
      </m:oMath>
      <w:r w:rsidRPr="00A1536B">
        <w:t xml:space="preserve">) a </w:t>
      </w:r>
      <w:r w:rsidRPr="007D376C">
        <w:rPr>
          <w:b/>
          <w:bCs/>
        </w:rPr>
        <w:t>uzdravených/</w:t>
      </w:r>
      <w:r w:rsidR="00312863" w:rsidRPr="007D376C">
        <w:rPr>
          <w:b/>
          <w:bCs/>
        </w:rPr>
        <w:t>zesnulých</w:t>
      </w:r>
      <w:r w:rsidRPr="00A1536B">
        <w:t xml:space="preserve">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hAnsi="Cambria Math"/>
          </w:rPr>
          <m:t>R</m:t>
        </m:r>
        <m:r>
          <w:rPr>
            <w:rFonts w:ascii="Cambria Math" w:eastAsiaTheme="minorEastAsia" w:hAnsi="Cambria Math"/>
          </w:rPr>
          <m:t>)</m:t>
        </m:r>
      </m:oMath>
      <w:r w:rsidRPr="00A1536B">
        <w:t xml:space="preserve">. Klíčovým hybatelem je základní reprodukční číslo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=β/γ</m:t>
        </m:r>
      </m:oMath>
      <w:r w:rsidRPr="00A1536B">
        <w:t>.</w:t>
      </w:r>
    </w:p>
    <w:p w14:paraId="2E829A20" w14:textId="0EAACFD2" w:rsidR="007972EC" w:rsidRDefault="00016446" w:rsidP="007972EC">
      <w:r>
        <w:rPr>
          <w:b/>
          <w:bCs/>
        </w:rPr>
        <w:t>Základní reprodukční číslo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b/>
          <w:bCs/>
        </w:rPr>
        <w:t>)</w:t>
      </w:r>
      <w:r w:rsidR="0024586E">
        <w:rPr>
          <w:b/>
          <w:bCs/>
        </w:rPr>
        <w:t xml:space="preserve">: </w:t>
      </w:r>
      <w:r w:rsidR="0024586E" w:rsidRPr="0024586E">
        <w:t>Metrika udávající průměrný počet sekundárních infekcí, které způsobí jeden nakažený jedinec v kompletně vnímavé (zdravé) populaci na počátku epidemie. Určuje potenciál šíření nákazy</w:t>
      </w:r>
      <w:r w:rsidR="0024586E">
        <w:t>.</w:t>
      </w:r>
    </w:p>
    <w:p w14:paraId="12748F8E" w14:textId="7421EE8F" w:rsidR="00F71638" w:rsidRPr="00BE38DA" w:rsidRDefault="00F71638" w:rsidP="00F71638">
      <w:pPr>
        <w:pStyle w:val="Odstavecseseznamem"/>
        <w:numPr>
          <w:ilvl w:val="0"/>
          <w:numId w:val="6"/>
        </w:numPr>
        <w:rPr>
          <w:b/>
          <w:bCs/>
        </w:rPr>
      </w:pPr>
      <w:r w:rsidRPr="00BE38DA">
        <w:rPr>
          <w:b/>
          <w:bCs/>
        </w:rPr>
        <w:t>Kdy dojde k vrcholu epidemie?</w:t>
      </w:r>
    </w:p>
    <w:p w14:paraId="5EE98D6F" w14:textId="5750077C" w:rsidR="00F71638" w:rsidRDefault="00F71638" w:rsidP="00F71638">
      <w:pPr>
        <w:pStyle w:val="Odstavecseseznamem"/>
        <w:numPr>
          <w:ilvl w:val="1"/>
          <w:numId w:val="1"/>
        </w:numPr>
      </w:pPr>
      <w:r w:rsidRPr="00F71638">
        <w:t>Čím vyšší je hodnota reprodukčního čísla R₀, tím dříve k vrcholu epidemie dochází. U spalniček (</w:t>
      </w:r>
      <m:oMath>
        <m:r>
          <w:rPr>
            <w:rFonts w:ascii="Cambria Math" w:hAnsi="Cambria Math"/>
          </w:rPr>
          <m:t>R₀=15</m:t>
        </m:r>
      </m:oMath>
      <w:r w:rsidRPr="00F71638">
        <w:t>) nastává vrchol extrémně rychle (kolem 11. dne), zatímco u sezónní chřipky (</w:t>
      </w:r>
      <m:oMath>
        <m:r>
          <w:rPr>
            <w:rFonts w:ascii="Cambria Math" w:hAnsi="Cambria Math"/>
          </w:rPr>
          <m:t>R₀=1.5</m:t>
        </m:r>
      </m:oMath>
      <w:r w:rsidRPr="00F71638">
        <w:t>) přichází vrchol velmi pozvolna (až kolem 46. dne).</w:t>
      </w:r>
    </w:p>
    <w:p w14:paraId="583AF787" w14:textId="7F4CA456" w:rsidR="00661204" w:rsidRPr="00661204" w:rsidRDefault="00661204" w:rsidP="00E96764">
      <w:pPr>
        <w:pStyle w:val="Odstavecseseznamem"/>
        <w:ind w:left="1068"/>
      </w:pPr>
      <w:r w:rsidRPr="00D1075C">
        <w:rPr>
          <w:b/>
          <w:bCs/>
        </w:rPr>
        <w:t>D</w:t>
      </w:r>
      <w:r w:rsidRPr="00D1075C">
        <w:rPr>
          <w:b/>
          <w:bCs/>
        </w:rPr>
        <w:t>ůvod</w:t>
      </w:r>
      <w:r w:rsidRPr="00661204">
        <w:t>: Vysoké R₀ implikuje vysoký koeficient transmise (</w:t>
      </w:r>
      <m:oMath>
        <m:r>
          <w:rPr>
            <w:rFonts w:ascii="Cambria Math" w:hAnsi="Cambria Math"/>
          </w:rPr>
          <m:t>β</m:t>
        </m:r>
      </m:oMath>
      <w:r w:rsidRPr="00661204">
        <w:t>). Lavinové šíření nákazy infikuje obrovské množství lidí hned v prvních dnech, což bleskově vyčerpá dostupnou zásobu vnímavých jedinců (</w:t>
      </w:r>
      <m:oMath>
        <m:r>
          <w:rPr>
            <w:rFonts w:ascii="Cambria Math" w:hAnsi="Cambria Math"/>
          </w:rPr>
          <m:t>S</m:t>
        </m:r>
      </m:oMath>
      <w:r w:rsidRPr="00661204">
        <w:t>), a křivka nakažených (</w:t>
      </w:r>
      <m:oMath>
        <m:r>
          <w:rPr>
            <w:rFonts w:ascii="Cambria Math" w:hAnsi="Cambria Math"/>
          </w:rPr>
          <m:t>I</m:t>
        </m:r>
      </m:oMath>
      <w:r w:rsidRPr="00661204">
        <w:t>) tak musí brzy dosáhnout svého matematického stropu.</w:t>
      </w:r>
    </w:p>
    <w:p w14:paraId="01FDA90D" w14:textId="39E93091" w:rsidR="00F71638" w:rsidRPr="00BE38DA" w:rsidRDefault="00F71638" w:rsidP="00F71638">
      <w:pPr>
        <w:pStyle w:val="Odstavecseseznamem"/>
        <w:numPr>
          <w:ilvl w:val="0"/>
          <w:numId w:val="6"/>
        </w:numPr>
        <w:rPr>
          <w:b/>
          <w:bCs/>
        </w:rPr>
      </w:pPr>
      <w:r w:rsidRPr="00BE38DA">
        <w:rPr>
          <w:b/>
          <w:bCs/>
        </w:rPr>
        <w:t>Jak dlouho epidemie potrvá?</w:t>
      </w:r>
    </w:p>
    <w:p w14:paraId="085A5733" w14:textId="1F16B356" w:rsidR="00F71638" w:rsidRDefault="00F71638" w:rsidP="00F71638">
      <w:pPr>
        <w:pStyle w:val="Odstavecseseznamem"/>
        <w:numPr>
          <w:ilvl w:val="1"/>
          <w:numId w:val="1"/>
        </w:numPr>
      </w:pPr>
      <w:r w:rsidRPr="00F71638">
        <w:t>Choroby s vysokým R₀ vyvolají bleskovou vlnu, která populací projde za zhruba 25–30 dní a utichne. Choroby s nízkým R₀ (chřipka) trvají v populaci dlouho, často více než 90 dní, přičemž křivka je plochá a roztažená.</w:t>
      </w:r>
    </w:p>
    <w:p w14:paraId="1C6F5E14" w14:textId="1F788F49" w:rsidR="00C76FC0" w:rsidRDefault="00AA44E7" w:rsidP="00C76FC0">
      <w:pPr>
        <w:pStyle w:val="Odstavecseseznamem"/>
        <w:ind w:left="1068"/>
      </w:pPr>
      <w:r w:rsidRPr="00E96764">
        <w:rPr>
          <w:b/>
          <w:bCs/>
        </w:rPr>
        <w:t>Důvod</w:t>
      </w:r>
      <w:r>
        <w:t xml:space="preserve">: </w:t>
      </w:r>
      <w:r w:rsidRPr="00AA44E7">
        <w:t>Nízká nakažlivost omezuje rychlost přenosu v čase (zplošťuje křivku). Trvá proto mnohem delší dobu, než virus dokáže projít kritickou masou populace a přirozeně vyhasnout z důvodu nedostatku nových kontaktů.</w:t>
      </w:r>
    </w:p>
    <w:p w14:paraId="08A0E4DC" w14:textId="5A6D19BC" w:rsidR="00C76FC0" w:rsidRDefault="00C76FC0" w:rsidP="00C76FC0">
      <w:r>
        <w:br w:type="page"/>
      </w:r>
    </w:p>
    <w:p w14:paraId="27DE6360" w14:textId="2D21367E" w:rsidR="00EB318F" w:rsidRDefault="00EB318F" w:rsidP="00EB318F">
      <w:pPr>
        <w:pStyle w:val="Odstavecseseznamem"/>
        <w:numPr>
          <w:ilvl w:val="0"/>
          <w:numId w:val="6"/>
        </w:numPr>
        <w:rPr>
          <w:b/>
          <w:bCs/>
        </w:rPr>
      </w:pPr>
      <w:r w:rsidRPr="00EB318F">
        <w:rPr>
          <w:b/>
          <w:bCs/>
        </w:rPr>
        <w:lastRenderedPageBreak/>
        <w:t>Kolik jedinců nakonec onemocní a kolik ne?</w:t>
      </w:r>
    </w:p>
    <w:p w14:paraId="03361EB7" w14:textId="0F475013" w:rsidR="00EB318F" w:rsidRDefault="00EB318F" w:rsidP="00EB318F">
      <w:pPr>
        <w:pStyle w:val="Odstavecseseznamem"/>
        <w:numPr>
          <w:ilvl w:val="1"/>
          <w:numId w:val="1"/>
        </w:numPr>
      </w:pPr>
      <w:r w:rsidRPr="00EB318F">
        <w:t xml:space="preserve">U spalniček postihne nákaza </w:t>
      </w:r>
      <w:r>
        <w:t>skoro</w:t>
      </w:r>
      <w:r w:rsidRPr="00EB318F">
        <w:t xml:space="preserve"> 100 % populace. U chřipky se celková zasaženost zastaví na hodnotě 58.3 %, což znamená, že celých 41.7 % populace zůstane</w:t>
      </w:r>
      <w:r>
        <w:t xml:space="preserve"> </w:t>
      </w:r>
      <w:r w:rsidRPr="00EB318F">
        <w:t>zdravých.</w:t>
      </w:r>
    </w:p>
    <w:p w14:paraId="48D9D30B" w14:textId="2E1971F1" w:rsidR="002120B6" w:rsidRDefault="00D872FA" w:rsidP="00D872FA">
      <w:pPr>
        <w:pStyle w:val="Odstavecseseznamem"/>
        <w:ind w:left="1068"/>
      </w:pPr>
      <w:r w:rsidRPr="000F21E1">
        <w:rPr>
          <w:b/>
          <w:bCs/>
        </w:rPr>
        <w:t>Důvod</w:t>
      </w:r>
      <w:r>
        <w:t xml:space="preserve">: </w:t>
      </w:r>
      <w:r w:rsidRPr="00D872FA">
        <w:t xml:space="preserve">Předčasné zastavení epidemie u chorob s nižším R₀ způsobuje efekt </w:t>
      </w:r>
      <w:r w:rsidRPr="00D872FA">
        <w:rPr>
          <w:b/>
          <w:bCs/>
        </w:rPr>
        <w:t>kolektivní imunity</w:t>
      </w:r>
      <w:r w:rsidRPr="00D872FA">
        <w:t>. Jakmile podíl imunních lidí (</w:t>
      </w:r>
      <m:oMath>
        <m:r>
          <w:rPr>
            <w:rFonts w:ascii="Cambria Math" w:hAnsi="Cambria Math"/>
          </w:rPr>
          <m:t>R</m:t>
        </m:r>
      </m:oMath>
      <w:r w:rsidRPr="00D872FA">
        <w:t>) dosáhne kritického prahu</w:t>
      </w:r>
    </w:p>
    <w:p w14:paraId="747ED898" w14:textId="6176CA27" w:rsidR="00D872FA" w:rsidRDefault="00D872FA" w:rsidP="00D872FA">
      <w:pPr>
        <w:pStyle w:val="Odstavecseseznamem"/>
        <w:ind w:left="1068"/>
      </w:pPr>
      <w:r w:rsidRPr="00D872FA">
        <w:t>(</w:t>
      </w:r>
      <m:oMath>
        <m:r>
          <w:rPr>
            <w:rFonts w:ascii="Cambria Math" w:hAnsi="Cambria Math"/>
          </w:rPr>
          <m:t>1 - 1/R₀</m:t>
        </m:r>
      </m:oMath>
      <w:r w:rsidRPr="00D872FA">
        <w:t>), pravděpodobnost přenosu klesne pod kritickou mez. Jeden nemocný v průměru nakazí méně než jednoho zdravého člověka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efektivní</m:t>
            </m:r>
          </m:sub>
        </m:sSub>
        <m:r>
          <w:rPr>
            <w:rFonts w:ascii="Cambria Math" w:hAnsi="Cambria Math"/>
          </w:rPr>
          <m:t>&lt; 1</m:t>
        </m:r>
      </m:oMath>
      <w:r w:rsidRPr="00D872FA">
        <w:t>). Epidemie začne samovolně kolabovat a zbylá část zdravé populace je tímto efektem ochráněna, aniž by se s virem musela setkat.</w:t>
      </w:r>
    </w:p>
    <w:p w14:paraId="661E888B" w14:textId="4B0BB41D" w:rsidR="00000C00" w:rsidRDefault="00000C00" w:rsidP="00000C00">
      <w:pPr>
        <w:pBdr>
          <w:bottom w:val="single" w:sz="6" w:space="1" w:color="auto"/>
        </w:pBdr>
      </w:pPr>
    </w:p>
    <w:p w14:paraId="3A04C872" w14:textId="77777777" w:rsidR="00A4367D" w:rsidRDefault="00213609" w:rsidP="00485F58">
      <w:pPr>
        <w:pStyle w:val="Nadpis1"/>
        <w:rPr>
          <w:sz w:val="36"/>
          <w:szCs w:val="36"/>
        </w:rPr>
      </w:pPr>
      <w:r>
        <w:rPr>
          <w:sz w:val="36"/>
          <w:szCs w:val="36"/>
        </w:rPr>
        <w:t>Úloha 3: V</w:t>
      </w:r>
      <w:r w:rsidR="00485F58">
        <w:rPr>
          <w:sz w:val="36"/>
          <w:szCs w:val="36"/>
        </w:rPr>
        <w:t>lastní model</w:t>
      </w:r>
    </w:p>
    <w:p w14:paraId="03CBA5C3" w14:textId="75077447" w:rsidR="00485F58" w:rsidRDefault="00485F58" w:rsidP="00A4367D">
      <w:pPr>
        <w:pStyle w:val="Podnadpis"/>
      </w:pPr>
      <w:r>
        <w:t>Farmakokinetika kofeinu v lidském těle</w:t>
      </w:r>
    </w:p>
    <w:p w14:paraId="2E8DAFC2" w14:textId="71739325" w:rsidR="00485F58" w:rsidRPr="00A4367D" w:rsidRDefault="00485F58" w:rsidP="00485F58">
      <w:pPr>
        <w:rPr>
          <w:b/>
          <w:bCs/>
          <w:color w:val="0070C0"/>
        </w:rPr>
      </w:pPr>
      <w:r w:rsidRPr="00A4367D">
        <w:rPr>
          <w:b/>
          <w:bCs/>
          <w:color w:val="0070C0"/>
        </w:rPr>
        <w:t>Teoretické definice pojmů</w:t>
      </w:r>
    </w:p>
    <w:p w14:paraId="1A761926" w14:textId="1DBCC1A1" w:rsidR="00235281" w:rsidRPr="00235281" w:rsidRDefault="00235281" w:rsidP="00485F58">
      <w:pPr>
        <w:pStyle w:val="Odstavecseseznamem"/>
        <w:numPr>
          <w:ilvl w:val="1"/>
          <w:numId w:val="1"/>
        </w:numPr>
      </w:pPr>
      <w:r w:rsidRPr="00145BD1">
        <w:rPr>
          <w:b/>
          <w:bCs/>
        </w:rPr>
        <w:t>Farmakokinetika:</w:t>
      </w:r>
      <w:r>
        <w:t xml:space="preserve"> P</w:t>
      </w:r>
      <w:r w:rsidRPr="00235281">
        <w:t xml:space="preserve">odobor farmakologie, který zkoumá </w:t>
      </w:r>
      <w:r>
        <w:t>pohyb</w:t>
      </w:r>
      <w:r w:rsidRPr="00235281">
        <w:t xml:space="preserve"> léčiva v organismu. Zabývá se tím, jak organismus působí na léčivo</w:t>
      </w:r>
      <w:r w:rsidR="000915AA">
        <w:t xml:space="preserve">/látku. Tedy </w:t>
      </w:r>
      <w:r w:rsidR="000915AA" w:rsidRPr="000915AA">
        <w:t>jak ho absorbuje, distribuuje, metabolizuje v játrech a vylučuje.</w:t>
      </w:r>
    </w:p>
    <w:p w14:paraId="417107AA" w14:textId="283CFE42" w:rsidR="00485F58" w:rsidRDefault="00622F0B" w:rsidP="00485F58">
      <w:pPr>
        <w:pStyle w:val="Odstavecseseznamem"/>
        <w:numPr>
          <w:ilvl w:val="1"/>
          <w:numId w:val="1"/>
        </w:numPr>
      </w:pPr>
      <w:r>
        <w:rPr>
          <w:b/>
          <w:bCs/>
        </w:rPr>
        <w:t>Farmakokinetický model 1. řádu</w:t>
      </w:r>
      <w:r w:rsidR="00485F58" w:rsidRPr="00621CD7">
        <w:rPr>
          <w:b/>
          <w:bCs/>
        </w:rPr>
        <w:t>:</w:t>
      </w:r>
      <w:r w:rsidR="00485F58">
        <w:t xml:space="preserve"> Farmakologický proces,</w:t>
      </w:r>
      <w:r w:rsidR="00621CD7">
        <w:t xml:space="preserve"> </w:t>
      </w:r>
      <w:r w:rsidR="00621CD7" w:rsidRPr="00621CD7">
        <w:t>při kterém je rychlost vylučování nebo odbourávání látky z krevní plazmy přímo úměrná její aktuální koncentraci v těle. Tělo neodbourává fixní množství gramů za hodinu, nýbrž konstantní procentuální podíl.</w:t>
      </w:r>
    </w:p>
    <w:p w14:paraId="01A1BE44" w14:textId="1A27ADF2" w:rsidR="00D10537" w:rsidRDefault="00621CD7" w:rsidP="00C76FC0">
      <w:pPr>
        <w:pStyle w:val="Odstavecseseznamem"/>
        <w:numPr>
          <w:ilvl w:val="1"/>
          <w:numId w:val="1"/>
        </w:numPr>
      </w:pPr>
      <w:r w:rsidRPr="00621CD7">
        <w:rPr>
          <w:b/>
          <w:bCs/>
        </w:rPr>
        <w:t>Biologický poločas rozpadu:</w:t>
      </w:r>
      <w:r w:rsidRPr="00621CD7">
        <w:t xml:space="preserve"> Časový úsek, za který játra a ledviny sníží koncentraci sledované látky v organismu přesně na polovinu původní hodnoty. U kofeinu činí průměrná hodnota u dospělého člověka cca 5 hodin.</w:t>
      </w:r>
    </w:p>
    <w:p w14:paraId="61C17ACE" w14:textId="6400161B" w:rsidR="005F2CD3" w:rsidRPr="0095309C" w:rsidRDefault="005F2CD3" w:rsidP="005F2CD3">
      <w:pPr>
        <w:rPr>
          <w:b/>
          <w:bCs/>
          <w:color w:val="0070C0"/>
        </w:rPr>
      </w:pPr>
      <w:r w:rsidRPr="0095309C">
        <w:rPr>
          <w:b/>
          <w:bCs/>
          <w:color w:val="0070C0"/>
        </w:rPr>
        <w:t>Výsledky simulace kofeinu:</w:t>
      </w:r>
    </w:p>
    <w:p w14:paraId="18CFFE54" w14:textId="7E5C9982" w:rsidR="005F2CD3" w:rsidRPr="005F2CD3" w:rsidRDefault="005F2CD3" w:rsidP="005F2CD3">
      <w:pPr>
        <w:spacing w:after="0"/>
        <w:rPr>
          <w:b/>
          <w:bCs/>
        </w:rPr>
      </w:pPr>
      <w:r w:rsidRPr="005F2CD3">
        <w:rPr>
          <w:b/>
          <w:bCs/>
        </w:rPr>
        <w:t>Scénář s jedním espressem (100 mg v čase t=0)</w:t>
      </w:r>
    </w:p>
    <w:p w14:paraId="71F7B911" w14:textId="01E712FC" w:rsidR="005F2CD3" w:rsidRDefault="005F2CD3" w:rsidP="005F2CD3">
      <w:r w:rsidRPr="005F2CD3">
        <w:t xml:space="preserve">Množství kofeinu v těle klesá podle čistě exponenciální křivky. Pod kritickou medicínskou hranici </w:t>
      </w:r>
      <w:r w:rsidRPr="005F2CD3">
        <w:rPr>
          <w:b/>
          <w:bCs/>
        </w:rPr>
        <w:t>50 mg</w:t>
      </w:r>
      <w:r w:rsidRPr="005F2CD3">
        <w:t xml:space="preserve"> (hladina, při které kofein přestává masivně blokovat adenosinové receptory v mozku a dovoluje tělu pocítit přirozenou únavu) klesne hladina přibližně za </w:t>
      </w:r>
      <w:r w:rsidRPr="005F2CD3">
        <w:rPr>
          <w:b/>
          <w:bCs/>
        </w:rPr>
        <w:t>5 hodin</w:t>
      </w:r>
      <w:r w:rsidRPr="005F2CD3">
        <w:t xml:space="preserve">. Při běžném denním režimu je tělo večer zcela vyčištěno a </w:t>
      </w:r>
      <w:r w:rsidRPr="00E75C90">
        <w:rPr>
          <w:u w:val="single"/>
        </w:rPr>
        <w:t>kvalita spánku není ohrožena</w:t>
      </w:r>
      <w:r w:rsidRPr="005F2CD3">
        <w:t>.</w:t>
      </w:r>
    </w:p>
    <w:p w14:paraId="6735BCD7" w14:textId="77777777" w:rsidR="00D10537" w:rsidRPr="00FD40E8" w:rsidRDefault="00D10537" w:rsidP="00D10537">
      <w:pPr>
        <w:spacing w:after="0"/>
        <w:rPr>
          <w:b/>
          <w:bCs/>
        </w:rPr>
      </w:pPr>
      <w:r w:rsidRPr="00FD40E8">
        <w:rPr>
          <w:b/>
          <w:bCs/>
        </w:rPr>
        <w:t>Scénář se dvěma espressy (v čase t=0 a odpoledne v čase t=6 hodin):</w:t>
      </w:r>
    </w:p>
    <w:p w14:paraId="24ECC0DB" w14:textId="77777777" w:rsidR="00CF3ACE" w:rsidRDefault="00D10537" w:rsidP="005F2CD3">
      <w:r w:rsidRPr="00D10537">
        <w:t xml:space="preserve">V 6. hodině odpoledne zbývá v organismu z ranní kávy ještě přibližně 43 mg kofeinu. Konzumace druhého espressa způsobí akumulaci (nasčítání dávek), čímž hladina okamžitě vyskočí na </w:t>
      </w:r>
      <w:r w:rsidRPr="00D10537">
        <w:rPr>
          <w:b/>
          <w:bCs/>
        </w:rPr>
        <w:t>143 mg</w:t>
      </w:r>
      <w:r w:rsidRPr="00D10537">
        <w:t>.</w:t>
      </w:r>
    </w:p>
    <w:p w14:paraId="5884417D" w14:textId="68EE9C3D" w:rsidR="00D10537" w:rsidRPr="00485F58" w:rsidRDefault="00D10537" w:rsidP="005F2CD3">
      <w:r w:rsidRPr="00CF3ACE">
        <w:rPr>
          <w:b/>
          <w:bCs/>
        </w:rPr>
        <w:t>Zdůvodnění vlivu na nespavost:</w:t>
      </w:r>
      <w:r w:rsidRPr="00D10537">
        <w:t xml:space="preserve"> Vzhledem k tomu, že tělo odbourává kofein procentuálně, eliminace z této vysoké kumulované hodnoty trvá podstatně déle. V čase t=16 (při ulehnutí do postele po 16 hodinách od probuzení) koluje v těle stále zhruba 46 mg kofeinu. Tato hodnota se nachází těsně pod hranicí plné bdělosti. U citlivějších jedinců tato neklesající hladina prokazatelně blokuje spánkové receptory, oddaluje usnutí, způsobuje insomnii a drasticky narušuje hluboké fáze spánku (REM fáze), přestože od poslední odpolední kávy uplynulo již dlouhých 10 hodin.</w:t>
      </w:r>
    </w:p>
    <w:sectPr w:rsidR="00D10537" w:rsidRPr="00485F5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C4169" w14:textId="77777777" w:rsidR="00EF4E66" w:rsidRDefault="00EF4E66" w:rsidP="00780465">
      <w:pPr>
        <w:spacing w:after="0" w:line="240" w:lineRule="auto"/>
      </w:pPr>
      <w:r>
        <w:separator/>
      </w:r>
    </w:p>
  </w:endnote>
  <w:endnote w:type="continuationSeparator" w:id="0">
    <w:p w14:paraId="62C16FA0" w14:textId="77777777" w:rsidR="00EF4E66" w:rsidRDefault="00EF4E66" w:rsidP="00780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ans Serif Collection">
    <w:charset w:val="B2"/>
    <w:family w:val="swiss"/>
    <w:pitch w:val="variable"/>
    <w:sig w:usb0="A057A2EF" w:usb1="0200604E" w:usb2="29100001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6911338"/>
      <w:docPartObj>
        <w:docPartGallery w:val="Page Numbers (Bottom of Page)"/>
        <w:docPartUnique/>
      </w:docPartObj>
    </w:sdtPr>
    <w:sdtContent>
      <w:p w14:paraId="6AEB036E" w14:textId="03838B47" w:rsidR="00780465" w:rsidRDefault="00780465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D55D2E" w14:textId="77777777" w:rsidR="00780465" w:rsidRDefault="0078046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A9242" w14:textId="77777777" w:rsidR="00EF4E66" w:rsidRDefault="00EF4E66" w:rsidP="00780465">
      <w:pPr>
        <w:spacing w:after="0" w:line="240" w:lineRule="auto"/>
      </w:pPr>
      <w:r>
        <w:separator/>
      </w:r>
    </w:p>
  </w:footnote>
  <w:footnote w:type="continuationSeparator" w:id="0">
    <w:p w14:paraId="48A875E5" w14:textId="77777777" w:rsidR="00EF4E66" w:rsidRDefault="00EF4E66" w:rsidP="00780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822"/>
    <w:multiLevelType w:val="hybridMultilevel"/>
    <w:tmpl w:val="8012931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40608"/>
    <w:multiLevelType w:val="hybridMultilevel"/>
    <w:tmpl w:val="4176A380"/>
    <w:lvl w:ilvl="0" w:tplc="DACC5014">
      <w:numFmt w:val="bullet"/>
      <w:lvlText w:val="-"/>
      <w:lvlJc w:val="left"/>
      <w:pPr>
        <w:ind w:left="1068" w:hanging="360"/>
      </w:pPr>
      <w:rPr>
        <w:rFonts w:ascii="Calibri" w:eastAsiaTheme="minorHAnsi" w:hAnsi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79819FF"/>
    <w:multiLevelType w:val="hybridMultilevel"/>
    <w:tmpl w:val="D312D39A"/>
    <w:lvl w:ilvl="0" w:tplc="A08CA42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E0688B2E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76B8F"/>
    <w:multiLevelType w:val="hybridMultilevel"/>
    <w:tmpl w:val="2E469816"/>
    <w:lvl w:ilvl="0" w:tplc="0405000F">
      <w:start w:val="1"/>
      <w:numFmt w:val="decimal"/>
      <w:lvlText w:val="%1."/>
      <w:lvlJc w:val="left"/>
      <w:pPr>
        <w:ind w:left="1428" w:hanging="360"/>
      </w:p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5D956F31"/>
    <w:multiLevelType w:val="hybridMultilevel"/>
    <w:tmpl w:val="9E20E1A4"/>
    <w:lvl w:ilvl="0" w:tplc="0E588EC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A845BD3"/>
    <w:multiLevelType w:val="hybridMultilevel"/>
    <w:tmpl w:val="73BC80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031916">
    <w:abstractNumId w:val="2"/>
  </w:num>
  <w:num w:numId="2" w16cid:durableId="1842504827">
    <w:abstractNumId w:val="4"/>
  </w:num>
  <w:num w:numId="3" w16cid:durableId="632558806">
    <w:abstractNumId w:val="1"/>
  </w:num>
  <w:num w:numId="4" w16cid:durableId="291667382">
    <w:abstractNumId w:val="0"/>
  </w:num>
  <w:num w:numId="5" w16cid:durableId="1472820216">
    <w:abstractNumId w:val="3"/>
  </w:num>
  <w:num w:numId="6" w16cid:durableId="210774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3C"/>
    <w:rsid w:val="00000C00"/>
    <w:rsid w:val="00016446"/>
    <w:rsid w:val="000915AA"/>
    <w:rsid w:val="000A27A8"/>
    <w:rsid w:val="000D6CDC"/>
    <w:rsid w:val="000F21E1"/>
    <w:rsid w:val="0010452C"/>
    <w:rsid w:val="00126C69"/>
    <w:rsid w:val="0013269F"/>
    <w:rsid w:val="00145BD1"/>
    <w:rsid w:val="00190A37"/>
    <w:rsid w:val="002120B6"/>
    <w:rsid w:val="00213609"/>
    <w:rsid w:val="002252CF"/>
    <w:rsid w:val="00235281"/>
    <w:rsid w:val="0024586E"/>
    <w:rsid w:val="002558C7"/>
    <w:rsid w:val="00273FDA"/>
    <w:rsid w:val="002A4FF8"/>
    <w:rsid w:val="002E314D"/>
    <w:rsid w:val="002E63A3"/>
    <w:rsid w:val="00312863"/>
    <w:rsid w:val="003330F2"/>
    <w:rsid w:val="003D3D34"/>
    <w:rsid w:val="003F1804"/>
    <w:rsid w:val="00451E40"/>
    <w:rsid w:val="00452BB9"/>
    <w:rsid w:val="00482506"/>
    <w:rsid w:val="00485F58"/>
    <w:rsid w:val="004C3B3C"/>
    <w:rsid w:val="005F2CD3"/>
    <w:rsid w:val="00621CD7"/>
    <w:rsid w:val="00622F0B"/>
    <w:rsid w:val="00632483"/>
    <w:rsid w:val="006364E6"/>
    <w:rsid w:val="00661204"/>
    <w:rsid w:val="006A3745"/>
    <w:rsid w:val="006D7FAE"/>
    <w:rsid w:val="006E61AB"/>
    <w:rsid w:val="00712D8B"/>
    <w:rsid w:val="007618F7"/>
    <w:rsid w:val="00770A05"/>
    <w:rsid w:val="00780465"/>
    <w:rsid w:val="007972EC"/>
    <w:rsid w:val="007D376C"/>
    <w:rsid w:val="007E5A9C"/>
    <w:rsid w:val="00831BB4"/>
    <w:rsid w:val="00887795"/>
    <w:rsid w:val="0089396E"/>
    <w:rsid w:val="00911518"/>
    <w:rsid w:val="00943D56"/>
    <w:rsid w:val="0095309C"/>
    <w:rsid w:val="00990F5B"/>
    <w:rsid w:val="00A1536B"/>
    <w:rsid w:val="00A3173B"/>
    <w:rsid w:val="00A4367D"/>
    <w:rsid w:val="00A657C4"/>
    <w:rsid w:val="00A848B2"/>
    <w:rsid w:val="00AA44E7"/>
    <w:rsid w:val="00B62AEB"/>
    <w:rsid w:val="00B92D30"/>
    <w:rsid w:val="00BC5723"/>
    <w:rsid w:val="00BE1FDD"/>
    <w:rsid w:val="00BE38DA"/>
    <w:rsid w:val="00C30165"/>
    <w:rsid w:val="00C60956"/>
    <w:rsid w:val="00C6221A"/>
    <w:rsid w:val="00C65110"/>
    <w:rsid w:val="00C76FC0"/>
    <w:rsid w:val="00CB6837"/>
    <w:rsid w:val="00CF28A6"/>
    <w:rsid w:val="00CF3ACE"/>
    <w:rsid w:val="00D10537"/>
    <w:rsid w:val="00D1075C"/>
    <w:rsid w:val="00D320E2"/>
    <w:rsid w:val="00D872FA"/>
    <w:rsid w:val="00DC5962"/>
    <w:rsid w:val="00E50B95"/>
    <w:rsid w:val="00E75C90"/>
    <w:rsid w:val="00E8666E"/>
    <w:rsid w:val="00E96764"/>
    <w:rsid w:val="00EB01C6"/>
    <w:rsid w:val="00EB318F"/>
    <w:rsid w:val="00EF4E66"/>
    <w:rsid w:val="00F630DC"/>
    <w:rsid w:val="00F71425"/>
    <w:rsid w:val="00F71638"/>
    <w:rsid w:val="00F7179A"/>
    <w:rsid w:val="00FD40E8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89DAF"/>
  <w15:chartTrackingRefBased/>
  <w15:docId w15:val="{AC5CD78B-C4B0-41D4-96E1-DB83F093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C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C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C3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C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C3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C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C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C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C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C3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C3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C3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C3B3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C3B3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C3B3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C3B3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C3B3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C3B3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C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C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C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C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C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C3B3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C3B3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C3B3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C3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C3B3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C3B3C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7804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80465"/>
  </w:style>
  <w:style w:type="paragraph" w:styleId="Zpat">
    <w:name w:val="footer"/>
    <w:basedOn w:val="Normln"/>
    <w:link w:val="ZpatChar"/>
    <w:uiPriority w:val="99"/>
    <w:unhideWhenUsed/>
    <w:rsid w:val="007804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80465"/>
  </w:style>
  <w:style w:type="character" w:styleId="Zstupntext">
    <w:name w:val="Placeholder Text"/>
    <w:basedOn w:val="Standardnpsmoodstavce"/>
    <w:uiPriority w:val="99"/>
    <w:semiHidden/>
    <w:rsid w:val="00190A37"/>
    <w:rPr>
      <w:color w:val="666666"/>
    </w:rPr>
  </w:style>
  <w:style w:type="character" w:styleId="Hypertextovodkaz">
    <w:name w:val="Hyperlink"/>
    <w:basedOn w:val="Standardnpsmoodstavce"/>
    <w:uiPriority w:val="99"/>
    <w:unhideWhenUsed/>
    <w:rsid w:val="00CB683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B6837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B68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ezidentzemekoule/MSW/tree/m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0E3C5-30E3-4FBE-A80B-D20E31583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</Pages>
  <Words>1172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Kucerova, Klara</dc:creator>
  <cp:keywords/>
  <dc:description/>
  <cp:lastModifiedBy>Kucerova, Klara</cp:lastModifiedBy>
  <cp:revision>101</cp:revision>
  <cp:lastPrinted>2026-06-17T23:25:00Z</cp:lastPrinted>
  <dcterms:created xsi:type="dcterms:W3CDTF">2026-06-17T16:56:00Z</dcterms:created>
  <dcterms:modified xsi:type="dcterms:W3CDTF">2026-06-17T23:55:00Z</dcterms:modified>
</cp:coreProperties>
</file>