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9F197">
      <w:pPr>
        <w:spacing w:before="3500"/>
        <w:rPr>
          <w:rFonts w:hint="eastAsia"/>
          <w:lang w:eastAsia="zh-CN"/>
        </w:rPr>
      </w:pPr>
      <w:bookmarkStart w:id="62" w:name="_GoBack"/>
      <w:bookmarkEnd w:id="62"/>
      <w:r>
        <w:rPr>
          <w:rFonts w:hint="eastAsia"/>
          <w:lang w:eastAsia="zh-CN"/>
        </w:rPr>
        <w:t>AI生成</w:t>
      </w:r>
    </w:p>
    <w:p w14:paraId="56ABADA4">
      <w:pPr>
        <w:spacing w:before="3500"/>
        <w:rPr>
          <w:rFonts w:hint="eastAsia"/>
          <w:lang w:eastAsia="zh-CN"/>
        </w:rPr>
      </w:pPr>
    </w:p>
    <w:p w14:paraId="26EE8798">
      <w:pPr>
        <w:pStyle w:val="13"/>
        <w:jc w:val="center"/>
      </w:pPr>
      <w:r>
        <w:rPr>
          <w:b/>
          <w:bCs/>
        </w:rPr>
        <w:t>多租户预约平台信息收集规则</w:t>
      </w:r>
    </w:p>
    <w:p w14:paraId="00C90711">
      <w:pPr>
        <w:pStyle w:val="10"/>
        <w:jc w:val="center"/>
      </w:pPr>
      <w:r>
        <w:t>个人信息保护合规文件</w:t>
      </w:r>
    </w:p>
    <w:p w14:paraId="35D467A4">
      <w:pPr>
        <w:jc w:val="center"/>
      </w:pPr>
      <w:r>
        <w:t>平台运营方 | 2026年9月7日</w:t>
      </w:r>
    </w:p>
    <w:p w14:paraId="1B9F6105">
      <w:pPr>
        <w:sectPr>
          <w:headerReference r:id="rId3" w:type="default"/>
          <w:footerReference r:id="rId4" w:type="default"/>
          <w:pgSz w:w="11906" w:h="16838"/>
          <w:pgMar w:top="1440" w:right="1440" w:bottom="1440" w:left="1440" w:header="708" w:footer="708" w:gutter="0"/>
          <w:cols w:space="720" w:num="1"/>
          <w:titlePg/>
          <w:docGrid w:linePitch="360" w:charSpace="0"/>
        </w:sectPr>
      </w:pPr>
    </w:p>
    <w:p w14:paraId="28BFFE99">
      <w:pPr>
        <w:pStyle w:val="2"/>
      </w:pPr>
      <w:r>
        <w:t>目录</w:t>
      </w:r>
    </w:p>
    <w:p w14:paraId="007E8EC4">
      <w:sdt>
        <w:sdtPr>
          <w:alias w:val="（在 Word/WPS 中右键此处 → 更新域，以显示目录及页码）"/>
          <w:id w:val="147476237"/>
        </w:sdtPr>
        <w:sdtContent/>
      </w:sdt>
    </w:p>
    <w:p w14:paraId="008DC11F">
      <w:r>
        <w:br w:type="page"/>
      </w:r>
    </w:p>
    <w:p w14:paraId="4CB5E83D">
      <w:pPr>
        <w:sectPr>
          <w:footerReference r:id="rId5" w:type="default"/>
          <w:pgSz w:w="11906" w:h="16838"/>
          <w:pgMar w:top="1440" w:right="1440" w:bottom="1440" w:left="1440" w:header="708" w:footer="708" w:gutter="0"/>
          <w:cols w:space="720" w:num="1"/>
          <w:titlePg/>
          <w:docGrid w:linePitch="360" w:charSpace="0"/>
        </w:sectPr>
      </w:pPr>
    </w:p>
    <w:p w14:paraId="0448F8F7">
      <w:pPr>
        <w:pStyle w:val="3"/>
      </w:pPr>
      <w:bookmarkStart w:id="0" w:name="toc-anchor-0"/>
      <w:r>
        <w:t>第一章 总则</w:t>
      </w:r>
      <w:bookmarkEnd w:id="0"/>
    </w:p>
    <w:p w14:paraId="2AF52639">
      <w:pPr>
        <w:pStyle w:val="4"/>
      </w:pPr>
      <w:bookmarkStart w:id="1" w:name="toc-anchor-1"/>
      <w:r>
        <w:t>第一条 目的与依据</w:t>
      </w:r>
      <w:bookmarkEnd w:id="1"/>
    </w:p>
    <w:p w14:paraId="53027DA0">
      <w:r>
        <w:t>为规范多租户预约平台（以下简称"本平台"）个人信息收集、存储、使用、加工、传输、提供、公开等处理活动，保障个人信息主体合法权益，根据《中华人民共和国个人信息保护法》《中华人民共和国网络安全法》《中华人民共和国数据安全法》《网络数据安全管理条例》及《小型个人信息处理者个人信息保护简化措施规定》等法律法规，制定本规则。</w:t>
      </w:r>
    </w:p>
    <w:p w14:paraId="3CC02B5C">
      <w:pPr>
        <w:pStyle w:val="4"/>
      </w:pPr>
      <w:bookmarkStart w:id="2" w:name="toc-anchor-2"/>
      <w:r>
        <w:t>第二条 适用范围</w:t>
      </w:r>
      <w:bookmarkEnd w:id="2"/>
    </w:p>
    <w:p w14:paraId="571DC84A">
      <w:r>
        <w:t>本规则适用于本平台运营方、入驻租户（含其管理员及终端用户）在平台上的全部个人信息处理活动，包括但不限于用户注册、登录、课程预约、通知联络、资质核验等场景。</w:t>
      </w:r>
    </w:p>
    <w:p w14:paraId="5927881A">
      <w:pPr>
        <w:pStyle w:val="4"/>
      </w:pPr>
      <w:bookmarkStart w:id="3" w:name="toc-anchor-3"/>
      <w:r>
        <w:t>第三条 术语定义</w:t>
      </w:r>
      <w:bookmarkEnd w:id="3"/>
    </w:p>
    <w:p w14:paraId="5DED39E7">
      <w:pPr>
        <w:pStyle w:val="18"/>
        <w:numPr>
          <w:ilvl w:val="0"/>
          <w:numId w:val="1"/>
        </w:numPr>
      </w:pPr>
      <w:r>
        <w:t>平台运营方：指本平台的技术服务提供方，在本规则中作为个人信息受托处理者。</w:t>
      </w:r>
    </w:p>
    <w:p w14:paraId="1BB6972A">
      <w:pPr>
        <w:pStyle w:val="18"/>
        <w:numPr>
          <w:ilvl w:val="0"/>
          <w:numId w:val="1"/>
        </w:numPr>
      </w:pPr>
      <w:r>
        <w:t>租户：指入驻本平台的教育机构或服务提供方，在本规则中作为个人信息处理者。</w:t>
      </w:r>
    </w:p>
    <w:p w14:paraId="73459AC3">
      <w:pPr>
        <w:pStyle w:val="18"/>
        <w:numPr>
          <w:ilvl w:val="0"/>
          <w:numId w:val="1"/>
        </w:numPr>
      </w:pPr>
      <w:r>
        <w:t>租户管理员：指租户指定的、负责管理租户账户及业务的人员。</w:t>
      </w:r>
    </w:p>
    <w:p w14:paraId="21B83584">
      <w:pPr>
        <w:pStyle w:val="18"/>
        <w:numPr>
          <w:ilvl w:val="0"/>
          <w:numId w:val="1"/>
        </w:numPr>
      </w:pPr>
      <w:r>
        <w:t>终端用户：指租户的服务对象，包括教师、学生及其监护人。</w:t>
      </w:r>
    </w:p>
    <w:p w14:paraId="2213E0E3">
      <w:pPr>
        <w:pStyle w:val="18"/>
        <w:numPr>
          <w:ilvl w:val="0"/>
          <w:numId w:val="1"/>
        </w:numPr>
      </w:pPr>
      <w:r>
        <w:t>个人信息：以电子或者其他方式记录的与已识别或者可识别的自然人有关的各种信息。</w:t>
      </w:r>
    </w:p>
    <w:p w14:paraId="55012C2F">
      <w:pPr>
        <w:pStyle w:val="18"/>
        <w:numPr>
          <w:ilvl w:val="0"/>
          <w:numId w:val="1"/>
        </w:numPr>
      </w:pPr>
      <w:r>
        <w:t>敏感个人信息：一旦泄露或者非法使用，容易导致自然人的人格尊严受到侵害或者人身、财产安全受到危害的个人信息，包括身份证件号码、生物识别信息、不满14周岁未成年人的个人信息等。</w:t>
      </w:r>
    </w:p>
    <w:p w14:paraId="35077979">
      <w:pPr>
        <w:pStyle w:val="3"/>
      </w:pPr>
      <w:bookmarkStart w:id="4" w:name="toc-anchor-4"/>
      <w:r>
        <w:t>第二章 法律角色界定与委托关系</w:t>
      </w:r>
      <w:bookmarkEnd w:id="4"/>
    </w:p>
    <w:p w14:paraId="69480825">
      <w:pPr>
        <w:pStyle w:val="4"/>
      </w:pPr>
      <w:bookmarkStart w:id="5" w:name="toc-anchor-5"/>
      <w:r>
        <w:t>第四条 平台运营方角色</w:t>
      </w:r>
      <w:bookmarkEnd w:id="5"/>
    </w:p>
    <w:p w14:paraId="7514A7D5">
      <w:r>
        <w:t>平台运营方在本平台个人信息处理活动中，作为受托处理者，依据租户的委托，在约定的目的和范围内处理个人信息。平台运营方不作为独立的个人信息处理者，不自行决定个人信息处理的目的和方式。</w:t>
      </w:r>
    </w:p>
    <w:p w14:paraId="494E1308">
      <w:pPr>
        <w:pStyle w:val="4"/>
      </w:pPr>
      <w:bookmarkStart w:id="6" w:name="toc-anchor-6"/>
      <w:r>
        <w:t>第五条 租户角色</w:t>
      </w:r>
      <w:bookmarkEnd w:id="6"/>
    </w:p>
    <w:p w14:paraId="39464357">
      <w:r>
        <w:t>租户作为个人信息处理者，自行决定其收集的终端用户个人信息的目的和方式，承担个人信息处理的法定义务，包括但不限于告知、取得同意、保障安全、响应权利请求等。</w:t>
      </w:r>
    </w:p>
    <w:p w14:paraId="2C42803A">
      <w:pPr>
        <w:pStyle w:val="4"/>
      </w:pPr>
      <w:bookmarkStart w:id="7" w:name="toc-anchor-7"/>
      <w:r>
        <w:t>第六条 委托处理关系</w:t>
      </w:r>
      <w:bookmarkEnd w:id="7"/>
    </w:p>
    <w:p w14:paraId="1FF6C881">
      <w:r>
        <w:t>平台运营方与租户之间构成委托处理关系。租户委托平台运营方提供技术基础设施，在租户控制的数据范围内进行必要的技术处理（存储、传输、展示等）。平台运营方不得超出委托范围处理个人信息，不得自行向第三方提供或公开委托处理的个人信息。</w:t>
      </w:r>
    </w:p>
    <w:p w14:paraId="5EE54BCB">
      <w:pPr>
        <w:pStyle w:val="4"/>
      </w:pPr>
      <w:bookmarkStart w:id="8" w:name="toc-anchor-8"/>
      <w:r>
        <w:t>第七条 委托处理合同要求</w:t>
      </w:r>
      <w:bookmarkEnd w:id="8"/>
    </w:p>
    <w:p w14:paraId="6EE1E24F">
      <w:r>
        <w:t>平台运营方与租户应当签订书面委托处理协议，协议应当至少包括以下内容：</w:t>
      </w:r>
    </w:p>
    <w:p w14:paraId="0C7331F5">
      <w:pPr>
        <w:pStyle w:val="18"/>
        <w:numPr>
          <w:ilvl w:val="0"/>
          <w:numId w:val="1"/>
        </w:numPr>
      </w:pPr>
      <w:r>
        <w:t>委托处理的目的、期限、处理方式、个人信息的种类、处理范围；</w:t>
      </w:r>
    </w:p>
    <w:p w14:paraId="797B95F5">
      <w:pPr>
        <w:pStyle w:val="18"/>
        <w:numPr>
          <w:ilvl w:val="0"/>
          <w:numId w:val="1"/>
        </w:numPr>
      </w:pPr>
      <w:r>
        <w:t>受托处理者的义务和责任，包括按照约定处理、不得超出约定范围处理、采取必要安全措施、协助处理者响应权利请求等；</w:t>
      </w:r>
    </w:p>
    <w:p w14:paraId="6A041316">
      <w:pPr>
        <w:pStyle w:val="18"/>
        <w:numPr>
          <w:ilvl w:val="0"/>
          <w:numId w:val="1"/>
        </w:numPr>
      </w:pPr>
      <w:r>
        <w:t>委托关系终止后个人信息的返还或删除安排；</w:t>
      </w:r>
    </w:p>
    <w:p w14:paraId="7404833E">
      <w:pPr>
        <w:pStyle w:val="18"/>
        <w:numPr>
          <w:ilvl w:val="0"/>
          <w:numId w:val="1"/>
        </w:numPr>
      </w:pPr>
      <w:r>
        <w:t>违约责任及争议解决机制。</w:t>
      </w:r>
    </w:p>
    <w:p w14:paraId="0EADD5FF">
      <w:r>
        <w:t>委托处理协议的留存期限不得少于三年。</w:t>
      </w:r>
    </w:p>
    <w:p w14:paraId="3C53926C">
      <w:pPr>
        <w:pStyle w:val="3"/>
      </w:pPr>
      <w:bookmarkStart w:id="9" w:name="toc-anchor-9"/>
      <w:r>
        <w:t>第三章 信息收集范围与目的</w:t>
      </w:r>
      <w:bookmarkEnd w:id="9"/>
    </w:p>
    <w:p w14:paraId="416C5472">
      <w:pPr>
        <w:pStyle w:val="4"/>
      </w:pPr>
      <w:bookmarkStart w:id="10" w:name="toc-anchor-10"/>
      <w:r>
        <w:t>第八条 平台运营方信息收集范围</w:t>
      </w:r>
      <w:bookmarkEnd w:id="10"/>
    </w:p>
    <w:p w14:paraId="09A670BF">
      <w:r>
        <w:t>平台运营方仅收集以下信息，不得收集超出本条范围的信息：</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7A060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72" w:type="dxa"/>
            <w:tcBorders>
              <w:top w:val="single" w:color="BFBFBF" w:sz="0" w:space="0"/>
              <w:left w:val="single" w:color="BFBFBF" w:sz="0" w:space="0"/>
              <w:bottom w:val="single" w:color="BFBFBF" w:sz="0" w:space="0"/>
              <w:right w:val="single" w:color="BFBFBF" w:sz="0" w:space="0"/>
            </w:tcBorders>
            <w:shd w:val="clear" w:color="auto" w:fill="2F5496"/>
            <w:tcMar>
              <w:top w:w="80" w:type="dxa"/>
              <w:left w:w="120" w:type="dxa"/>
              <w:bottom w:w="80" w:type="dxa"/>
              <w:right w:w="120" w:type="dxa"/>
            </w:tcMar>
          </w:tcPr>
          <w:p w14:paraId="4E6C286E">
            <w:r>
              <w:rPr>
                <w:b/>
                <w:bCs/>
                <w:color w:val="FFFFFF"/>
                <w:sz w:val="20"/>
                <w:szCs w:val="20"/>
              </w:rPr>
              <w:t>信息类别</w:t>
            </w:r>
          </w:p>
        </w:tc>
        <w:tc>
          <w:tcPr>
            <w:tcW w:w="1872" w:type="dxa"/>
            <w:tcBorders>
              <w:top w:val="single" w:color="BFBFBF" w:sz="0" w:space="0"/>
              <w:left w:val="single" w:color="BFBFBF" w:sz="0" w:space="0"/>
              <w:bottom w:val="single" w:color="BFBFBF" w:sz="0" w:space="0"/>
              <w:right w:val="single" w:color="BFBFBF" w:sz="0" w:space="0"/>
            </w:tcBorders>
            <w:shd w:val="clear" w:color="auto" w:fill="2F5496"/>
            <w:tcMar>
              <w:top w:w="80" w:type="dxa"/>
              <w:left w:w="120" w:type="dxa"/>
              <w:bottom w:w="80" w:type="dxa"/>
              <w:right w:w="120" w:type="dxa"/>
            </w:tcMar>
          </w:tcPr>
          <w:p w14:paraId="5798C4E9">
            <w:r>
              <w:rPr>
                <w:b/>
                <w:bCs/>
                <w:color w:val="FFFFFF"/>
                <w:sz w:val="20"/>
                <w:szCs w:val="20"/>
              </w:rPr>
              <w:t>具体字段</w:t>
            </w:r>
          </w:p>
        </w:tc>
        <w:tc>
          <w:tcPr>
            <w:tcW w:w="1872" w:type="dxa"/>
            <w:tcBorders>
              <w:top w:val="single" w:color="BFBFBF" w:sz="0" w:space="0"/>
              <w:left w:val="single" w:color="BFBFBF" w:sz="0" w:space="0"/>
              <w:bottom w:val="single" w:color="BFBFBF" w:sz="0" w:space="0"/>
              <w:right w:val="single" w:color="BFBFBF" w:sz="0" w:space="0"/>
            </w:tcBorders>
            <w:shd w:val="clear" w:color="auto" w:fill="2F5496"/>
            <w:tcMar>
              <w:top w:w="80" w:type="dxa"/>
              <w:left w:w="120" w:type="dxa"/>
              <w:bottom w:w="80" w:type="dxa"/>
              <w:right w:w="120" w:type="dxa"/>
            </w:tcMar>
          </w:tcPr>
          <w:p w14:paraId="6A1B4D48">
            <w:r>
              <w:rPr>
                <w:b/>
                <w:bCs/>
                <w:color w:val="FFFFFF"/>
                <w:sz w:val="20"/>
                <w:szCs w:val="20"/>
              </w:rPr>
              <w:t>信息属性</w:t>
            </w:r>
          </w:p>
        </w:tc>
        <w:tc>
          <w:tcPr>
            <w:tcW w:w="1872" w:type="dxa"/>
            <w:tcBorders>
              <w:top w:val="single" w:color="BFBFBF" w:sz="0" w:space="0"/>
              <w:left w:val="single" w:color="BFBFBF" w:sz="0" w:space="0"/>
              <w:bottom w:val="single" w:color="BFBFBF" w:sz="0" w:space="0"/>
              <w:right w:val="single" w:color="BFBFBF" w:sz="0" w:space="0"/>
            </w:tcBorders>
            <w:shd w:val="clear" w:color="auto" w:fill="2F5496"/>
            <w:tcMar>
              <w:top w:w="80" w:type="dxa"/>
              <w:left w:w="120" w:type="dxa"/>
              <w:bottom w:w="80" w:type="dxa"/>
              <w:right w:w="120" w:type="dxa"/>
            </w:tcMar>
          </w:tcPr>
          <w:p w14:paraId="5EF026FC">
            <w:r>
              <w:rPr>
                <w:b/>
                <w:bCs/>
                <w:color w:val="FFFFFF"/>
                <w:sz w:val="20"/>
                <w:szCs w:val="20"/>
              </w:rPr>
              <w:t>收集目的</w:t>
            </w:r>
          </w:p>
        </w:tc>
        <w:tc>
          <w:tcPr>
            <w:tcW w:w="1872" w:type="dxa"/>
            <w:tcBorders>
              <w:top w:val="single" w:color="BFBFBF" w:sz="0" w:space="0"/>
              <w:left w:val="single" w:color="BFBFBF" w:sz="0" w:space="0"/>
              <w:bottom w:val="single" w:color="BFBFBF" w:sz="0" w:space="0"/>
              <w:right w:val="single" w:color="BFBFBF" w:sz="0" w:space="0"/>
            </w:tcBorders>
            <w:shd w:val="clear" w:color="auto" w:fill="2F5496"/>
            <w:tcMar>
              <w:top w:w="80" w:type="dxa"/>
              <w:left w:w="120" w:type="dxa"/>
              <w:bottom w:w="80" w:type="dxa"/>
              <w:right w:w="120" w:type="dxa"/>
            </w:tcMar>
          </w:tcPr>
          <w:p w14:paraId="65B3EE84">
            <w:r>
              <w:rPr>
                <w:b/>
                <w:bCs/>
                <w:color w:val="FFFFFF"/>
                <w:sz w:val="20"/>
                <w:szCs w:val="20"/>
              </w:rPr>
              <w:t>合法性基础</w:t>
            </w:r>
          </w:p>
        </w:tc>
      </w:tr>
      <w:tr w14:paraId="31B65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BE41853">
            <w:r>
              <w:rPr>
                <w:sz w:val="20"/>
                <w:szCs w:val="20"/>
              </w:rPr>
              <w:t>租户管理员联系方式</w:t>
            </w:r>
          </w:p>
        </w:tc>
        <w:tc>
          <w:tcPr>
            <w:tcW w:w="1872"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FE82F10">
            <w:r>
              <w:rPr>
                <w:sz w:val="20"/>
                <w:szCs w:val="20"/>
              </w:rPr>
              <w:t>姓名、手机号码、电子邮箱</w:t>
            </w:r>
          </w:p>
        </w:tc>
        <w:tc>
          <w:tcPr>
            <w:tcW w:w="1872"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C08A1E2">
            <w:r>
              <w:rPr>
                <w:sz w:val="20"/>
                <w:szCs w:val="20"/>
              </w:rPr>
              <w:t>一般个人信息</w:t>
            </w:r>
          </w:p>
        </w:tc>
        <w:tc>
          <w:tcPr>
            <w:tcW w:w="1872"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4F04950">
            <w:r>
              <w:rPr>
                <w:sz w:val="20"/>
                <w:szCs w:val="20"/>
              </w:rPr>
              <w:t>账户管理、业务联络、安全通知</w:t>
            </w:r>
          </w:p>
        </w:tc>
        <w:tc>
          <w:tcPr>
            <w:tcW w:w="1872"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A29106E">
            <w:r>
              <w:rPr>
                <w:sz w:val="20"/>
                <w:szCs w:val="20"/>
              </w:rPr>
              <w:t>合同履行所必需</w:t>
            </w:r>
          </w:p>
        </w:tc>
      </w:tr>
      <w:tr w14:paraId="59559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40EE4313">
            <w:r>
              <w:rPr>
                <w:sz w:val="20"/>
                <w:szCs w:val="20"/>
              </w:rPr>
              <w:t>租户企业信息</w:t>
            </w:r>
          </w:p>
        </w:tc>
        <w:tc>
          <w:tcPr>
            <w:tcW w:w="1872"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4B4EEF9A">
            <w:r>
              <w:rPr>
                <w:sz w:val="20"/>
                <w:szCs w:val="20"/>
              </w:rPr>
              <w:t>公司名称、统一社会信用代码、注册地址、营业执照、资质证件</w:t>
            </w:r>
          </w:p>
        </w:tc>
        <w:tc>
          <w:tcPr>
            <w:tcW w:w="1872"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38A50D27">
            <w:r>
              <w:rPr>
                <w:sz w:val="20"/>
                <w:szCs w:val="20"/>
              </w:rPr>
              <w:t>非个人信息（企业信息）</w:t>
            </w:r>
          </w:p>
        </w:tc>
        <w:tc>
          <w:tcPr>
            <w:tcW w:w="1872"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659210C1">
            <w:r>
              <w:rPr>
                <w:sz w:val="20"/>
                <w:szCs w:val="20"/>
              </w:rPr>
              <w:t>租户资质核验、平台准入审查</w:t>
            </w:r>
          </w:p>
        </w:tc>
        <w:tc>
          <w:tcPr>
            <w:tcW w:w="1872"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7ABF9A2F">
            <w:r>
              <w:rPr>
                <w:sz w:val="20"/>
                <w:szCs w:val="20"/>
              </w:rPr>
              <w:t>法定义务</w:t>
            </w:r>
          </w:p>
        </w:tc>
      </w:tr>
      <w:tr w14:paraId="743C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D5B7D81">
            <w:r>
              <w:rPr>
                <w:sz w:val="20"/>
                <w:szCs w:val="20"/>
              </w:rPr>
              <w:t>聚合统计数据</w:t>
            </w:r>
          </w:p>
        </w:tc>
        <w:tc>
          <w:tcPr>
            <w:tcW w:w="1872"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17D5883">
            <w:r>
              <w:rPr>
                <w:sz w:val="20"/>
                <w:szCs w:val="20"/>
              </w:rPr>
              <w:t>各租户用户数量、在线人数、预约量统计</w:t>
            </w:r>
          </w:p>
        </w:tc>
        <w:tc>
          <w:tcPr>
            <w:tcW w:w="1872"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50A85F9">
            <w:r>
              <w:rPr>
                <w:sz w:val="20"/>
                <w:szCs w:val="20"/>
              </w:rPr>
              <w:t>匿名化数据</w:t>
            </w:r>
          </w:p>
        </w:tc>
        <w:tc>
          <w:tcPr>
            <w:tcW w:w="1872"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686C6E5">
            <w:r>
              <w:rPr>
                <w:sz w:val="20"/>
                <w:szCs w:val="20"/>
              </w:rPr>
              <w:t>平台运营分析、服务优化</w:t>
            </w:r>
          </w:p>
        </w:tc>
        <w:tc>
          <w:tcPr>
            <w:tcW w:w="1872"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1D35995">
            <w:r>
              <w:rPr>
                <w:sz w:val="20"/>
                <w:szCs w:val="20"/>
              </w:rPr>
              <w:t>匿名化处理，不涉及个人信息</w:t>
            </w:r>
          </w:p>
        </w:tc>
      </w:tr>
    </w:tbl>
    <w:p w14:paraId="158F53D6">
      <w:r>
        <w:t>平台运营方不收集、不查看租户管理员以外的终端用户个人信息。平台运营方仅通过聚合统计获取各租户的用户数量和在线人数等匿名化数据，不识别特定自然人。</w:t>
      </w:r>
    </w:p>
    <w:p w14:paraId="5E77827E">
      <w:pPr>
        <w:pStyle w:val="4"/>
      </w:pPr>
      <w:bookmarkStart w:id="11" w:name="toc-anchor-11"/>
      <w:r>
        <w:t>第九条 租户信息收集范围</w:t>
      </w:r>
      <w:bookmarkEnd w:id="11"/>
    </w:p>
    <w:p w14:paraId="63EEDDD7">
      <w:r>
        <w:t>租户根据业务需要收集终端用户信息，收集范围应当限于实现处理目的的最小范围：</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3E1AA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72" w:type="dxa"/>
            <w:tcBorders>
              <w:top w:val="single" w:color="BFBFBF" w:sz="0" w:space="0"/>
              <w:left w:val="single" w:color="BFBFBF" w:sz="0" w:space="0"/>
              <w:bottom w:val="single" w:color="BFBFBF" w:sz="0" w:space="0"/>
              <w:right w:val="single" w:color="BFBFBF" w:sz="0" w:space="0"/>
            </w:tcBorders>
            <w:shd w:val="clear" w:color="auto" w:fill="2F5496"/>
            <w:tcMar>
              <w:top w:w="80" w:type="dxa"/>
              <w:left w:w="120" w:type="dxa"/>
              <w:bottom w:w="80" w:type="dxa"/>
              <w:right w:w="120" w:type="dxa"/>
            </w:tcMar>
          </w:tcPr>
          <w:p w14:paraId="1C119891">
            <w:r>
              <w:rPr>
                <w:b/>
                <w:bCs/>
                <w:color w:val="FFFFFF"/>
                <w:sz w:val="20"/>
                <w:szCs w:val="20"/>
              </w:rPr>
              <w:t>用户类型</w:t>
            </w:r>
          </w:p>
        </w:tc>
        <w:tc>
          <w:tcPr>
            <w:tcW w:w="1872" w:type="dxa"/>
            <w:tcBorders>
              <w:top w:val="single" w:color="BFBFBF" w:sz="0" w:space="0"/>
              <w:left w:val="single" w:color="BFBFBF" w:sz="0" w:space="0"/>
              <w:bottom w:val="single" w:color="BFBFBF" w:sz="0" w:space="0"/>
              <w:right w:val="single" w:color="BFBFBF" w:sz="0" w:space="0"/>
            </w:tcBorders>
            <w:shd w:val="clear" w:color="auto" w:fill="2F5496"/>
            <w:tcMar>
              <w:top w:w="80" w:type="dxa"/>
              <w:left w:w="120" w:type="dxa"/>
              <w:bottom w:w="80" w:type="dxa"/>
              <w:right w:w="120" w:type="dxa"/>
            </w:tcMar>
          </w:tcPr>
          <w:p w14:paraId="383D6F2F">
            <w:r>
              <w:rPr>
                <w:b/>
                <w:bCs/>
                <w:color w:val="FFFFFF"/>
                <w:sz w:val="20"/>
                <w:szCs w:val="20"/>
              </w:rPr>
              <w:t>收集字段</w:t>
            </w:r>
          </w:p>
        </w:tc>
        <w:tc>
          <w:tcPr>
            <w:tcW w:w="1872" w:type="dxa"/>
            <w:tcBorders>
              <w:top w:val="single" w:color="BFBFBF" w:sz="0" w:space="0"/>
              <w:left w:val="single" w:color="BFBFBF" w:sz="0" w:space="0"/>
              <w:bottom w:val="single" w:color="BFBFBF" w:sz="0" w:space="0"/>
              <w:right w:val="single" w:color="BFBFBF" w:sz="0" w:space="0"/>
            </w:tcBorders>
            <w:shd w:val="clear" w:color="auto" w:fill="2F5496"/>
            <w:tcMar>
              <w:top w:w="80" w:type="dxa"/>
              <w:left w:w="120" w:type="dxa"/>
              <w:bottom w:w="80" w:type="dxa"/>
              <w:right w:w="120" w:type="dxa"/>
            </w:tcMar>
          </w:tcPr>
          <w:p w14:paraId="71A4ED12">
            <w:r>
              <w:rPr>
                <w:b/>
                <w:bCs/>
                <w:color w:val="FFFFFF"/>
                <w:sz w:val="20"/>
                <w:szCs w:val="20"/>
              </w:rPr>
              <w:t>信息属性</w:t>
            </w:r>
          </w:p>
        </w:tc>
        <w:tc>
          <w:tcPr>
            <w:tcW w:w="1872" w:type="dxa"/>
            <w:tcBorders>
              <w:top w:val="single" w:color="BFBFBF" w:sz="0" w:space="0"/>
              <w:left w:val="single" w:color="BFBFBF" w:sz="0" w:space="0"/>
              <w:bottom w:val="single" w:color="BFBFBF" w:sz="0" w:space="0"/>
              <w:right w:val="single" w:color="BFBFBF" w:sz="0" w:space="0"/>
            </w:tcBorders>
            <w:shd w:val="clear" w:color="auto" w:fill="2F5496"/>
            <w:tcMar>
              <w:top w:w="80" w:type="dxa"/>
              <w:left w:w="120" w:type="dxa"/>
              <w:bottom w:w="80" w:type="dxa"/>
              <w:right w:w="120" w:type="dxa"/>
            </w:tcMar>
          </w:tcPr>
          <w:p w14:paraId="264B8D9B">
            <w:r>
              <w:rPr>
                <w:b/>
                <w:bCs/>
                <w:color w:val="FFFFFF"/>
                <w:sz w:val="20"/>
                <w:szCs w:val="20"/>
              </w:rPr>
              <w:t>收集目的</w:t>
            </w:r>
          </w:p>
        </w:tc>
        <w:tc>
          <w:tcPr>
            <w:tcW w:w="1872" w:type="dxa"/>
            <w:tcBorders>
              <w:top w:val="single" w:color="BFBFBF" w:sz="0" w:space="0"/>
              <w:left w:val="single" w:color="BFBFBF" w:sz="0" w:space="0"/>
              <w:bottom w:val="single" w:color="BFBFBF" w:sz="0" w:space="0"/>
              <w:right w:val="single" w:color="BFBFBF" w:sz="0" w:space="0"/>
            </w:tcBorders>
            <w:shd w:val="clear" w:color="auto" w:fill="2F5496"/>
            <w:tcMar>
              <w:top w:w="80" w:type="dxa"/>
              <w:left w:w="120" w:type="dxa"/>
              <w:bottom w:w="80" w:type="dxa"/>
              <w:right w:w="120" w:type="dxa"/>
            </w:tcMar>
          </w:tcPr>
          <w:p w14:paraId="329F7E3D">
            <w:r>
              <w:rPr>
                <w:b/>
                <w:bCs/>
                <w:color w:val="FFFFFF"/>
                <w:sz w:val="20"/>
                <w:szCs w:val="20"/>
              </w:rPr>
              <w:t>合法性基础</w:t>
            </w:r>
          </w:p>
        </w:tc>
      </w:tr>
      <w:tr w14:paraId="19D9D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434D545">
            <w:r>
              <w:rPr>
                <w:sz w:val="20"/>
                <w:szCs w:val="20"/>
              </w:rPr>
              <w:t>教师</w:t>
            </w:r>
          </w:p>
        </w:tc>
        <w:tc>
          <w:tcPr>
            <w:tcW w:w="1872"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622F199">
            <w:r>
              <w:rPr>
                <w:sz w:val="20"/>
                <w:szCs w:val="20"/>
              </w:rPr>
              <w:t>姓名、手机号码、电子邮箱</w:t>
            </w:r>
          </w:p>
        </w:tc>
        <w:tc>
          <w:tcPr>
            <w:tcW w:w="1872"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C8D5701">
            <w:r>
              <w:rPr>
                <w:sz w:val="20"/>
                <w:szCs w:val="20"/>
              </w:rPr>
              <w:t>一般个人信息</w:t>
            </w:r>
          </w:p>
        </w:tc>
        <w:tc>
          <w:tcPr>
            <w:tcW w:w="1872"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06CAAD7">
            <w:r>
              <w:rPr>
                <w:sz w:val="20"/>
                <w:szCs w:val="20"/>
              </w:rPr>
              <w:t>课程通知联络、账户管理</w:t>
            </w:r>
          </w:p>
        </w:tc>
        <w:tc>
          <w:tcPr>
            <w:tcW w:w="1872"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EF83FED">
            <w:r>
              <w:rPr>
                <w:sz w:val="20"/>
                <w:szCs w:val="20"/>
              </w:rPr>
              <w:t>合同履行所必需</w:t>
            </w:r>
          </w:p>
        </w:tc>
      </w:tr>
      <w:tr w14:paraId="291EA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634597EA">
            <w:r>
              <w:rPr>
                <w:sz w:val="20"/>
                <w:szCs w:val="20"/>
              </w:rPr>
              <w:t>教师</w:t>
            </w:r>
          </w:p>
        </w:tc>
        <w:tc>
          <w:tcPr>
            <w:tcW w:w="1872"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183EF96F">
            <w:r>
              <w:rPr>
                <w:sz w:val="20"/>
                <w:szCs w:val="20"/>
              </w:rPr>
              <w:t>教师资格证编号、资质证书扫描件</w:t>
            </w:r>
          </w:p>
        </w:tc>
        <w:tc>
          <w:tcPr>
            <w:tcW w:w="1872"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58797EFB">
            <w:r>
              <w:rPr>
                <w:sz w:val="20"/>
                <w:szCs w:val="20"/>
              </w:rPr>
              <w:t>敏感个人信息（含身份证号）</w:t>
            </w:r>
          </w:p>
        </w:tc>
        <w:tc>
          <w:tcPr>
            <w:tcW w:w="1872"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1D51564F">
            <w:r>
              <w:rPr>
                <w:sz w:val="20"/>
                <w:szCs w:val="20"/>
              </w:rPr>
              <w:t>教师资质核验</w:t>
            </w:r>
          </w:p>
        </w:tc>
        <w:tc>
          <w:tcPr>
            <w:tcW w:w="1872"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71A90B57">
            <w:r>
              <w:rPr>
                <w:sz w:val="20"/>
                <w:szCs w:val="20"/>
              </w:rPr>
              <w:t>单独同意</w:t>
            </w:r>
          </w:p>
        </w:tc>
      </w:tr>
      <w:tr w14:paraId="093C8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9837BE4">
            <w:r>
              <w:rPr>
                <w:sz w:val="20"/>
                <w:szCs w:val="20"/>
              </w:rPr>
              <w:t>学生（≥14周岁）</w:t>
            </w:r>
          </w:p>
        </w:tc>
        <w:tc>
          <w:tcPr>
            <w:tcW w:w="1872"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65440C4">
            <w:r>
              <w:rPr>
                <w:sz w:val="20"/>
                <w:szCs w:val="20"/>
              </w:rPr>
              <w:t>姓名、手机号码或电子邮箱、年级/班级</w:t>
            </w:r>
          </w:p>
        </w:tc>
        <w:tc>
          <w:tcPr>
            <w:tcW w:w="1872"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ABB1E84">
            <w:r>
              <w:rPr>
                <w:sz w:val="20"/>
                <w:szCs w:val="20"/>
              </w:rPr>
              <w:t>一般个人信息</w:t>
            </w:r>
          </w:p>
        </w:tc>
        <w:tc>
          <w:tcPr>
            <w:tcW w:w="1872"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4BEF5A4">
            <w:r>
              <w:rPr>
                <w:sz w:val="20"/>
                <w:szCs w:val="20"/>
              </w:rPr>
              <w:t>课程预约、通知联络</w:t>
            </w:r>
          </w:p>
        </w:tc>
        <w:tc>
          <w:tcPr>
            <w:tcW w:w="1872"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666EF6E">
            <w:r>
              <w:rPr>
                <w:sz w:val="20"/>
                <w:szCs w:val="20"/>
              </w:rPr>
              <w:t>本人同意</w:t>
            </w:r>
          </w:p>
        </w:tc>
      </w:tr>
      <w:tr w14:paraId="14258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55F9DEC7">
            <w:r>
              <w:rPr>
                <w:sz w:val="20"/>
                <w:szCs w:val="20"/>
              </w:rPr>
              <w:t>学生（&lt;14周岁）</w:t>
            </w:r>
          </w:p>
        </w:tc>
        <w:tc>
          <w:tcPr>
            <w:tcW w:w="1872"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44CF27EF">
            <w:r>
              <w:rPr>
                <w:sz w:val="20"/>
                <w:szCs w:val="20"/>
              </w:rPr>
              <w:t>姓名、监护人联系方式、年级/班级</w:t>
            </w:r>
          </w:p>
        </w:tc>
        <w:tc>
          <w:tcPr>
            <w:tcW w:w="1872"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59774AD8">
            <w:r>
              <w:rPr>
                <w:sz w:val="20"/>
                <w:szCs w:val="20"/>
              </w:rPr>
              <w:t>敏感个人信息</w:t>
            </w:r>
          </w:p>
        </w:tc>
        <w:tc>
          <w:tcPr>
            <w:tcW w:w="1872"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273AB8BD">
            <w:r>
              <w:rPr>
                <w:sz w:val="20"/>
                <w:szCs w:val="20"/>
              </w:rPr>
              <w:t>课程预约、通知联络</w:t>
            </w:r>
          </w:p>
        </w:tc>
        <w:tc>
          <w:tcPr>
            <w:tcW w:w="1872"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20BA357A">
            <w:r>
              <w:rPr>
                <w:sz w:val="20"/>
                <w:szCs w:val="20"/>
              </w:rPr>
              <w:t>监护人单独同意</w:t>
            </w:r>
          </w:p>
        </w:tc>
      </w:tr>
    </w:tbl>
    <w:p w14:paraId="5D859300">
      <w:pPr>
        <w:pStyle w:val="4"/>
      </w:pPr>
      <w:bookmarkStart w:id="12" w:name="toc-anchor-12"/>
      <w:r>
        <w:t>第十条 收集目的限定</w:t>
      </w:r>
      <w:bookmarkEnd w:id="12"/>
    </w:p>
    <w:p w14:paraId="47AFB134">
      <w:r>
        <w:t>所有收集的个人信息仅用于以下目的：</w:t>
      </w:r>
    </w:p>
    <w:p w14:paraId="0F81835C">
      <w:pPr>
        <w:pStyle w:val="18"/>
        <w:numPr>
          <w:ilvl w:val="0"/>
          <w:numId w:val="1"/>
        </w:numPr>
      </w:pPr>
      <w:r>
        <w:t>课程预约与排课管理；</w:t>
      </w:r>
    </w:p>
    <w:p w14:paraId="1503179C">
      <w:pPr>
        <w:pStyle w:val="18"/>
        <w:numPr>
          <w:ilvl w:val="0"/>
          <w:numId w:val="1"/>
        </w:numPr>
      </w:pPr>
      <w:r>
        <w:t>课程通知与联络；</w:t>
      </w:r>
    </w:p>
    <w:p w14:paraId="7B7C7163">
      <w:pPr>
        <w:pStyle w:val="18"/>
        <w:numPr>
          <w:ilvl w:val="0"/>
          <w:numId w:val="1"/>
        </w:numPr>
      </w:pPr>
      <w:r>
        <w:t>教师资质核验；</w:t>
      </w:r>
    </w:p>
    <w:p w14:paraId="1F5F5D11">
      <w:pPr>
        <w:pStyle w:val="18"/>
        <w:numPr>
          <w:ilvl w:val="0"/>
          <w:numId w:val="1"/>
        </w:numPr>
      </w:pPr>
      <w:r>
        <w:t>账户管理与身份认证；</w:t>
      </w:r>
    </w:p>
    <w:p w14:paraId="5506A0A6">
      <w:pPr>
        <w:pStyle w:val="18"/>
        <w:numPr>
          <w:ilvl w:val="0"/>
          <w:numId w:val="1"/>
        </w:numPr>
      </w:pPr>
      <w:r>
        <w:t>安全防护与风险控制。</w:t>
      </w:r>
    </w:p>
    <w:p w14:paraId="039BDE13">
      <w:r>
        <w:t>收集的个人信息不得用于上述目的以外的其他用途。变更使用目的的，应当重新告知并取得同意。</w:t>
      </w:r>
    </w:p>
    <w:p w14:paraId="28B4B99A">
      <w:pPr>
        <w:pStyle w:val="4"/>
      </w:pPr>
      <w:bookmarkStart w:id="13" w:name="toc-anchor-13"/>
      <w:r>
        <w:t>第十一条 禁止收集的信息</w:t>
      </w:r>
      <w:bookmarkEnd w:id="13"/>
    </w:p>
    <w:p w14:paraId="5632BDE1">
      <w:r>
        <w:t>以下信息非经法定事由不得收集：</w:t>
      </w:r>
    </w:p>
    <w:p w14:paraId="201C07B0">
      <w:pPr>
        <w:pStyle w:val="18"/>
        <w:numPr>
          <w:ilvl w:val="0"/>
          <w:numId w:val="1"/>
        </w:numPr>
      </w:pPr>
      <w:r>
        <w:t>生物识别信息（指纹、人脸等），除非法律法规明确要求且取得单独同意；</w:t>
      </w:r>
    </w:p>
    <w:p w14:paraId="5A6B5043">
      <w:pPr>
        <w:pStyle w:val="18"/>
        <w:numPr>
          <w:ilvl w:val="0"/>
          <w:numId w:val="1"/>
        </w:numPr>
      </w:pPr>
      <w:r>
        <w:t>宗教信仰、民族、医疗健康、金融账户等敏感信息，除非与课程服务直接相关且取得单独同意；</w:t>
      </w:r>
    </w:p>
    <w:p w14:paraId="1732C058">
      <w:pPr>
        <w:pStyle w:val="18"/>
        <w:numPr>
          <w:ilvl w:val="0"/>
          <w:numId w:val="1"/>
        </w:numPr>
      </w:pPr>
      <w:r>
        <w:t>物理通信地址（信箱地址），在线预约系统以电子通知为主，物理信箱难以证明与处理目的直接相关，原则上不收集。</w:t>
      </w:r>
    </w:p>
    <w:p w14:paraId="5F7AAFDC">
      <w:pPr>
        <w:pStyle w:val="3"/>
      </w:pPr>
      <w:bookmarkStart w:id="14" w:name="toc-anchor-14"/>
      <w:r>
        <w:t>第四章 信息处理基本原则</w:t>
      </w:r>
      <w:bookmarkEnd w:id="14"/>
    </w:p>
    <w:p w14:paraId="4928D049">
      <w:pPr>
        <w:pStyle w:val="4"/>
      </w:pPr>
      <w:bookmarkStart w:id="15" w:name="toc-anchor-15"/>
      <w:r>
        <w:t>第十二条 最小必要原则</w:t>
      </w:r>
      <w:bookmarkEnd w:id="15"/>
    </w:p>
    <w:p w14:paraId="165D79B5">
      <w:r>
        <w:t>收集和处理个人信息应当限于实现处理目的的最小范围，不得过度收集。处理个人信息不得采取与处理目的无关的方式。</w:t>
      </w:r>
    </w:p>
    <w:p w14:paraId="6BF2D91C">
      <w:pPr>
        <w:pStyle w:val="4"/>
      </w:pPr>
      <w:bookmarkStart w:id="16" w:name="toc-anchor-16"/>
      <w:r>
        <w:t>第十三条 目的限定原则</w:t>
      </w:r>
      <w:bookmarkEnd w:id="16"/>
    </w:p>
    <w:p w14:paraId="5E0399A1">
      <w:r>
        <w:t>个人信息仅用于收集时告知的目的，不得超出该目的进行处理。确需变更的，应当重新告知信息主体并取得同意。</w:t>
      </w:r>
    </w:p>
    <w:p w14:paraId="4741FE7E">
      <w:pPr>
        <w:pStyle w:val="4"/>
      </w:pPr>
      <w:bookmarkStart w:id="17" w:name="toc-anchor-17"/>
      <w:r>
        <w:t>第十四条 知情同意原则</w:t>
      </w:r>
      <w:bookmarkEnd w:id="17"/>
    </w:p>
    <w:p w14:paraId="1B83845F">
      <w:r>
        <w:t>处理个人信息前，应当以显著方式、清晰易懂的语言向信息主体告知处理信息规则，并取得其明示同意。处理敏感个人信息应当取得单独同意。</w:t>
      </w:r>
    </w:p>
    <w:p w14:paraId="2C77F272">
      <w:pPr>
        <w:pStyle w:val="4"/>
      </w:pPr>
      <w:bookmarkStart w:id="18" w:name="toc-anchor-18"/>
      <w:r>
        <w:t>第十五条 安全保护原则</w:t>
      </w:r>
      <w:bookmarkEnd w:id="18"/>
    </w:p>
    <w:p w14:paraId="0AE48885">
      <w:r>
        <w:t>应当采取必要措施保障个人信息安全，防止信息泄露、篡改、丢失、损毁、毁损和非法使用。</w:t>
      </w:r>
    </w:p>
    <w:p w14:paraId="11ADDB0E">
      <w:pPr>
        <w:pStyle w:val="4"/>
      </w:pPr>
      <w:bookmarkStart w:id="19" w:name="toc-anchor-19"/>
      <w:r>
        <w:t>第十六条 透明原则</w:t>
      </w:r>
      <w:bookmarkEnd w:id="19"/>
    </w:p>
    <w:p w14:paraId="31205816">
      <w:r>
        <w:t>应当公开个人信息处理规则，明示处理的目的、方式、范围，保障信息主体的知情权和决定权。</w:t>
      </w:r>
    </w:p>
    <w:p w14:paraId="4024CCDB">
      <w:pPr>
        <w:pStyle w:val="3"/>
      </w:pPr>
      <w:bookmarkStart w:id="20" w:name="toc-anchor-20"/>
      <w:r>
        <w:t>第五章 敏感信息处理规则</w:t>
      </w:r>
      <w:bookmarkEnd w:id="20"/>
    </w:p>
    <w:p w14:paraId="3D3342B8">
      <w:pPr>
        <w:pStyle w:val="4"/>
      </w:pPr>
      <w:bookmarkStart w:id="21" w:name="toc-anchor-21"/>
      <w:r>
        <w:t>第十七条 敏感信息识别</w:t>
      </w:r>
      <w:bookmarkEnd w:id="21"/>
    </w:p>
    <w:p w14:paraId="37AB014F">
      <w:r>
        <w:t>本平台涉及以下敏感个人信息：</w:t>
      </w:r>
    </w:p>
    <w:p w14:paraId="7FDDBE6E">
      <w:pPr>
        <w:pStyle w:val="18"/>
        <w:numPr>
          <w:ilvl w:val="0"/>
          <w:numId w:val="1"/>
        </w:numPr>
      </w:pPr>
      <w:r>
        <w:t>教师资质文件中的身份证件号码；</w:t>
      </w:r>
    </w:p>
    <w:p w14:paraId="6F0A2B87">
      <w:pPr>
        <w:pStyle w:val="18"/>
        <w:numPr>
          <w:ilvl w:val="0"/>
          <w:numId w:val="1"/>
        </w:numPr>
      </w:pPr>
      <w:r>
        <w:t>不满14周岁学生的个人信息；</w:t>
      </w:r>
    </w:p>
    <w:p w14:paraId="1D090B99">
      <w:pPr>
        <w:pStyle w:val="18"/>
        <w:numPr>
          <w:ilvl w:val="0"/>
          <w:numId w:val="1"/>
        </w:numPr>
      </w:pPr>
      <w:r>
        <w:t>其他符合《个人信息保护法》第二十八条规定的敏感信息。</w:t>
      </w:r>
    </w:p>
    <w:p w14:paraId="5ED937C1">
      <w:pPr>
        <w:pStyle w:val="4"/>
      </w:pPr>
      <w:bookmarkStart w:id="22" w:name="toc-anchor-22"/>
      <w:r>
        <w:t>第十八条 单独同意要求</w:t>
      </w:r>
      <w:bookmarkEnd w:id="22"/>
    </w:p>
    <w:p w14:paraId="05A9F1B4">
      <w:r>
        <w:t>处理敏感个人信息必须取得信息主体的单独同意，不得与一般个人信息的同意合并获取。同意文本应当单独列出敏感信息的处理目的、方式和可能的影响。</w:t>
      </w:r>
    </w:p>
    <w:p w14:paraId="16D57D7D">
      <w:pPr>
        <w:pStyle w:val="4"/>
      </w:pPr>
      <w:bookmarkStart w:id="23" w:name="toc-anchor-23"/>
      <w:r>
        <w:t>第十九条 敏感信息安全措施</w:t>
      </w:r>
      <w:bookmarkEnd w:id="23"/>
    </w:p>
    <w:p w14:paraId="5CCB397E">
      <w:pPr>
        <w:pStyle w:val="18"/>
        <w:numPr>
          <w:ilvl w:val="0"/>
          <w:numId w:val="1"/>
        </w:numPr>
      </w:pPr>
      <w:r>
        <w:t>加密存储：敏感信息应当采用加密方式存储，加密算法应当符合国家标准；</w:t>
      </w:r>
    </w:p>
    <w:p w14:paraId="1DFB7A33">
      <w:pPr>
        <w:pStyle w:val="18"/>
        <w:numPr>
          <w:ilvl w:val="0"/>
          <w:numId w:val="1"/>
        </w:numPr>
      </w:pPr>
      <w:r>
        <w:t>脱敏展示：前端展示时应当对身份证号等敏感字段进行脱敏处理（如仅显示前4位和后2位）；</w:t>
      </w:r>
    </w:p>
    <w:p w14:paraId="78DE113D">
      <w:pPr>
        <w:pStyle w:val="18"/>
        <w:numPr>
          <w:ilvl w:val="0"/>
          <w:numId w:val="1"/>
        </w:numPr>
      </w:pPr>
      <w:r>
        <w:t>访问控制：敏感信息的访问权限应当严格限制，仅授权必要人员；</w:t>
      </w:r>
    </w:p>
    <w:p w14:paraId="5F77E9F0">
      <w:pPr>
        <w:pStyle w:val="18"/>
        <w:numPr>
          <w:ilvl w:val="0"/>
          <w:numId w:val="1"/>
        </w:numPr>
      </w:pPr>
      <w:r>
        <w:t>审计记录：对敏感信息的访问、修改、导出等操作应当全程记录审计日志。</w:t>
      </w:r>
    </w:p>
    <w:p w14:paraId="4377A6B0">
      <w:pPr>
        <w:pStyle w:val="3"/>
      </w:pPr>
      <w:bookmarkStart w:id="24" w:name="toc-anchor-24"/>
      <w:r>
        <w:t>第六章 未成年人信息保护</w:t>
      </w:r>
      <w:bookmarkEnd w:id="24"/>
    </w:p>
    <w:p w14:paraId="7659219C">
      <w:pPr>
        <w:pStyle w:val="4"/>
      </w:pPr>
      <w:bookmarkStart w:id="25" w:name="toc-anchor-25"/>
      <w:r>
        <w:t>第二十条 不满14周岁学生信息处理</w:t>
      </w:r>
      <w:bookmarkEnd w:id="25"/>
    </w:p>
    <w:p w14:paraId="04D1A0F1">
      <w:r>
        <w:t>不满14周岁学生的个人信息属于敏感个人信息。处理该类信息前，应当取得其监护人的单独同意。同意文本应当清晰告知处理目的、方式、范围及可能的影响。</w:t>
      </w:r>
    </w:p>
    <w:p w14:paraId="179CF20C">
      <w:pPr>
        <w:pStyle w:val="4"/>
      </w:pPr>
      <w:bookmarkStart w:id="26" w:name="toc-anchor-26"/>
      <w:r>
        <w:t>第二十一条 监护人同意机制</w:t>
      </w:r>
      <w:bookmarkEnd w:id="26"/>
    </w:p>
    <w:p w14:paraId="55BB93AE">
      <w:pPr>
        <w:pStyle w:val="18"/>
        <w:numPr>
          <w:ilvl w:val="0"/>
          <w:numId w:val="1"/>
        </w:numPr>
      </w:pPr>
      <w:r>
        <w:t>在学生注册环节，系统应当要求填写监护人信息并获取监护人同意；</w:t>
      </w:r>
    </w:p>
    <w:p w14:paraId="32E16F6E">
      <w:pPr>
        <w:pStyle w:val="18"/>
        <w:numPr>
          <w:ilvl w:val="0"/>
          <w:numId w:val="1"/>
        </w:numPr>
      </w:pPr>
      <w:r>
        <w:t>监护人同意应当通过明示方式获取（如勾选+点击确认），不得默认勾选；</w:t>
      </w:r>
    </w:p>
    <w:p w14:paraId="4B680868">
      <w:pPr>
        <w:pStyle w:val="18"/>
        <w:numPr>
          <w:ilvl w:val="0"/>
          <w:numId w:val="1"/>
        </w:numPr>
      </w:pPr>
      <w:r>
        <w:t>应当提供监护人撤回同意的渠道，撤回后应当停止处理该学生的个人信息；</w:t>
      </w:r>
    </w:p>
    <w:p w14:paraId="74A57048">
      <w:pPr>
        <w:pStyle w:val="18"/>
        <w:numPr>
          <w:ilvl w:val="0"/>
          <w:numId w:val="1"/>
        </w:numPr>
      </w:pPr>
      <w:r>
        <w:t>监护人有权查询、更正、删除其被监护人的个人信息。</w:t>
      </w:r>
    </w:p>
    <w:p w14:paraId="7F83AB3D">
      <w:pPr>
        <w:pStyle w:val="4"/>
      </w:pPr>
      <w:bookmarkStart w:id="27" w:name="toc-anchor-27"/>
      <w:r>
        <w:t>第二十二条 专门处理规则</w:t>
      </w:r>
      <w:bookmarkEnd w:id="27"/>
    </w:p>
    <w:p w14:paraId="1CC8F02F">
      <w:pPr>
        <w:pStyle w:val="18"/>
        <w:numPr>
          <w:ilvl w:val="0"/>
          <w:numId w:val="1"/>
        </w:numPr>
      </w:pPr>
      <w:r>
        <w:t>为不满14周岁学生提供服务的，应当制定专门的个人信息处理规则；</w:t>
      </w:r>
    </w:p>
    <w:p w14:paraId="3D860EEF">
      <w:pPr>
        <w:pStyle w:val="18"/>
        <w:numPr>
          <w:ilvl w:val="0"/>
          <w:numId w:val="1"/>
        </w:numPr>
      </w:pPr>
      <w:r>
        <w:t>处理规则应当以监护人能够理解的方式呈现；</w:t>
      </w:r>
    </w:p>
    <w:p w14:paraId="7424F882">
      <w:pPr>
        <w:pStyle w:val="18"/>
        <w:numPr>
          <w:ilvl w:val="0"/>
          <w:numId w:val="1"/>
        </w:numPr>
      </w:pPr>
      <w:r>
        <w:t>不得以未成年人不同意处理其个人信息或者撤回同意为由，拒绝提供产品或者服务（法律法规另有规定的除外）。</w:t>
      </w:r>
    </w:p>
    <w:p w14:paraId="0BB9B919">
      <w:pPr>
        <w:pStyle w:val="4"/>
      </w:pPr>
      <w:bookmarkStart w:id="28" w:name="toc-anchor-28"/>
      <w:r>
        <w:t>第二十三条 不得进行用户画像</w:t>
      </w:r>
      <w:bookmarkEnd w:id="28"/>
    </w:p>
    <w:p w14:paraId="0081D1F3">
      <w:r>
        <w:t>不得对不满14周岁的未成年人进行用户画像和个性化推荐，不得利用其个人信息进行自动化决策。</w:t>
      </w:r>
    </w:p>
    <w:p w14:paraId="4448F0E3">
      <w:pPr>
        <w:pStyle w:val="3"/>
      </w:pPr>
      <w:bookmarkStart w:id="29" w:name="toc-anchor-29"/>
      <w:r>
        <w:t>第七章 告知-同意机制</w:t>
      </w:r>
      <w:bookmarkEnd w:id="29"/>
    </w:p>
    <w:p w14:paraId="2B12AAF8">
      <w:pPr>
        <w:pStyle w:val="4"/>
      </w:pPr>
      <w:bookmarkStart w:id="30" w:name="toc-anchor-30"/>
      <w:r>
        <w:t>第二十四条 告知内容</w:t>
      </w:r>
      <w:bookmarkEnd w:id="30"/>
    </w:p>
    <w:p w14:paraId="5751C0AC">
      <w:r>
        <w:t>在收集个人信息前，应当以清晰易懂的语言完整告知以下事项：</w:t>
      </w:r>
    </w:p>
    <w:p w14:paraId="7F257DBD">
      <w:pPr>
        <w:pStyle w:val="18"/>
        <w:numPr>
          <w:ilvl w:val="0"/>
          <w:numId w:val="1"/>
        </w:numPr>
      </w:pPr>
      <w:r>
        <w:t>个人信息处理者的名称或姓名及联系方式；</w:t>
      </w:r>
    </w:p>
    <w:p w14:paraId="7A1503FE">
      <w:pPr>
        <w:pStyle w:val="18"/>
        <w:numPr>
          <w:ilvl w:val="0"/>
          <w:numId w:val="1"/>
        </w:numPr>
      </w:pPr>
      <w:r>
        <w:t>个人信息的处理目的、处理方式；</w:t>
      </w:r>
    </w:p>
    <w:p w14:paraId="095A6E73">
      <w:pPr>
        <w:pStyle w:val="18"/>
        <w:numPr>
          <w:ilvl w:val="0"/>
          <w:numId w:val="1"/>
        </w:numPr>
      </w:pPr>
      <w:r>
        <w:t>处理的个人信息种类、收集范围；</w:t>
      </w:r>
    </w:p>
    <w:p w14:paraId="3FBEE213">
      <w:pPr>
        <w:pStyle w:val="18"/>
        <w:numPr>
          <w:ilvl w:val="0"/>
          <w:numId w:val="1"/>
        </w:numPr>
      </w:pPr>
      <w:r>
        <w:t>处理个人信息的必要性及与处理目的的关联性；</w:t>
      </w:r>
    </w:p>
    <w:p w14:paraId="72EE703E">
      <w:pPr>
        <w:pStyle w:val="18"/>
        <w:numPr>
          <w:ilvl w:val="0"/>
          <w:numId w:val="1"/>
        </w:numPr>
      </w:pPr>
      <w:r>
        <w:t>个人信息的存储期限或存储期限的确定规则、到期后的处理方式；</w:t>
      </w:r>
    </w:p>
    <w:p w14:paraId="741358A1">
      <w:pPr>
        <w:pStyle w:val="18"/>
        <w:numPr>
          <w:ilvl w:val="0"/>
          <w:numId w:val="1"/>
        </w:numPr>
      </w:pPr>
      <w:r>
        <w:t>个人信息的存储地点（境内或境外）；</w:t>
      </w:r>
    </w:p>
    <w:p w14:paraId="597F8EA0">
      <w:pPr>
        <w:pStyle w:val="18"/>
        <w:numPr>
          <w:ilvl w:val="0"/>
          <w:numId w:val="1"/>
        </w:numPr>
      </w:pPr>
      <w:r>
        <w:t>个人信息的接收方及其处理目的（如有第三方接收）；</w:t>
      </w:r>
    </w:p>
    <w:p w14:paraId="7A2D55D8">
      <w:pPr>
        <w:pStyle w:val="18"/>
        <w:numPr>
          <w:ilvl w:val="0"/>
          <w:numId w:val="1"/>
        </w:numPr>
      </w:pPr>
      <w:r>
        <w:t>个人信息的跨境传输情况（如有）；</w:t>
      </w:r>
    </w:p>
    <w:p w14:paraId="4823AEDA">
      <w:pPr>
        <w:pStyle w:val="18"/>
        <w:numPr>
          <w:ilvl w:val="0"/>
          <w:numId w:val="1"/>
        </w:numPr>
      </w:pPr>
      <w:r>
        <w:t>信息主体行使权利的方式和程序；</w:t>
      </w:r>
    </w:p>
    <w:p w14:paraId="07239036">
      <w:pPr>
        <w:pStyle w:val="18"/>
        <w:numPr>
          <w:ilvl w:val="0"/>
          <w:numId w:val="1"/>
        </w:numPr>
      </w:pPr>
      <w:r>
        <w:t>撤回同意的方式和程序；</w:t>
      </w:r>
    </w:p>
    <w:p w14:paraId="641103BA">
      <w:pPr>
        <w:pStyle w:val="18"/>
        <w:numPr>
          <w:ilvl w:val="0"/>
          <w:numId w:val="1"/>
        </w:numPr>
      </w:pPr>
      <w:r>
        <w:t>处理敏感个人信息的影响分析（如涉及）。</w:t>
      </w:r>
    </w:p>
    <w:p w14:paraId="294863D9">
      <w:pPr>
        <w:pStyle w:val="4"/>
      </w:pPr>
      <w:bookmarkStart w:id="31" w:name="toc-anchor-31"/>
      <w:r>
        <w:t>第二十五条 告知方式</w:t>
      </w:r>
      <w:bookmarkEnd w:id="31"/>
    </w:p>
    <w:p w14:paraId="39F2F309">
      <w:pPr>
        <w:pStyle w:val="18"/>
        <w:numPr>
          <w:ilvl w:val="0"/>
          <w:numId w:val="1"/>
        </w:numPr>
      </w:pPr>
      <w:r>
        <w:t>注册页面：在用户注册时通过隐私政策弹窗展示完整告知内容，用户需阅读并勾选同意；</w:t>
      </w:r>
    </w:p>
    <w:p w14:paraId="5DFEEEF4">
      <w:pPr>
        <w:pStyle w:val="18"/>
        <w:numPr>
          <w:ilvl w:val="0"/>
          <w:numId w:val="1"/>
        </w:numPr>
      </w:pPr>
      <w:r>
        <w:t>敏感信息收集：在收集敏感信息前通过单独弹窗或页面展示告知内容，获取单独同意；</w:t>
      </w:r>
    </w:p>
    <w:p w14:paraId="2A50AEC7">
      <w:pPr>
        <w:pStyle w:val="18"/>
        <w:numPr>
          <w:ilvl w:val="0"/>
          <w:numId w:val="1"/>
        </w:numPr>
      </w:pPr>
      <w:r>
        <w:t>变更通知：处理规则变更时，通过站内信、短信或邮件通知用户，并重新获取同意。</w:t>
      </w:r>
    </w:p>
    <w:p w14:paraId="6E1DCB1C">
      <w:pPr>
        <w:pStyle w:val="4"/>
      </w:pPr>
      <w:bookmarkStart w:id="32" w:name="toc-anchor-32"/>
      <w:r>
        <w:t>第二十六条 同意获取</w:t>
      </w:r>
      <w:bookmarkEnd w:id="32"/>
    </w:p>
    <w:p w14:paraId="5B98D895">
      <w:pPr>
        <w:pStyle w:val="18"/>
        <w:numPr>
          <w:ilvl w:val="0"/>
          <w:numId w:val="1"/>
        </w:numPr>
      </w:pPr>
      <w:r>
        <w:t>同意应当通过明示方式获取，不得默认勾选或默认同意；</w:t>
      </w:r>
    </w:p>
    <w:p w14:paraId="242102B9">
      <w:pPr>
        <w:pStyle w:val="18"/>
        <w:numPr>
          <w:ilvl w:val="0"/>
          <w:numId w:val="1"/>
        </w:numPr>
      </w:pPr>
      <w:r>
        <w:t>同意文本应当与告知内容在同一页面展示，不得通过链接跳转后才能阅读；</w:t>
      </w:r>
    </w:p>
    <w:p w14:paraId="0F9FA106">
      <w:pPr>
        <w:pStyle w:val="18"/>
        <w:numPr>
          <w:ilvl w:val="0"/>
          <w:numId w:val="1"/>
        </w:numPr>
      </w:pPr>
      <w:r>
        <w:t>对于敏感信息和未成年人信息，应当获取单独同意，不得与一般信息合并。</w:t>
      </w:r>
    </w:p>
    <w:p w14:paraId="2A7D241D">
      <w:pPr>
        <w:pStyle w:val="4"/>
      </w:pPr>
      <w:bookmarkStart w:id="33" w:name="toc-anchor-33"/>
      <w:r>
        <w:t>第二十七条 撤回同意</w:t>
      </w:r>
      <w:bookmarkEnd w:id="33"/>
    </w:p>
    <w:p w14:paraId="514E3BD2">
      <w:pPr>
        <w:pStyle w:val="18"/>
        <w:numPr>
          <w:ilvl w:val="0"/>
          <w:numId w:val="1"/>
        </w:numPr>
      </w:pPr>
      <w:r>
        <w:t>应当提供便捷的撤回同意方式，用户可在个人设置中一键撤回；</w:t>
      </w:r>
    </w:p>
    <w:p w14:paraId="582A3DB8">
      <w:pPr>
        <w:pStyle w:val="18"/>
        <w:numPr>
          <w:ilvl w:val="0"/>
          <w:numId w:val="1"/>
        </w:numPr>
      </w:pPr>
      <w:r>
        <w:t>撤回同意后，应当停止处理相应的个人信息，但已依法留存的除外；</w:t>
      </w:r>
    </w:p>
    <w:p w14:paraId="4AD11066">
      <w:pPr>
        <w:pStyle w:val="18"/>
        <w:numPr>
          <w:ilvl w:val="0"/>
          <w:numId w:val="1"/>
        </w:numPr>
      </w:pPr>
      <w:r>
        <w:t>撤回同意不影响撤回前基于同意已进行的个人信息处理活动。</w:t>
      </w:r>
    </w:p>
    <w:p w14:paraId="3649674F">
      <w:pPr>
        <w:pStyle w:val="3"/>
      </w:pPr>
      <w:bookmarkStart w:id="34" w:name="toc-anchor-34"/>
      <w:r>
        <w:t>第八章 数据留存与删除</w:t>
      </w:r>
      <w:bookmarkEnd w:id="34"/>
    </w:p>
    <w:p w14:paraId="244B7BDA">
      <w:pPr>
        <w:pStyle w:val="4"/>
      </w:pPr>
      <w:bookmarkStart w:id="35" w:name="toc-anchor-35"/>
      <w:r>
        <w:t>第二十八条 留存期限</w:t>
      </w:r>
      <w:bookmarkEnd w:id="35"/>
    </w:p>
    <w:p w14:paraId="1D068571">
      <w:r>
        <w:t>各类个人信息的留存期限如下：</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F457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BFBFBF" w:sz="0" w:space="0"/>
              <w:left w:val="single" w:color="BFBFBF" w:sz="0" w:space="0"/>
              <w:bottom w:val="single" w:color="BFBFBF" w:sz="0" w:space="0"/>
              <w:right w:val="single" w:color="BFBFBF" w:sz="0" w:space="0"/>
            </w:tcBorders>
            <w:shd w:val="clear" w:color="auto" w:fill="2F5496"/>
            <w:tcMar>
              <w:top w:w="80" w:type="dxa"/>
              <w:left w:w="120" w:type="dxa"/>
              <w:bottom w:w="80" w:type="dxa"/>
              <w:right w:w="120" w:type="dxa"/>
            </w:tcMar>
          </w:tcPr>
          <w:p w14:paraId="4256EDE3">
            <w:r>
              <w:rPr>
                <w:b/>
                <w:bCs/>
                <w:color w:val="FFFFFF"/>
                <w:sz w:val="20"/>
                <w:szCs w:val="20"/>
              </w:rPr>
              <w:t>信息类别</w:t>
            </w:r>
          </w:p>
        </w:tc>
        <w:tc>
          <w:tcPr>
            <w:tcW w:w="2340" w:type="dxa"/>
            <w:tcBorders>
              <w:top w:val="single" w:color="BFBFBF" w:sz="0" w:space="0"/>
              <w:left w:val="single" w:color="BFBFBF" w:sz="0" w:space="0"/>
              <w:bottom w:val="single" w:color="BFBFBF" w:sz="0" w:space="0"/>
              <w:right w:val="single" w:color="BFBFBF" w:sz="0" w:space="0"/>
            </w:tcBorders>
            <w:shd w:val="clear" w:color="auto" w:fill="2F5496"/>
            <w:tcMar>
              <w:top w:w="80" w:type="dxa"/>
              <w:left w:w="120" w:type="dxa"/>
              <w:bottom w:w="80" w:type="dxa"/>
              <w:right w:w="120" w:type="dxa"/>
            </w:tcMar>
          </w:tcPr>
          <w:p w14:paraId="45598441">
            <w:r>
              <w:rPr>
                <w:b/>
                <w:bCs/>
                <w:color w:val="FFFFFF"/>
                <w:sz w:val="20"/>
                <w:szCs w:val="20"/>
              </w:rPr>
              <w:t>留存期限</w:t>
            </w:r>
          </w:p>
        </w:tc>
        <w:tc>
          <w:tcPr>
            <w:tcW w:w="2340" w:type="dxa"/>
            <w:tcBorders>
              <w:top w:val="single" w:color="BFBFBF" w:sz="0" w:space="0"/>
              <w:left w:val="single" w:color="BFBFBF" w:sz="0" w:space="0"/>
              <w:bottom w:val="single" w:color="BFBFBF" w:sz="0" w:space="0"/>
              <w:right w:val="single" w:color="BFBFBF" w:sz="0" w:space="0"/>
            </w:tcBorders>
            <w:shd w:val="clear" w:color="auto" w:fill="2F5496"/>
            <w:tcMar>
              <w:top w:w="80" w:type="dxa"/>
              <w:left w:w="120" w:type="dxa"/>
              <w:bottom w:w="80" w:type="dxa"/>
              <w:right w:w="120" w:type="dxa"/>
            </w:tcMar>
          </w:tcPr>
          <w:p w14:paraId="3F728E5B">
            <w:r>
              <w:rPr>
                <w:b/>
                <w:bCs/>
                <w:color w:val="FFFFFF"/>
                <w:sz w:val="20"/>
                <w:szCs w:val="20"/>
              </w:rPr>
              <w:t>法律依据</w:t>
            </w:r>
          </w:p>
        </w:tc>
        <w:tc>
          <w:tcPr>
            <w:tcW w:w="2340" w:type="dxa"/>
            <w:tcBorders>
              <w:top w:val="single" w:color="BFBFBF" w:sz="0" w:space="0"/>
              <w:left w:val="single" w:color="BFBFBF" w:sz="0" w:space="0"/>
              <w:bottom w:val="single" w:color="BFBFBF" w:sz="0" w:space="0"/>
              <w:right w:val="single" w:color="BFBFBF" w:sz="0" w:space="0"/>
            </w:tcBorders>
            <w:shd w:val="clear" w:color="auto" w:fill="2F5496"/>
            <w:tcMar>
              <w:top w:w="80" w:type="dxa"/>
              <w:left w:w="120" w:type="dxa"/>
              <w:bottom w:w="80" w:type="dxa"/>
              <w:right w:w="120" w:type="dxa"/>
            </w:tcMar>
          </w:tcPr>
          <w:p w14:paraId="19421D6A">
            <w:r>
              <w:rPr>
                <w:b/>
                <w:bCs/>
                <w:color w:val="FFFFFF"/>
                <w:sz w:val="20"/>
                <w:szCs w:val="20"/>
              </w:rPr>
              <w:t>到期处理方式</w:t>
            </w:r>
          </w:p>
        </w:tc>
      </w:tr>
      <w:tr w14:paraId="015FF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A458AD3">
            <w:r>
              <w:rPr>
                <w:sz w:val="20"/>
                <w:szCs w:val="20"/>
              </w:rPr>
              <w:t>用户操作日志</w:t>
            </w:r>
          </w:p>
        </w:tc>
        <w:tc>
          <w:tcPr>
            <w:tcW w:w="234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076013E">
            <w:r>
              <w:rPr>
                <w:sz w:val="20"/>
                <w:szCs w:val="20"/>
              </w:rPr>
              <w:t>不少于6个月</w:t>
            </w:r>
          </w:p>
        </w:tc>
        <w:tc>
          <w:tcPr>
            <w:tcW w:w="234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1B629E8">
            <w:r>
              <w:rPr>
                <w:sz w:val="20"/>
                <w:szCs w:val="20"/>
              </w:rPr>
              <w:t>《网络安全法》第21条</w:t>
            </w:r>
          </w:p>
        </w:tc>
        <w:tc>
          <w:tcPr>
            <w:tcW w:w="234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53DF52A">
            <w:r>
              <w:rPr>
                <w:sz w:val="20"/>
                <w:szCs w:val="20"/>
              </w:rPr>
              <w:t>到期自动删除</w:t>
            </w:r>
          </w:p>
        </w:tc>
      </w:tr>
      <w:tr w14:paraId="4F8F3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6F51E701">
            <w:r>
              <w:rPr>
                <w:sz w:val="20"/>
                <w:szCs w:val="20"/>
              </w:rPr>
              <w:t>委托处理记录</w:t>
            </w:r>
          </w:p>
        </w:tc>
        <w:tc>
          <w:tcPr>
            <w:tcW w:w="2340"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7096287C">
            <w:r>
              <w:rPr>
                <w:sz w:val="20"/>
                <w:szCs w:val="20"/>
              </w:rPr>
              <w:t>不少于3年</w:t>
            </w:r>
          </w:p>
        </w:tc>
        <w:tc>
          <w:tcPr>
            <w:tcW w:w="2340"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7E985F37">
            <w:r>
              <w:rPr>
                <w:sz w:val="20"/>
                <w:szCs w:val="20"/>
              </w:rPr>
              <w:t>《个人信息保护法》第21条</w:t>
            </w:r>
          </w:p>
        </w:tc>
        <w:tc>
          <w:tcPr>
            <w:tcW w:w="2340"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55ED7FBE">
            <w:r>
              <w:rPr>
                <w:sz w:val="20"/>
                <w:szCs w:val="20"/>
              </w:rPr>
              <w:t>到期删除或返还</w:t>
            </w:r>
          </w:p>
        </w:tc>
      </w:tr>
      <w:tr w14:paraId="47EB1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9192E51">
            <w:r>
              <w:rPr>
                <w:sz w:val="20"/>
                <w:szCs w:val="20"/>
              </w:rPr>
              <w:t>租户管理员联系方式</w:t>
            </w:r>
          </w:p>
        </w:tc>
        <w:tc>
          <w:tcPr>
            <w:tcW w:w="234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6E7EEB1">
            <w:r>
              <w:rPr>
                <w:sz w:val="20"/>
                <w:szCs w:val="20"/>
              </w:rPr>
              <w:t>租户存续期间+1年</w:t>
            </w:r>
          </w:p>
        </w:tc>
        <w:tc>
          <w:tcPr>
            <w:tcW w:w="234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133CD6F4">
            <w:r>
              <w:rPr>
                <w:sz w:val="20"/>
                <w:szCs w:val="20"/>
              </w:rPr>
              <w:t>合同管理需要</w:t>
            </w:r>
          </w:p>
        </w:tc>
        <w:tc>
          <w:tcPr>
            <w:tcW w:w="234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3C4B866">
            <w:r>
              <w:rPr>
                <w:sz w:val="20"/>
                <w:szCs w:val="20"/>
              </w:rPr>
              <w:t>到期删除</w:t>
            </w:r>
          </w:p>
        </w:tc>
      </w:tr>
      <w:tr w14:paraId="2561A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7243D4D4">
            <w:r>
              <w:rPr>
                <w:sz w:val="20"/>
                <w:szCs w:val="20"/>
              </w:rPr>
              <w:t>教师资质文件</w:t>
            </w:r>
          </w:p>
        </w:tc>
        <w:tc>
          <w:tcPr>
            <w:tcW w:w="2340"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67C2FE53">
            <w:r>
              <w:rPr>
                <w:sz w:val="20"/>
                <w:szCs w:val="20"/>
              </w:rPr>
              <w:t>教师服务期间+1年</w:t>
            </w:r>
          </w:p>
        </w:tc>
        <w:tc>
          <w:tcPr>
            <w:tcW w:w="2340"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27490FFA">
            <w:r>
              <w:rPr>
                <w:sz w:val="20"/>
                <w:szCs w:val="20"/>
              </w:rPr>
              <w:t>资质管理需要</w:t>
            </w:r>
          </w:p>
        </w:tc>
        <w:tc>
          <w:tcPr>
            <w:tcW w:w="2340"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5100ABC8">
            <w:r>
              <w:rPr>
                <w:sz w:val="20"/>
                <w:szCs w:val="20"/>
              </w:rPr>
              <w:t>到期删除</w:t>
            </w:r>
          </w:p>
        </w:tc>
      </w:tr>
      <w:tr w14:paraId="46EDE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38645E0">
            <w:r>
              <w:rPr>
                <w:sz w:val="20"/>
                <w:szCs w:val="20"/>
              </w:rPr>
              <w:t>学生信息</w:t>
            </w:r>
          </w:p>
        </w:tc>
        <w:tc>
          <w:tcPr>
            <w:tcW w:w="234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295CB87">
            <w:r>
              <w:rPr>
                <w:sz w:val="20"/>
                <w:szCs w:val="20"/>
              </w:rPr>
              <w:t>服务关系终止后30日</w:t>
            </w:r>
          </w:p>
        </w:tc>
        <w:tc>
          <w:tcPr>
            <w:tcW w:w="234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662F48E">
            <w:r>
              <w:rPr>
                <w:sz w:val="20"/>
                <w:szCs w:val="20"/>
              </w:rPr>
              <w:t>最小必要原则</w:t>
            </w:r>
          </w:p>
        </w:tc>
        <w:tc>
          <w:tcPr>
            <w:tcW w:w="234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7998838">
            <w:r>
              <w:rPr>
                <w:sz w:val="20"/>
                <w:szCs w:val="20"/>
              </w:rPr>
              <w:t>到期删除</w:t>
            </w:r>
          </w:p>
        </w:tc>
      </w:tr>
      <w:tr w14:paraId="50618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0F5A99C0">
            <w:r>
              <w:rPr>
                <w:sz w:val="20"/>
                <w:szCs w:val="20"/>
              </w:rPr>
              <w:t>安全审计日志</w:t>
            </w:r>
          </w:p>
        </w:tc>
        <w:tc>
          <w:tcPr>
            <w:tcW w:w="2340"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7EDD957D">
            <w:r>
              <w:rPr>
                <w:sz w:val="20"/>
                <w:szCs w:val="20"/>
              </w:rPr>
              <w:t>不少于6个月</w:t>
            </w:r>
          </w:p>
        </w:tc>
        <w:tc>
          <w:tcPr>
            <w:tcW w:w="2340"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2D3057AE">
            <w:r>
              <w:rPr>
                <w:sz w:val="20"/>
                <w:szCs w:val="20"/>
              </w:rPr>
              <w:t>安全合规要求</w:t>
            </w:r>
          </w:p>
        </w:tc>
        <w:tc>
          <w:tcPr>
            <w:tcW w:w="2340"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3142CF17">
            <w:r>
              <w:rPr>
                <w:sz w:val="20"/>
                <w:szCs w:val="20"/>
              </w:rPr>
              <w:t>到期归档后删除</w:t>
            </w:r>
          </w:p>
        </w:tc>
      </w:tr>
      <w:tr w14:paraId="126A4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33D3732F">
            <w:r>
              <w:rPr>
                <w:sz w:val="20"/>
                <w:szCs w:val="20"/>
              </w:rPr>
              <w:t>安全事件记录</w:t>
            </w:r>
          </w:p>
        </w:tc>
        <w:tc>
          <w:tcPr>
            <w:tcW w:w="234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4051DF6">
            <w:r>
              <w:rPr>
                <w:sz w:val="20"/>
                <w:szCs w:val="20"/>
              </w:rPr>
              <w:t>不少于3年</w:t>
            </w:r>
          </w:p>
        </w:tc>
        <w:tc>
          <w:tcPr>
            <w:tcW w:w="234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4366D31">
            <w:r>
              <w:rPr>
                <w:sz w:val="20"/>
                <w:szCs w:val="20"/>
              </w:rPr>
              <w:t>安全合规要求</w:t>
            </w:r>
          </w:p>
        </w:tc>
        <w:tc>
          <w:tcPr>
            <w:tcW w:w="234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84B1AB8">
            <w:r>
              <w:rPr>
                <w:sz w:val="20"/>
                <w:szCs w:val="20"/>
              </w:rPr>
              <w:t>到期删除</w:t>
            </w:r>
          </w:p>
        </w:tc>
      </w:tr>
    </w:tbl>
    <w:p w14:paraId="5222087E">
      <w:pPr>
        <w:pStyle w:val="4"/>
      </w:pPr>
      <w:bookmarkStart w:id="36" w:name="toc-anchor-36"/>
      <w:r>
        <w:t>第二十九条 删除机制</w:t>
      </w:r>
      <w:bookmarkEnd w:id="36"/>
    </w:p>
    <w:p w14:paraId="4172711F">
      <w:pPr>
        <w:pStyle w:val="18"/>
        <w:numPr>
          <w:ilvl w:val="0"/>
          <w:numId w:val="1"/>
        </w:numPr>
      </w:pPr>
      <w:r>
        <w:t>留存期限届满的，应当在15个工作日内删除或匿名化处理；</w:t>
      </w:r>
    </w:p>
    <w:p w14:paraId="5816F656">
      <w:pPr>
        <w:pStyle w:val="18"/>
        <w:numPr>
          <w:ilvl w:val="0"/>
          <w:numId w:val="1"/>
        </w:numPr>
      </w:pPr>
      <w:r>
        <w:t>用户主动注销账户的，应当在15个工作日内删除其个人信息（法律另有规定的除外）；</w:t>
      </w:r>
    </w:p>
    <w:p w14:paraId="6305A172">
      <w:pPr>
        <w:pStyle w:val="18"/>
        <w:numPr>
          <w:ilvl w:val="0"/>
          <w:numId w:val="1"/>
        </w:numPr>
      </w:pPr>
      <w:r>
        <w:t>委托关系终止后，平台运营方应当在30日内将个人信息返还租户或删除；</w:t>
      </w:r>
    </w:p>
    <w:p w14:paraId="4FA075B6">
      <w:pPr>
        <w:pStyle w:val="18"/>
        <w:numPr>
          <w:ilvl w:val="0"/>
          <w:numId w:val="1"/>
        </w:numPr>
      </w:pPr>
      <w:r>
        <w:t>删除个人信息后，应当保留删除操作记录（不含个人信息内容），记录保存不少于3年。</w:t>
      </w:r>
    </w:p>
    <w:p w14:paraId="6006587E">
      <w:pPr>
        <w:pStyle w:val="3"/>
      </w:pPr>
      <w:bookmarkStart w:id="37" w:name="toc-anchor-37"/>
      <w:r>
        <w:t>第九章 安全保护措施</w:t>
      </w:r>
      <w:bookmarkEnd w:id="37"/>
    </w:p>
    <w:p w14:paraId="4A9A3BA9">
      <w:pPr>
        <w:pStyle w:val="4"/>
      </w:pPr>
      <w:bookmarkStart w:id="38" w:name="toc-anchor-38"/>
      <w:r>
        <w:t>第三十条 技术措施</w:t>
      </w:r>
      <w:bookmarkEnd w:id="38"/>
    </w:p>
    <w:p w14:paraId="406E23FB">
      <w:pPr>
        <w:pStyle w:val="18"/>
        <w:numPr>
          <w:ilvl w:val="0"/>
          <w:numId w:val="1"/>
        </w:numPr>
      </w:pPr>
      <w:r>
        <w:t>数据加密：个人信息采用加密方式存储和传输，传输层采用TLS 1.2及以上协议；</w:t>
      </w:r>
    </w:p>
    <w:p w14:paraId="0E9D4734">
      <w:pPr>
        <w:pStyle w:val="18"/>
        <w:numPr>
          <w:ilvl w:val="0"/>
          <w:numId w:val="1"/>
        </w:numPr>
      </w:pPr>
      <w:r>
        <w:t>访问控制：实施基于角色的访问控制（RBAC），最小权限原则；</w:t>
      </w:r>
    </w:p>
    <w:p w14:paraId="74609EC0">
      <w:pPr>
        <w:pStyle w:val="18"/>
        <w:numPr>
          <w:ilvl w:val="0"/>
          <w:numId w:val="1"/>
        </w:numPr>
      </w:pPr>
      <w:r>
        <w:t>身份认证：管理员账户采用双因素认证（MFA）；</w:t>
      </w:r>
    </w:p>
    <w:p w14:paraId="2C1B8AA4">
      <w:pPr>
        <w:pStyle w:val="18"/>
        <w:numPr>
          <w:ilvl w:val="0"/>
          <w:numId w:val="1"/>
        </w:numPr>
      </w:pPr>
      <w:r>
        <w:t>数据脱敏：前端展示时对敏感字段进行脱敏处理；</w:t>
      </w:r>
    </w:p>
    <w:p w14:paraId="4EDBBB1C">
      <w:pPr>
        <w:pStyle w:val="18"/>
        <w:numPr>
          <w:ilvl w:val="0"/>
          <w:numId w:val="1"/>
        </w:numPr>
      </w:pPr>
      <w:r>
        <w:t>日志审计：记录数据访问、修改、导出等操作日志，日志不可篡改；</w:t>
      </w:r>
    </w:p>
    <w:p w14:paraId="703DABB6">
      <w:pPr>
        <w:pStyle w:val="18"/>
        <w:numPr>
          <w:ilvl w:val="0"/>
          <w:numId w:val="1"/>
        </w:numPr>
      </w:pPr>
      <w:r>
        <w:t>安全监测：部署入侵检测、异常访问监测等安全防护措施；</w:t>
      </w:r>
    </w:p>
    <w:p w14:paraId="373B89F1">
      <w:pPr>
        <w:pStyle w:val="18"/>
        <w:numPr>
          <w:ilvl w:val="0"/>
          <w:numId w:val="1"/>
        </w:numPr>
      </w:pPr>
      <w:r>
        <w:t>数据备份：定期备份数据，备份数据同样采取加密保护。</w:t>
      </w:r>
    </w:p>
    <w:p w14:paraId="55D3CD6D">
      <w:pPr>
        <w:pStyle w:val="4"/>
      </w:pPr>
      <w:bookmarkStart w:id="39" w:name="toc-anchor-39"/>
      <w:r>
        <w:t>第三十一条 管理措施</w:t>
      </w:r>
      <w:bookmarkEnd w:id="39"/>
    </w:p>
    <w:p w14:paraId="2FFFAA68">
      <w:pPr>
        <w:pStyle w:val="18"/>
        <w:numPr>
          <w:ilvl w:val="0"/>
          <w:numId w:val="1"/>
        </w:numPr>
      </w:pPr>
      <w:r>
        <w:t>建立个人信息保护内部管理制度和操作规程；</w:t>
      </w:r>
    </w:p>
    <w:p w14:paraId="2A6C9D89">
      <w:pPr>
        <w:pStyle w:val="18"/>
        <w:numPr>
          <w:ilvl w:val="0"/>
          <w:numId w:val="1"/>
        </w:numPr>
      </w:pPr>
      <w:r>
        <w:t>指定个人信息保护负责人，负责个人信息保护相关工作；</w:t>
      </w:r>
    </w:p>
    <w:p w14:paraId="127F772D">
      <w:pPr>
        <w:pStyle w:val="18"/>
        <w:numPr>
          <w:ilvl w:val="0"/>
          <w:numId w:val="1"/>
        </w:numPr>
      </w:pPr>
      <w:r>
        <w:t>对接触个人信息的人员进行安全教育和培训，每年至少一次；</w:t>
      </w:r>
    </w:p>
    <w:p w14:paraId="1AA95363">
      <w:pPr>
        <w:pStyle w:val="18"/>
        <w:numPr>
          <w:ilvl w:val="0"/>
          <w:numId w:val="1"/>
        </w:numPr>
      </w:pPr>
      <w:r>
        <w:t>制定个人信息安全事件应急预案并定期演练；</w:t>
      </w:r>
    </w:p>
    <w:p w14:paraId="3A87BB52">
      <w:pPr>
        <w:pStyle w:val="18"/>
        <w:numPr>
          <w:ilvl w:val="0"/>
          <w:numId w:val="1"/>
        </w:numPr>
      </w:pPr>
      <w:r>
        <w:t>建立数据分类分级管理制度，对不同级别的数据采取不同的保护措施；</w:t>
      </w:r>
    </w:p>
    <w:p w14:paraId="4C4AA625">
      <w:pPr>
        <w:pStyle w:val="18"/>
        <w:numPr>
          <w:ilvl w:val="0"/>
          <w:numId w:val="1"/>
        </w:numPr>
      </w:pPr>
      <w:r>
        <w:t>定期开展个人信息保护合规审计，每年至少一次。</w:t>
      </w:r>
    </w:p>
    <w:p w14:paraId="767DE70B">
      <w:pPr>
        <w:pStyle w:val="4"/>
      </w:pPr>
      <w:bookmarkStart w:id="40" w:name="toc-anchor-40"/>
      <w:r>
        <w:t>第三十二条 数据分类分级</w:t>
      </w:r>
      <w:bookmarkEnd w:id="40"/>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3F142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BFBFBF" w:sz="0" w:space="0"/>
              <w:left w:val="single" w:color="BFBFBF" w:sz="0" w:space="0"/>
              <w:bottom w:val="single" w:color="BFBFBF" w:sz="0" w:space="0"/>
              <w:right w:val="single" w:color="BFBFBF" w:sz="0" w:space="0"/>
            </w:tcBorders>
            <w:shd w:val="clear" w:color="auto" w:fill="2F5496"/>
            <w:tcMar>
              <w:top w:w="80" w:type="dxa"/>
              <w:left w:w="120" w:type="dxa"/>
              <w:bottom w:w="80" w:type="dxa"/>
              <w:right w:w="120" w:type="dxa"/>
            </w:tcMar>
          </w:tcPr>
          <w:p w14:paraId="171AE080">
            <w:r>
              <w:rPr>
                <w:b/>
                <w:bCs/>
                <w:color w:val="FFFFFF"/>
                <w:sz w:val="20"/>
                <w:szCs w:val="20"/>
              </w:rPr>
              <w:t>数据级别</w:t>
            </w:r>
          </w:p>
        </w:tc>
        <w:tc>
          <w:tcPr>
            <w:tcW w:w="3120" w:type="dxa"/>
            <w:tcBorders>
              <w:top w:val="single" w:color="BFBFBF" w:sz="0" w:space="0"/>
              <w:left w:val="single" w:color="BFBFBF" w:sz="0" w:space="0"/>
              <w:bottom w:val="single" w:color="BFBFBF" w:sz="0" w:space="0"/>
              <w:right w:val="single" w:color="BFBFBF" w:sz="0" w:space="0"/>
            </w:tcBorders>
            <w:shd w:val="clear" w:color="auto" w:fill="2F5496"/>
            <w:tcMar>
              <w:top w:w="80" w:type="dxa"/>
              <w:left w:w="120" w:type="dxa"/>
              <w:bottom w:w="80" w:type="dxa"/>
              <w:right w:w="120" w:type="dxa"/>
            </w:tcMar>
          </w:tcPr>
          <w:p w14:paraId="73CF2F5E">
            <w:r>
              <w:rPr>
                <w:b/>
                <w:bCs/>
                <w:color w:val="FFFFFF"/>
                <w:sz w:val="20"/>
                <w:szCs w:val="20"/>
              </w:rPr>
              <w:t>数据示例</w:t>
            </w:r>
          </w:p>
        </w:tc>
        <w:tc>
          <w:tcPr>
            <w:tcW w:w="3120" w:type="dxa"/>
            <w:tcBorders>
              <w:top w:val="single" w:color="BFBFBF" w:sz="0" w:space="0"/>
              <w:left w:val="single" w:color="BFBFBF" w:sz="0" w:space="0"/>
              <w:bottom w:val="single" w:color="BFBFBF" w:sz="0" w:space="0"/>
              <w:right w:val="single" w:color="BFBFBF" w:sz="0" w:space="0"/>
            </w:tcBorders>
            <w:shd w:val="clear" w:color="auto" w:fill="2F5496"/>
            <w:tcMar>
              <w:top w:w="80" w:type="dxa"/>
              <w:left w:w="120" w:type="dxa"/>
              <w:bottom w:w="80" w:type="dxa"/>
              <w:right w:w="120" w:type="dxa"/>
            </w:tcMar>
          </w:tcPr>
          <w:p w14:paraId="7B44DB7F">
            <w:r>
              <w:rPr>
                <w:b/>
                <w:bCs/>
                <w:color w:val="FFFFFF"/>
                <w:sz w:val="20"/>
                <w:szCs w:val="20"/>
              </w:rPr>
              <w:t>保护要求</w:t>
            </w:r>
          </w:p>
        </w:tc>
      </w:tr>
      <w:tr w14:paraId="555BD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762AD0D">
            <w:r>
              <w:rPr>
                <w:sz w:val="20"/>
                <w:szCs w:val="20"/>
              </w:rPr>
              <w:t>核心数据</w:t>
            </w:r>
          </w:p>
        </w:tc>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3826683">
            <w:r>
              <w:rPr>
                <w:sz w:val="20"/>
                <w:szCs w:val="20"/>
              </w:rPr>
              <w:t>租户企业资质、系统管理员凭证</w:t>
            </w:r>
          </w:p>
        </w:tc>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11C31C2">
            <w:r>
              <w:rPr>
                <w:sz w:val="20"/>
                <w:szCs w:val="20"/>
              </w:rPr>
              <w:t>加密存储+MFA+审计+异地备份</w:t>
            </w:r>
          </w:p>
        </w:tc>
      </w:tr>
      <w:tr w14:paraId="5FBC2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14005092">
            <w:r>
              <w:rPr>
                <w:sz w:val="20"/>
                <w:szCs w:val="20"/>
              </w:rPr>
              <w:t>重要数据</w:t>
            </w:r>
          </w:p>
        </w:tc>
        <w:tc>
          <w:tcPr>
            <w:tcW w:w="3120"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33E72418">
            <w:r>
              <w:rPr>
                <w:sz w:val="20"/>
                <w:szCs w:val="20"/>
              </w:rPr>
              <w:t>教师资质文件、学生信息</w:t>
            </w:r>
          </w:p>
        </w:tc>
        <w:tc>
          <w:tcPr>
            <w:tcW w:w="3120"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4F08B570">
            <w:r>
              <w:rPr>
                <w:sz w:val="20"/>
                <w:szCs w:val="20"/>
              </w:rPr>
              <w:t>加密存储+访问控制+审计+脱敏展示</w:t>
            </w:r>
          </w:p>
        </w:tc>
      </w:tr>
      <w:tr w14:paraId="79C2B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02F5C3CB">
            <w:r>
              <w:rPr>
                <w:sz w:val="20"/>
                <w:szCs w:val="20"/>
              </w:rPr>
              <w:t>一般数据</w:t>
            </w:r>
          </w:p>
        </w:tc>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755609FF">
            <w:r>
              <w:rPr>
                <w:sz w:val="20"/>
                <w:szCs w:val="20"/>
              </w:rPr>
              <w:t>联系方式、预约记录</w:t>
            </w:r>
          </w:p>
        </w:tc>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D2413B4">
            <w:r>
              <w:rPr>
                <w:sz w:val="20"/>
                <w:szCs w:val="20"/>
              </w:rPr>
              <w:t>加密存储+访问控制</w:t>
            </w:r>
          </w:p>
        </w:tc>
      </w:tr>
      <w:tr w14:paraId="1841E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237373C5">
            <w:r>
              <w:rPr>
                <w:sz w:val="20"/>
                <w:szCs w:val="20"/>
              </w:rPr>
              <w:t>公开数据</w:t>
            </w:r>
          </w:p>
        </w:tc>
        <w:tc>
          <w:tcPr>
            <w:tcW w:w="3120"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42F866CA">
            <w:r>
              <w:rPr>
                <w:sz w:val="20"/>
                <w:szCs w:val="20"/>
              </w:rPr>
              <w:t>聚合统计数据</w:t>
            </w:r>
          </w:p>
        </w:tc>
        <w:tc>
          <w:tcPr>
            <w:tcW w:w="3120" w:type="dxa"/>
            <w:tcBorders>
              <w:top w:val="single" w:color="BFBFBF" w:sz="0" w:space="0"/>
              <w:left w:val="single" w:color="BFBFBF" w:sz="0" w:space="0"/>
              <w:bottom w:val="single" w:color="BFBFBF" w:sz="0" w:space="0"/>
              <w:right w:val="single" w:color="BFBFBF" w:sz="0" w:space="0"/>
            </w:tcBorders>
            <w:shd w:val="clear" w:color="auto" w:fill="D9E2F3"/>
            <w:tcMar>
              <w:top w:w="80" w:type="dxa"/>
              <w:left w:w="120" w:type="dxa"/>
              <w:bottom w:w="80" w:type="dxa"/>
              <w:right w:w="120" w:type="dxa"/>
            </w:tcMar>
          </w:tcPr>
          <w:p w14:paraId="07C2D406">
            <w:r>
              <w:rPr>
                <w:sz w:val="20"/>
                <w:szCs w:val="20"/>
              </w:rPr>
              <w:t>匿名化处理</w:t>
            </w:r>
          </w:p>
        </w:tc>
      </w:tr>
    </w:tbl>
    <w:p w14:paraId="4A48E9AE">
      <w:pPr>
        <w:pStyle w:val="4"/>
      </w:pPr>
      <w:bookmarkStart w:id="41" w:name="toc-anchor-41"/>
      <w:r>
        <w:t>第三十三条 权限控制</w:t>
      </w:r>
      <w:bookmarkEnd w:id="41"/>
    </w:p>
    <w:p w14:paraId="5DF9C637">
      <w:pPr>
        <w:pStyle w:val="18"/>
        <w:numPr>
          <w:ilvl w:val="0"/>
          <w:numId w:val="1"/>
        </w:numPr>
      </w:pPr>
      <w:r>
        <w:t>平台运营方人员仅可访问租户管理员信息和聚合统计数据，不得访问终端用户个人信息；</w:t>
      </w:r>
    </w:p>
    <w:p w14:paraId="35C866AC">
      <w:pPr>
        <w:pStyle w:val="18"/>
        <w:numPr>
          <w:ilvl w:val="0"/>
          <w:numId w:val="1"/>
        </w:numPr>
      </w:pPr>
      <w:r>
        <w:t>租户管理员仅可访问本租户范围内的用户信息；</w:t>
      </w:r>
    </w:p>
    <w:p w14:paraId="44A3B71B">
      <w:pPr>
        <w:pStyle w:val="18"/>
        <w:numPr>
          <w:ilvl w:val="0"/>
          <w:numId w:val="1"/>
        </w:numPr>
      </w:pPr>
      <w:r>
        <w:t>权限分配应当遵循最小权限原则，定期审查权限合理性。</w:t>
      </w:r>
    </w:p>
    <w:p w14:paraId="194CB418">
      <w:pPr>
        <w:pStyle w:val="4"/>
      </w:pPr>
      <w:bookmarkStart w:id="42" w:name="toc-anchor-42"/>
      <w:r>
        <w:t>第三十四条 审计日志</w:t>
      </w:r>
      <w:bookmarkEnd w:id="42"/>
    </w:p>
    <w:p w14:paraId="09858395">
      <w:pPr>
        <w:pStyle w:val="18"/>
        <w:numPr>
          <w:ilvl w:val="0"/>
          <w:numId w:val="1"/>
        </w:numPr>
      </w:pPr>
      <w:r>
        <w:t>审计日志应当记录操作时间、操作人、操作类型、操作对象、操作结果；</w:t>
      </w:r>
    </w:p>
    <w:p w14:paraId="686A301F">
      <w:pPr>
        <w:pStyle w:val="18"/>
        <w:numPr>
          <w:ilvl w:val="0"/>
          <w:numId w:val="1"/>
        </w:numPr>
      </w:pPr>
      <w:r>
        <w:t>审计日志不可篡改，采用追加写入方式存储；</w:t>
      </w:r>
    </w:p>
    <w:p w14:paraId="054CA965">
      <w:pPr>
        <w:pStyle w:val="18"/>
        <w:numPr>
          <w:ilvl w:val="0"/>
          <w:numId w:val="1"/>
        </w:numPr>
      </w:pPr>
      <w:r>
        <w:t>审计日志保存期限不少于6个月；</w:t>
      </w:r>
    </w:p>
    <w:p w14:paraId="3EDB89FB">
      <w:pPr>
        <w:pStyle w:val="18"/>
        <w:numPr>
          <w:ilvl w:val="0"/>
          <w:numId w:val="1"/>
        </w:numPr>
      </w:pPr>
      <w:r>
        <w:t>定期审查审计日志，发现异常操作及时处理。</w:t>
      </w:r>
    </w:p>
    <w:p w14:paraId="58E73A05">
      <w:pPr>
        <w:pStyle w:val="3"/>
      </w:pPr>
      <w:bookmarkStart w:id="43" w:name="toc-anchor-43"/>
      <w:r>
        <w:t>第十章 数据主体权利保障</w:t>
      </w:r>
      <w:bookmarkEnd w:id="43"/>
    </w:p>
    <w:p w14:paraId="337B0C0B">
      <w:pPr>
        <w:pStyle w:val="4"/>
      </w:pPr>
      <w:bookmarkStart w:id="44" w:name="toc-anchor-44"/>
      <w:r>
        <w:t>第三十五条 查询权</w:t>
      </w:r>
      <w:bookmarkEnd w:id="44"/>
    </w:p>
    <w:p w14:paraId="76B7DEB1">
      <w:r>
        <w:t>信息主体有权向处理者查询其个人信息。处理者应当在15个工作日内予以答复，提供信息种类、来源、处理目的、处理方式等内容。</w:t>
      </w:r>
    </w:p>
    <w:p w14:paraId="57201C00">
      <w:pPr>
        <w:pStyle w:val="4"/>
      </w:pPr>
      <w:bookmarkStart w:id="45" w:name="toc-anchor-45"/>
      <w:r>
        <w:t>第三十六条 更正权</w:t>
      </w:r>
      <w:bookmarkEnd w:id="45"/>
    </w:p>
    <w:p w14:paraId="46D6CA62">
      <w:r>
        <w:t>信息主体发现其个人信息不准确或不完整的，有权要求更正。处理者应当在15个工作日内予以更正。</w:t>
      </w:r>
    </w:p>
    <w:p w14:paraId="306BA8CF">
      <w:pPr>
        <w:pStyle w:val="4"/>
      </w:pPr>
      <w:bookmarkStart w:id="46" w:name="toc-anchor-46"/>
      <w:r>
        <w:t>第三十七条 删除权</w:t>
      </w:r>
      <w:bookmarkEnd w:id="46"/>
    </w:p>
    <w:p w14:paraId="0A05ECED">
      <w:r>
        <w:t>在以下情形下，信息主体有权要求删除其个人信息：</w:t>
      </w:r>
    </w:p>
    <w:p w14:paraId="2DC80B1A">
      <w:pPr>
        <w:pStyle w:val="18"/>
        <w:numPr>
          <w:ilvl w:val="0"/>
          <w:numId w:val="1"/>
        </w:numPr>
      </w:pPr>
      <w:r>
        <w:t>处理目的已实现、无法实现或者为实现处理目的不再必要；</w:t>
      </w:r>
    </w:p>
    <w:p w14:paraId="0755898A">
      <w:pPr>
        <w:pStyle w:val="18"/>
        <w:numPr>
          <w:ilvl w:val="0"/>
          <w:numId w:val="1"/>
        </w:numPr>
      </w:pPr>
      <w:r>
        <w:t>处理者停止提供产品或者服务，或者保存期限已届满；</w:t>
      </w:r>
    </w:p>
    <w:p w14:paraId="3DE9AB8F">
      <w:pPr>
        <w:pStyle w:val="18"/>
        <w:numPr>
          <w:ilvl w:val="0"/>
          <w:numId w:val="1"/>
        </w:numPr>
      </w:pPr>
      <w:r>
        <w:t>信息主体撤回同意；</w:t>
      </w:r>
    </w:p>
    <w:p w14:paraId="531FD7FF">
      <w:pPr>
        <w:pStyle w:val="18"/>
        <w:numPr>
          <w:ilvl w:val="0"/>
          <w:numId w:val="1"/>
        </w:numPr>
      </w:pPr>
      <w:r>
        <w:t>法律、行政法规规定的其他情形。</w:t>
      </w:r>
    </w:p>
    <w:p w14:paraId="6D3CBDE5">
      <w:r>
        <w:t>处理者应当在15个工作日内予以删除。法律、行政法规规定的保存期限未届满，或者删除个人信息从技术上难以实现的，处理者应当停止除存储和采取必要安全保护措施之外的处理。</w:t>
      </w:r>
    </w:p>
    <w:p w14:paraId="02E148C5">
      <w:pPr>
        <w:pStyle w:val="4"/>
      </w:pPr>
      <w:bookmarkStart w:id="47" w:name="toc-anchor-47"/>
      <w:r>
        <w:t>第三十八条 撤回同意权</w:t>
      </w:r>
      <w:bookmarkEnd w:id="47"/>
    </w:p>
    <w:p w14:paraId="7AB10916">
      <w:r>
        <w:t>信息主体有权撤回其同意。撤回同意应当与提供同意同样便捷。撤回同意后，处理者应当停止处理相应的个人信息。</w:t>
      </w:r>
    </w:p>
    <w:p w14:paraId="7A68A373">
      <w:pPr>
        <w:pStyle w:val="4"/>
      </w:pPr>
      <w:bookmarkStart w:id="48" w:name="toc-anchor-48"/>
      <w:r>
        <w:t>第三十九条 投诉处理</w:t>
      </w:r>
      <w:bookmarkEnd w:id="48"/>
    </w:p>
    <w:p w14:paraId="30C1DCA8">
      <w:r>
        <w:t>处理者应当建立便捷的个人信息保护投诉受理机制，在收到投诉后15个工作日内予以答复。对处理结果不满意的，信息主体可向网信部门投诉或举报。</w:t>
      </w:r>
    </w:p>
    <w:p w14:paraId="756BC04F">
      <w:pPr>
        <w:pStyle w:val="3"/>
      </w:pPr>
      <w:bookmarkStart w:id="49" w:name="toc-anchor-49"/>
      <w:r>
        <w:t>第十一章 安全事件应急响应</w:t>
      </w:r>
      <w:bookmarkEnd w:id="49"/>
    </w:p>
    <w:p w14:paraId="65F99BE1">
      <w:pPr>
        <w:pStyle w:val="4"/>
      </w:pPr>
      <w:bookmarkStart w:id="50" w:name="toc-anchor-50"/>
      <w:r>
        <w:t>第四十条 事件报告</w:t>
      </w:r>
      <w:bookmarkEnd w:id="50"/>
    </w:p>
    <w:p w14:paraId="1FA09A95">
      <w:r>
        <w:t>发生或者可能发生个人信息泄露、篡改、丢失等安全事件的，处理者应当立即采取补救措施，并按照以下要求报告：</w:t>
      </w:r>
    </w:p>
    <w:p w14:paraId="61B1FEF7">
      <w:pPr>
        <w:pStyle w:val="18"/>
        <w:numPr>
          <w:ilvl w:val="0"/>
          <w:numId w:val="1"/>
        </w:numPr>
      </w:pPr>
      <w:r>
        <w:t>在72小时内向网信部门和有关主管部门报告事件基本情况，包括事件发生时间、影响范围、涉及信息种类和数量、已采取的补救措施等；</w:t>
      </w:r>
    </w:p>
    <w:p w14:paraId="31735627">
      <w:pPr>
        <w:pStyle w:val="18"/>
        <w:numPr>
          <w:ilvl w:val="0"/>
          <w:numId w:val="1"/>
        </w:numPr>
      </w:pPr>
      <w:r>
        <w:t>事件处理完成后，向主管部门报告事件处理结果和改进措施；</w:t>
      </w:r>
    </w:p>
    <w:p w14:paraId="409146A9">
      <w:pPr>
        <w:pStyle w:val="18"/>
        <w:numPr>
          <w:ilvl w:val="0"/>
          <w:numId w:val="1"/>
        </w:numPr>
      </w:pPr>
      <w:r>
        <w:t>通知受影响的个人信息主体，告知事件情况、可能的影响和已采取的补救措施。</w:t>
      </w:r>
    </w:p>
    <w:p w14:paraId="0FC7439F">
      <w:pPr>
        <w:pStyle w:val="4"/>
      </w:pPr>
      <w:bookmarkStart w:id="51" w:name="toc-anchor-51"/>
      <w:r>
        <w:t>第四十一条 应急预案</w:t>
      </w:r>
      <w:bookmarkEnd w:id="51"/>
    </w:p>
    <w:p w14:paraId="0E5052C1">
      <w:pPr>
        <w:pStyle w:val="18"/>
        <w:numPr>
          <w:ilvl w:val="0"/>
          <w:numId w:val="1"/>
        </w:numPr>
      </w:pPr>
      <w:r>
        <w:t>制定个人信息安全事件应急预案，明确应急组织、处置流程、通知机制；</w:t>
      </w:r>
    </w:p>
    <w:p w14:paraId="119CE70E">
      <w:pPr>
        <w:pStyle w:val="18"/>
        <w:numPr>
          <w:ilvl w:val="0"/>
          <w:numId w:val="1"/>
        </w:numPr>
      </w:pPr>
      <w:r>
        <w:t>定期组织应急演练，每年至少一次；</w:t>
      </w:r>
    </w:p>
    <w:p w14:paraId="75FA9008">
      <w:pPr>
        <w:pStyle w:val="18"/>
        <w:numPr>
          <w:ilvl w:val="0"/>
          <w:numId w:val="1"/>
        </w:numPr>
      </w:pPr>
      <w:r>
        <w:t>建立事件分级响应机制，根据事件严重程度采取不同级别的响应措施。</w:t>
      </w:r>
    </w:p>
    <w:p w14:paraId="753589D1">
      <w:pPr>
        <w:pStyle w:val="4"/>
      </w:pPr>
      <w:bookmarkStart w:id="52" w:name="toc-anchor-52"/>
      <w:r>
        <w:t>第四十二条 通知义务</w:t>
      </w:r>
      <w:bookmarkEnd w:id="52"/>
    </w:p>
    <w:p w14:paraId="4E1F46BB">
      <w:r>
        <w:t>安全事件可能对信息主体权益造成损害的，处理者应当及时通知受影响的信息主体。通知应当包括事件情况、可能的影响、处理者已采取的补救措施和信息主体可以采取的减轻损害的措施。</w:t>
      </w:r>
    </w:p>
    <w:p w14:paraId="18924C80">
      <w:pPr>
        <w:pStyle w:val="3"/>
      </w:pPr>
      <w:bookmarkStart w:id="53" w:name="toc-anchor-53"/>
      <w:r>
        <w:t>第十二章 跨境传输</w:t>
      </w:r>
      <w:bookmarkEnd w:id="53"/>
    </w:p>
    <w:p w14:paraId="62363DC0">
      <w:pPr>
        <w:pStyle w:val="4"/>
      </w:pPr>
      <w:bookmarkStart w:id="54" w:name="toc-anchor-54"/>
      <w:r>
        <w:t>第四十三条 跨境传输评估</w:t>
      </w:r>
      <w:bookmarkEnd w:id="54"/>
    </w:p>
    <w:p w14:paraId="78B58A89">
      <w:r>
        <w:t>向境外提供个人信息的，应当事先进行个人信息保护影响评估（PIPIA），并满足以下条件之一：</w:t>
      </w:r>
    </w:p>
    <w:p w14:paraId="2C88B409">
      <w:pPr>
        <w:pStyle w:val="18"/>
        <w:numPr>
          <w:ilvl w:val="0"/>
          <w:numId w:val="1"/>
        </w:numPr>
      </w:pPr>
      <w:r>
        <w:t>通过国家网信部门组织的安全评估；</w:t>
      </w:r>
    </w:p>
    <w:p w14:paraId="57FA3A91">
      <w:pPr>
        <w:pStyle w:val="18"/>
        <w:numPr>
          <w:ilvl w:val="0"/>
          <w:numId w:val="1"/>
        </w:numPr>
      </w:pPr>
      <w:r>
        <w:t>按照国家网信部门的规定经专业机构进行个人信息保护认证；</w:t>
      </w:r>
    </w:p>
    <w:p w14:paraId="25522A26">
      <w:pPr>
        <w:pStyle w:val="18"/>
        <w:numPr>
          <w:ilvl w:val="0"/>
          <w:numId w:val="1"/>
        </w:numPr>
      </w:pPr>
      <w:r>
        <w:t>按照国家网信部门制定的标准合同与境外接收方订立合同。</w:t>
      </w:r>
    </w:p>
    <w:p w14:paraId="585AE2E8">
      <w:r>
        <w:t>本平台默认将个人信息存储于中华人民共和国境内。如因业务需要确需向境外传输的，应当经信息主体单独同意并完成上述评估。</w:t>
      </w:r>
    </w:p>
    <w:p w14:paraId="7054D28C">
      <w:pPr>
        <w:pStyle w:val="3"/>
      </w:pPr>
      <w:bookmarkStart w:id="55" w:name="toc-anchor-55"/>
      <w:r>
        <w:t>第十三章 等保定级与备案</w:t>
      </w:r>
      <w:bookmarkEnd w:id="55"/>
    </w:p>
    <w:p w14:paraId="2F8A59ED">
      <w:pPr>
        <w:pStyle w:val="4"/>
      </w:pPr>
      <w:bookmarkStart w:id="56" w:name="toc-anchor-56"/>
      <w:r>
        <w:t>第四十四条 定级建议</w:t>
      </w:r>
      <w:bookmarkEnd w:id="56"/>
    </w:p>
    <w:p w14:paraId="083A15C8">
      <w:r>
        <w:t>根据系统所处理信息的类型和数量，建议定级如下：</w:t>
      </w:r>
    </w:p>
    <w:p w14:paraId="1E1C81ED">
      <w:pPr>
        <w:pStyle w:val="18"/>
        <w:numPr>
          <w:ilvl w:val="0"/>
          <w:numId w:val="1"/>
        </w:numPr>
      </w:pPr>
      <w:r>
        <w:t>基本定级：网络安全等级保护二级（一般信息系统，处理一般个人信息）；</w:t>
      </w:r>
    </w:p>
    <w:p w14:paraId="6FF46D95">
      <w:pPr>
        <w:pStyle w:val="18"/>
        <w:numPr>
          <w:ilvl w:val="0"/>
          <w:numId w:val="1"/>
        </w:numPr>
      </w:pPr>
      <w:r>
        <w:t>升级定级：网络安全等级保护三级（涉及大量敏感个人信息或教育行业重要信息系统）；</w:t>
      </w:r>
    </w:p>
    <w:p w14:paraId="2910E7DE">
      <w:pPr>
        <w:pStyle w:val="18"/>
        <w:numPr>
          <w:ilvl w:val="0"/>
          <w:numId w:val="1"/>
        </w:numPr>
      </w:pPr>
      <w:r>
        <w:t>定级后应当进行等级测评，二级系统建议每两年测评一次，三级系统每年测评一次。</w:t>
      </w:r>
    </w:p>
    <w:p w14:paraId="1D43EB67">
      <w:pPr>
        <w:pStyle w:val="4"/>
      </w:pPr>
      <w:bookmarkStart w:id="57" w:name="toc-anchor-57"/>
      <w:r>
        <w:t>第四十五条 备案要求</w:t>
      </w:r>
      <w:bookmarkEnd w:id="57"/>
    </w:p>
    <w:p w14:paraId="6BDFFA0D">
      <w:r>
        <w:t>应当按照《网络安全法》和《数据安全法》要求，完成以下备案工作：</w:t>
      </w:r>
    </w:p>
    <w:p w14:paraId="32C0E52F">
      <w:pPr>
        <w:pStyle w:val="18"/>
        <w:numPr>
          <w:ilvl w:val="0"/>
          <w:numId w:val="1"/>
        </w:numPr>
      </w:pPr>
      <w:r>
        <w:t>等级保护定级备案：向公安机关备案；</w:t>
      </w:r>
    </w:p>
    <w:p w14:paraId="51D4639A">
      <w:pPr>
        <w:pStyle w:val="18"/>
        <w:numPr>
          <w:ilvl w:val="0"/>
          <w:numId w:val="1"/>
        </w:numPr>
      </w:pPr>
      <w:r>
        <w:t>数据安全备案：按照《数据安全法》要求进行数据安全备案；</w:t>
      </w:r>
    </w:p>
    <w:p w14:paraId="2283F488">
      <w:pPr>
        <w:pStyle w:val="18"/>
        <w:numPr>
          <w:ilvl w:val="0"/>
          <w:numId w:val="1"/>
        </w:numPr>
      </w:pPr>
      <w:r>
        <w:t>重要数据目录：按照《网络数据安全管理条例》要求编制并上报重要数据目录。</w:t>
      </w:r>
    </w:p>
    <w:p w14:paraId="0A2DC437">
      <w:pPr>
        <w:pStyle w:val="3"/>
      </w:pPr>
      <w:bookmarkStart w:id="58" w:name="toc-anchor-58"/>
      <w:r>
        <w:t>第十四章 附则</w:t>
      </w:r>
      <w:bookmarkEnd w:id="58"/>
    </w:p>
    <w:p w14:paraId="79D08141">
      <w:pPr>
        <w:pStyle w:val="4"/>
      </w:pPr>
      <w:bookmarkStart w:id="59" w:name="toc-anchor-59"/>
      <w:r>
        <w:t>第四十六条 生效日期</w:t>
      </w:r>
      <w:bookmarkEnd w:id="59"/>
    </w:p>
    <w:p w14:paraId="5DA7989D">
      <w:r>
        <w:t>本规则自发布之日起生效。本规则发布前已收集的个人信息，应当按照本规则的要求进行补充告知和合规整改。</w:t>
      </w:r>
    </w:p>
    <w:p w14:paraId="5CFFD315">
      <w:pPr>
        <w:pStyle w:val="4"/>
      </w:pPr>
      <w:bookmarkStart w:id="60" w:name="toc-anchor-60"/>
      <w:r>
        <w:t>第四十七条 修订机制</w:t>
      </w:r>
      <w:bookmarkEnd w:id="60"/>
    </w:p>
    <w:p w14:paraId="262CFDB1">
      <w:r>
        <w:t>本规则应当根据法律法规变化和业务发展需要定期修订，修订后应当及时通知信息主体并重新获取同意。重大修订应当进行个人信息保护影响评估。</w:t>
      </w:r>
    </w:p>
    <w:p w14:paraId="2D01B9A7">
      <w:pPr>
        <w:pStyle w:val="4"/>
      </w:pPr>
      <w:bookmarkStart w:id="61" w:name="toc-anchor-61"/>
      <w:r>
        <w:t>第四十八条 解释权</w:t>
      </w:r>
      <w:bookmarkEnd w:id="61"/>
    </w:p>
    <w:p w14:paraId="06D4E8FE">
      <w:r>
        <w:t>本规则由平台运营方负责解释。本规则与法律法规不一致的，以法律法规为准。</w:t>
      </w:r>
    </w:p>
    <w:sectPr>
      <w:footerReference r:id="rId6" w:type="default"/>
      <w:pgSz w:w="11906" w:h="16838"/>
      <w:pgMar w:top="1440" w:right="1440" w:bottom="1440" w:left="144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B396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E6BD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C2F89">
    <w:pPr>
      <w:spacing w:before="0" w:after="0"/>
      <w:jc w:val="center"/>
    </w:pPr>
    <w:r>
      <w:rPr>
        <w:sz w:val="18"/>
        <w:szCs w:val="18"/>
      </w:rPr>
      <w:t xml:space="preserve">第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sz w:val="18"/>
        <w:szCs w:val="18"/>
      </w:rPr>
      <w:t xml:space="preserve"> 页，共 </w:t>
    </w:r>
    <w:r>
      <w:rPr>
        <w:sz w:val="18"/>
        <w:szCs w:val="18"/>
      </w:rPr>
      <w:fldChar w:fldCharType="begin"/>
    </w:r>
    <w:r>
      <w:rPr>
        <w:sz w:val="18"/>
        <w:szCs w:val="18"/>
      </w:rPr>
      <w:instrText xml:space="preserve">SECTIONPAGES</w:instrText>
    </w:r>
    <w:r>
      <w:rPr>
        <w:sz w:val="18"/>
        <w:szCs w:val="18"/>
      </w:rPr>
      <w:fldChar w:fldCharType="separate"/>
    </w:r>
    <w:r>
      <w:rPr>
        <w:sz w:val="18"/>
        <w:szCs w:val="18"/>
      </w:rPr>
      <w:fldChar w:fldCharType="end"/>
    </w:r>
    <w:r>
      <w:rPr>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042C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E7BE94"/>
    <w:multiLevelType w:val="singleLevel"/>
    <w:tmpl w:val="25E7BE94"/>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isplayBackgroundShape w:val="1"/>
  <w:documentProtection w:enforcement="0"/>
  <w:compat>
    <w:useFELayout/>
    <w:compatSetting w:name="compatibilityMode" w:uri="http://schemas.microsoft.com/office/word" w:val="15"/>
  </w:compat>
  <w:rsids>
    <w:rsidRoot w:val="00000000"/>
    <w:rsid w:val="3D1F021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微软雅黑"/>
      <w:sz w:val="22"/>
      <w:szCs w:val="22"/>
    </w:rPr>
  </w:style>
  <w:style w:type="paragraph" w:styleId="2">
    <w:name w:val="heading 1"/>
    <w:next w:val="1"/>
    <w:qFormat/>
    <w:uiPriority w:val="0"/>
    <w:pPr>
      <w:spacing w:before="480" w:after="300" w:line="276" w:lineRule="auto"/>
      <w:outlineLvl w:val="0"/>
    </w:pPr>
    <w:rPr>
      <w:rFonts w:ascii="Calibri Light" w:hAnsi="Calibri Light" w:eastAsia="微软雅黑"/>
      <w:b/>
      <w:bCs/>
      <w:color w:val="1F4E79"/>
      <w:sz w:val="56"/>
      <w:szCs w:val="56"/>
    </w:rPr>
  </w:style>
  <w:style w:type="paragraph" w:styleId="3">
    <w:name w:val="heading 2"/>
    <w:next w:val="1"/>
    <w:qFormat/>
    <w:uiPriority w:val="0"/>
    <w:pPr>
      <w:spacing w:before="480" w:after="240" w:line="276" w:lineRule="auto"/>
      <w:outlineLvl w:val="1"/>
    </w:pPr>
    <w:rPr>
      <w:rFonts w:ascii="Calibri Light" w:hAnsi="Calibri Light" w:eastAsia="微软雅黑"/>
      <w:b/>
      <w:bCs/>
      <w:color w:val="1F4E79"/>
      <w:sz w:val="52"/>
      <w:szCs w:val="52"/>
    </w:rPr>
  </w:style>
  <w:style w:type="paragraph" w:styleId="4">
    <w:name w:val="heading 3"/>
    <w:next w:val="1"/>
    <w:qFormat/>
    <w:uiPriority w:val="0"/>
    <w:pPr>
      <w:spacing w:before="360" w:after="180" w:line="276" w:lineRule="auto"/>
      <w:outlineLvl w:val="2"/>
    </w:pPr>
    <w:rPr>
      <w:rFonts w:ascii="Calibri Light" w:hAnsi="Calibri Light" w:eastAsia="微软雅黑"/>
      <w:b/>
      <w:bCs/>
      <w:color w:val="2E75B6"/>
      <w:sz w:val="40"/>
      <w:szCs w:val="40"/>
    </w:rPr>
  </w:style>
  <w:style w:type="paragraph" w:styleId="5">
    <w:name w:val="heading 4"/>
    <w:next w:val="1"/>
    <w:qFormat/>
    <w:uiPriority w:val="0"/>
    <w:pPr>
      <w:spacing w:before="200" w:after="100" w:line="276" w:lineRule="auto"/>
      <w:outlineLvl w:val="3"/>
    </w:pPr>
    <w:rPr>
      <w:rFonts w:ascii="Calibri Light" w:hAnsi="Calibri Light" w:eastAsia="微软雅黑"/>
      <w:b/>
      <w:bCs/>
      <w:sz w:val="26"/>
      <w:szCs w:val="26"/>
    </w:rPr>
  </w:style>
  <w:style w:type="paragraph" w:styleId="6">
    <w:name w:val="heading 5"/>
    <w:next w:val="1"/>
    <w:qFormat/>
    <w:uiPriority w:val="0"/>
    <w:pPr>
      <w:spacing w:before="160" w:after="80" w:line="276" w:lineRule="auto"/>
      <w:outlineLvl w:val="4"/>
    </w:pPr>
    <w:rPr>
      <w:rFonts w:ascii="Calibri Light" w:hAnsi="Calibri Light" w:eastAsia="微软雅黑"/>
      <w:b/>
      <w:bCs/>
      <w:color w:val="2E75B6"/>
      <w:sz w:val="24"/>
      <w:szCs w:val="24"/>
    </w:rPr>
  </w:style>
  <w:style w:type="paragraph" w:styleId="7">
    <w:name w:val="heading 6"/>
    <w:next w:val="1"/>
    <w:qFormat/>
    <w:uiPriority w:val="0"/>
    <w:pPr>
      <w:spacing w:before="160" w:after="80" w:line="276" w:lineRule="auto"/>
      <w:outlineLvl w:val="5"/>
    </w:pPr>
    <w:rPr>
      <w:rFonts w:ascii="Calibri Light" w:hAnsi="Calibri Light" w:eastAsia="微软雅黑"/>
      <w:b/>
      <w:bCs/>
      <w:i/>
      <w:iCs/>
      <w:color w:val="2E75B6"/>
      <w:sz w:val="22"/>
      <w:szCs w:val="22"/>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8">
    <w:name w:val="toc 3"/>
    <w:next w:val="1"/>
    <w:qFormat/>
    <w:uiPriority w:val="0"/>
    <w:pPr>
      <w:spacing w:before="120" w:after="120" w:line="276" w:lineRule="auto"/>
      <w:ind w:left="480"/>
    </w:pPr>
    <w:rPr>
      <w:rFonts w:ascii="Calibri" w:hAnsi="Calibri" w:eastAsia="Calibri" w:cs="Calibri"/>
      <w:sz w:val="22"/>
      <w:szCs w:val="22"/>
    </w:rPr>
  </w:style>
  <w:style w:type="paragraph" w:styleId="9">
    <w:name w:val="toc 1"/>
    <w:next w:val="1"/>
    <w:qFormat/>
    <w:uiPriority w:val="0"/>
    <w:pPr>
      <w:spacing w:before="120" w:after="120" w:line="276" w:lineRule="auto"/>
      <w:ind w:left="0"/>
    </w:pPr>
    <w:rPr>
      <w:rFonts w:ascii="Calibri" w:hAnsi="Calibri" w:eastAsia="Calibri" w:cs="Calibri"/>
      <w:b/>
      <w:bCs/>
      <w:sz w:val="22"/>
      <w:szCs w:val="22"/>
    </w:rPr>
  </w:style>
  <w:style w:type="paragraph" w:styleId="10">
    <w:name w:val="Subtitle"/>
    <w:qFormat/>
    <w:uiPriority w:val="0"/>
    <w:pPr>
      <w:spacing w:after="240" w:line="276" w:lineRule="auto"/>
      <w:jc w:val="center"/>
    </w:pPr>
    <w:rPr>
      <w:rFonts w:ascii="Calibri" w:hAnsi="Calibri" w:eastAsia="Calibri" w:cs="Calibri"/>
      <w:color w:val="666666"/>
      <w:sz w:val="26"/>
      <w:szCs w:val="26"/>
    </w:rPr>
  </w:style>
  <w:style w:type="paragraph" w:styleId="11">
    <w:name w:val="footnote text"/>
    <w:link w:val="19"/>
    <w:semiHidden/>
    <w:unhideWhenUsed/>
    <w:qFormat/>
    <w:uiPriority w:val="99"/>
    <w:pPr>
      <w:spacing w:after="0" w:line="240" w:lineRule="auto"/>
    </w:pPr>
    <w:rPr>
      <w:rFonts w:ascii="Calibri" w:hAnsi="Calibri" w:eastAsia="微软雅黑"/>
      <w:sz w:val="20"/>
      <w:szCs w:val="20"/>
    </w:rPr>
  </w:style>
  <w:style w:type="paragraph" w:styleId="12">
    <w:name w:val="toc 2"/>
    <w:next w:val="1"/>
    <w:qFormat/>
    <w:uiPriority w:val="0"/>
    <w:pPr>
      <w:spacing w:before="120" w:after="120" w:line="276" w:lineRule="auto"/>
      <w:ind w:left="240"/>
    </w:pPr>
    <w:rPr>
      <w:rFonts w:ascii="Calibri" w:hAnsi="Calibri" w:eastAsia="Calibri" w:cs="Calibri"/>
      <w:sz w:val="22"/>
      <w:szCs w:val="22"/>
    </w:rPr>
  </w:style>
  <w:style w:type="paragraph" w:styleId="13">
    <w:name w:val="Title"/>
    <w:qFormat/>
    <w:uiPriority w:val="0"/>
    <w:pPr>
      <w:spacing w:after="120" w:line="276" w:lineRule="auto"/>
      <w:jc w:val="center"/>
    </w:pPr>
    <w:rPr>
      <w:rFonts w:ascii="Calibri Light" w:hAnsi="Calibri Light" w:eastAsia="微软雅黑"/>
      <w:b/>
      <w:bCs/>
      <w:sz w:val="56"/>
      <w:szCs w:val="56"/>
    </w:rPr>
  </w:style>
  <w:style w:type="character" w:styleId="16">
    <w:name w:val="Hyperlink"/>
    <w:unhideWhenUsed/>
    <w:qFormat/>
    <w:uiPriority w:val="99"/>
    <w:rPr>
      <w:color w:val="0563C1"/>
      <w:u w:val="single"/>
    </w:rPr>
  </w:style>
  <w:style w:type="character" w:styleId="17">
    <w:name w:val="footnote reference"/>
    <w:semiHidden/>
    <w:unhideWhenUsed/>
    <w:qFormat/>
    <w:uiPriority w:val="99"/>
    <w:rPr>
      <w:vertAlign w:val="superscript"/>
    </w:rPr>
  </w:style>
  <w:style w:type="paragraph" w:styleId="18">
    <w:name w:val="List Paragraph"/>
    <w:qFormat/>
    <w:uiPriority w:val="0"/>
    <w:pPr>
      <w:spacing w:line="276" w:lineRule="auto"/>
    </w:pPr>
    <w:rPr>
      <w:rFonts w:ascii="Calibri" w:hAnsi="Calibri" w:eastAsia="微软雅黑"/>
      <w:sz w:val="22"/>
      <w:szCs w:val="22"/>
    </w:rPr>
  </w:style>
  <w:style w:type="character" w:customStyle="1" w:styleId="19">
    <w:name w:val="Footnote Text Char"/>
    <w:link w:val="11"/>
    <w:semiHidden/>
    <w:unhideWhenUsed/>
    <w:uiPriority w:val="99"/>
    <w:rPr>
      <w:sz w:val="20"/>
      <w:szCs w:val="20"/>
    </w:rPr>
  </w:style>
  <w:style w:type="paragraph" w:styleId="20">
    <w:name w:val="Quote"/>
    <w:qFormat/>
    <w:uiPriority w:val="0"/>
    <w:pPr>
      <w:spacing w:before="240" w:after="240" w:line="276" w:lineRule="auto"/>
      <w:ind w:left="720" w:right="720" w:firstLine="0"/>
    </w:pPr>
    <w:rPr>
      <w:rFonts w:ascii="Calibri" w:hAnsi="Calibri" w:eastAsia="Calibri" w:cs="Calibri"/>
      <w:i/>
      <w:iCs/>
      <w:color w:val="404040"/>
      <w:sz w:val="22"/>
      <w:szCs w:val="22"/>
    </w:rPr>
  </w:style>
  <w:style w:type="paragraph" w:styleId="21">
    <w:name w:val="Intense Quote"/>
    <w:basedOn w:val="20"/>
    <w:qFormat/>
    <w:uiPriority w:val="0"/>
    <w:pPr>
      <w:pBdr>
        <w:left w:val="single" w:color="1F4E79" w:sz="18" w:space="12"/>
      </w:pBdr>
      <w:spacing w:before="240" w:after="240"/>
      <w:ind w:left="720" w:right="720" w:firstLine="0"/>
    </w:pPr>
    <w:rPr>
      <w:rFonts w:ascii="Calibri" w:hAnsi="Calibri" w:eastAsia="Calibri" w:cs="Calibri"/>
      <w:b/>
      <w:bCs/>
      <w:color w:val="1F4E79"/>
      <w:sz w:val="22"/>
      <w:szCs w:val="22"/>
    </w:rPr>
  </w:style>
  <w:style w:type="paragraph" w:customStyle="1" w:styleId="22">
    <w:name w:val="Comment Text"/>
    <w:qFormat/>
    <w:uiPriority w:val="0"/>
    <w:pPr>
      <w:spacing w:line="276" w:lineRule="auto"/>
    </w:pPr>
    <w:rPr>
      <w:rFonts w:ascii="Calibri" w:hAnsi="Calibri" w:eastAsia="Calibri" w:cs="Calibri"/>
      <w:sz w:val="20"/>
      <w:szCs w:val="20"/>
    </w:rPr>
  </w:style>
  <w:style w:type="paragraph" w:customStyle="1" w:styleId="23">
    <w:name w:val="Comment Reference"/>
    <w:uiPriority w:val="0"/>
    <w:pPr>
      <w:spacing w:line="276" w:lineRule="auto"/>
    </w:pPr>
    <w:rPr>
      <w:rFonts w:ascii="Calibri" w:hAnsi="Calibri" w:eastAsia="Calibri" w:cs="Calibri"/>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1104</Words>
  <Characters>1119</Characters>
  <TotalTime>0</TotalTime>
  <ScaleCrop>false</ScaleCrop>
  <LinksUpToDate>false</LinksUpToDate>
  <CharactersWithSpaces>1132</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2026-09-07T02:16:00Z</dcterms:created>
  <dc:creator>平台运营方</dc:creator>
  <cp:keywords>AI生成</cp:keywords>
  <cp:lastModifiedBy>刘青</cp:lastModifiedBy>
  <dcterms:modified xsi:type="dcterms:W3CDTF">2026-09-07T02:17:54Z</dcterms:modified>
  <dc:title>多租户预约平台信息收集规则</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240AD18E6BC94576A5C6F3D63BE18C46_13</vt:lpwstr>
  </property>
</Properties>
</file>