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F1D7D">
      <w:pPr>
        <w:spacing w:before="3500"/>
        <w:rPr>
          <w:rFonts w:hint="eastAsia"/>
          <w:lang w:eastAsia="zh-CN"/>
        </w:rPr>
      </w:pPr>
      <w:bookmarkStart w:id="34" w:name="_GoBack"/>
      <w:bookmarkEnd w:id="34"/>
      <w:r>
        <w:rPr>
          <w:rFonts w:hint="eastAsia"/>
          <w:lang w:eastAsia="zh-CN"/>
        </w:rPr>
        <w:t>AI生成</w:t>
      </w:r>
    </w:p>
    <w:p w14:paraId="5DB770B0">
      <w:pPr>
        <w:spacing w:before="3500"/>
        <w:rPr>
          <w:rFonts w:hint="eastAsia"/>
          <w:lang w:eastAsia="zh-CN"/>
        </w:rPr>
      </w:pPr>
    </w:p>
    <w:p w14:paraId="6B836323">
      <w:pPr>
        <w:pStyle w:val="13"/>
        <w:jc w:val="center"/>
      </w:pPr>
      <w:r>
        <w:rPr>
          <w:b/>
          <w:bCs/>
        </w:rPr>
        <w:t>平台运营方隐私保护指引</w:t>
      </w:r>
    </w:p>
    <w:p w14:paraId="2ECF96A6">
      <w:pPr>
        <w:pStyle w:val="10"/>
        <w:jc w:val="center"/>
      </w:pPr>
      <w:r>
        <w:t>协调平台与租户信息收集知情权</w:t>
      </w:r>
    </w:p>
    <w:p w14:paraId="780C6AD8">
      <w:pPr>
        <w:jc w:val="center"/>
      </w:pPr>
      <w:r>
        <w:t>平台运营方 | 2026年9月7日</w:t>
      </w:r>
    </w:p>
    <w:p w14:paraId="61C95EF6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2752EAD1">
      <w:pPr>
        <w:pStyle w:val="2"/>
      </w:pPr>
      <w:r>
        <w:t>目录</w:t>
      </w:r>
    </w:p>
    <w:p w14:paraId="3637A3E1">
      <w:sdt>
        <w:sdtPr>
          <w:alias w:val="（在 Word/WPS 中右键此处 → 更新域，以显示目录及页码）"/>
          <w:id w:val="147476221"/>
        </w:sdtPr>
        <w:sdtContent/>
      </w:sdt>
    </w:p>
    <w:p w14:paraId="005C22C1">
      <w:r>
        <w:br w:type="page"/>
      </w:r>
    </w:p>
    <w:p w14:paraId="5D3193C9">
      <w:pPr>
        <w:sectPr>
          <w:footerReference r:id="rId5" w:type="default"/>
          <w:pgSz w:w="11906" w:h="16838"/>
          <w:pgMar w:top="1440" w:right="1440" w:bottom="1440" w:left="1440" w:header="708" w:footer="708" w:gutter="0"/>
          <w:cols w:space="720" w:num="1"/>
          <w:titlePg/>
          <w:docGrid w:linePitch="360" w:charSpace="0"/>
        </w:sectPr>
      </w:pPr>
    </w:p>
    <w:p w14:paraId="0EA05CC5">
      <w:pPr>
        <w:pStyle w:val="3"/>
      </w:pPr>
      <w:bookmarkStart w:id="0" w:name="toc-anchor-0"/>
      <w:r>
        <w:t>第一章 总则</w:t>
      </w:r>
      <w:bookmarkEnd w:id="0"/>
    </w:p>
    <w:p w14:paraId="08CF9C8B">
      <w:pPr>
        <w:pStyle w:val="4"/>
      </w:pPr>
      <w:bookmarkStart w:id="1" w:name="toc-anchor-1"/>
      <w:r>
        <w:t>第一条 目的</w:t>
      </w:r>
      <w:bookmarkEnd w:id="1"/>
    </w:p>
    <w:p w14:paraId="3B4C7CEA">
      <w:r>
        <w:t>本指引旨在明确平台运营方在个人信息保护中的角色、义务和操作规范，协调平台运营方与租户之间的信息收集知情权，确保平台在提供技术服务的同时依法合规处理个人信息。</w:t>
      </w:r>
    </w:p>
    <w:p w14:paraId="542358B7">
      <w:pPr>
        <w:pStyle w:val="4"/>
      </w:pPr>
      <w:bookmarkStart w:id="2" w:name="toc-anchor-2"/>
      <w:r>
        <w:t>第二条 适用范围</w:t>
      </w:r>
      <w:bookmarkEnd w:id="2"/>
    </w:p>
    <w:p w14:paraId="79087788">
      <w:r>
        <w:t>本指引适用于平台运营方及其工作人员在平台运营、技术维护、安全管理等活动中涉及个人信息处理的全过程。</w:t>
      </w:r>
    </w:p>
    <w:p w14:paraId="5FCF6EC2">
      <w:pPr>
        <w:pStyle w:val="3"/>
      </w:pPr>
      <w:bookmarkStart w:id="3" w:name="toc-anchor-3"/>
      <w:r>
        <w:t>第二章 平台角色与法律定位</w:t>
      </w:r>
      <w:bookmarkEnd w:id="3"/>
    </w:p>
    <w:p w14:paraId="29B3205A">
      <w:pPr>
        <w:pStyle w:val="4"/>
      </w:pPr>
      <w:bookmarkStart w:id="4" w:name="toc-anchor-4"/>
      <w:r>
        <w:t>第三条 法律角色</w:t>
      </w:r>
      <w:bookmarkEnd w:id="4"/>
    </w:p>
    <w:p w14:paraId="57787B84">
      <w:r>
        <w:t>平台运营方在本平台个人信息处理活动中，定位为个人信息受托处理者（非处理者）。平台运营方依据租户委托，在约定目的和范围内提供技术基础设施服务，不自行决定个人信息处理的目的和方式。</w:t>
      </w:r>
    </w:p>
    <w:p w14:paraId="6BB07B98">
      <w:pPr>
        <w:pStyle w:val="4"/>
      </w:pPr>
      <w:bookmarkStart w:id="5" w:name="toc-anchor-5"/>
      <w:r>
        <w:t>第四条 核心义务</w:t>
      </w:r>
      <w:bookmarkEnd w:id="5"/>
    </w:p>
    <w:p w14:paraId="0CC30C18">
      <w:pPr>
        <w:pStyle w:val="18"/>
        <w:numPr>
          <w:ilvl w:val="0"/>
          <w:numId w:val="1"/>
        </w:numPr>
      </w:pPr>
      <w:r>
        <w:t>按照委托约定处理个人信息，不得超出约定范围；</w:t>
      </w:r>
    </w:p>
    <w:p w14:paraId="514A0707">
      <w:pPr>
        <w:pStyle w:val="18"/>
        <w:numPr>
          <w:ilvl w:val="0"/>
          <w:numId w:val="1"/>
        </w:numPr>
      </w:pPr>
      <w:r>
        <w:t>不得自行向第三方提供或公开委托处理的个人信息；</w:t>
      </w:r>
    </w:p>
    <w:p w14:paraId="3BE9E0F6">
      <w:pPr>
        <w:pStyle w:val="18"/>
        <w:numPr>
          <w:ilvl w:val="0"/>
          <w:numId w:val="1"/>
        </w:numPr>
      </w:pPr>
      <w:r>
        <w:t>采取必要措施保障个人信息安全；</w:t>
      </w:r>
    </w:p>
    <w:p w14:paraId="218C1B16">
      <w:pPr>
        <w:pStyle w:val="18"/>
        <w:numPr>
          <w:ilvl w:val="0"/>
          <w:numId w:val="1"/>
        </w:numPr>
      </w:pPr>
      <w:r>
        <w:t>协助租户响应信息主体的权利请求；</w:t>
      </w:r>
    </w:p>
    <w:p w14:paraId="42A47041">
      <w:pPr>
        <w:pStyle w:val="18"/>
        <w:numPr>
          <w:ilvl w:val="0"/>
          <w:numId w:val="1"/>
        </w:numPr>
      </w:pPr>
      <w:r>
        <w:t>委托关系终止后，将个人信息返还租户或予以删除；</w:t>
      </w:r>
    </w:p>
    <w:p w14:paraId="42C52081">
      <w:pPr>
        <w:pStyle w:val="18"/>
        <w:numPr>
          <w:ilvl w:val="0"/>
          <w:numId w:val="1"/>
        </w:numPr>
      </w:pPr>
      <w:r>
        <w:t>不得在委托范围外利用个人信息进行经营活动。</w:t>
      </w:r>
    </w:p>
    <w:p w14:paraId="427A751E">
      <w:pPr>
        <w:pStyle w:val="3"/>
      </w:pPr>
      <w:bookmarkStart w:id="6" w:name="toc-anchor-6"/>
      <w:r>
        <w:t>第三章 信息收集清单与合法性基础</w:t>
      </w:r>
      <w:bookmarkEnd w:id="6"/>
    </w:p>
    <w:p w14:paraId="31683ABE">
      <w:pPr>
        <w:pStyle w:val="4"/>
      </w:pPr>
      <w:bookmarkStart w:id="7" w:name="toc-anchor-7"/>
      <w:r>
        <w:t>第五条 平台运营方可访问的信息</w:t>
      </w:r>
      <w:bookmarkEnd w:id="7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2777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3AE3">
            <w:r>
              <w:rPr>
                <w:b/>
                <w:bCs/>
                <w:color w:val="FFFFFF"/>
                <w:sz w:val="20"/>
                <w:szCs w:val="20"/>
              </w:rPr>
              <w:t>信息类别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04F0">
            <w:r>
              <w:rPr>
                <w:b/>
                <w:bCs/>
                <w:color w:val="FFFFFF"/>
                <w:sz w:val="20"/>
                <w:szCs w:val="20"/>
              </w:rPr>
              <w:t>具体字段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D90D">
            <w:r>
              <w:rPr>
                <w:b/>
                <w:bCs/>
                <w:color w:val="FFFFFF"/>
                <w:sz w:val="20"/>
                <w:szCs w:val="20"/>
              </w:rPr>
              <w:t>访问目的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D568">
            <w:r>
              <w:rPr>
                <w:b/>
                <w:bCs/>
                <w:color w:val="FFFFFF"/>
                <w:sz w:val="20"/>
                <w:szCs w:val="20"/>
              </w:rPr>
              <w:t>合法性基础</w:t>
            </w:r>
          </w:p>
        </w:tc>
      </w:tr>
      <w:tr w14:paraId="5CF6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33BE">
            <w:r>
              <w:rPr>
                <w:sz w:val="20"/>
                <w:szCs w:val="20"/>
              </w:rPr>
              <w:t>租户管理员信息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C667">
            <w:r>
              <w:rPr>
                <w:sz w:val="20"/>
                <w:szCs w:val="20"/>
              </w:rPr>
              <w:t>姓名、手机号码、电子邮箱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2739">
            <w:r>
              <w:rPr>
                <w:sz w:val="20"/>
                <w:szCs w:val="20"/>
              </w:rPr>
              <w:t>账户管理、业务联络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AFC1">
            <w:r>
              <w:rPr>
                <w:sz w:val="20"/>
                <w:szCs w:val="20"/>
              </w:rPr>
              <w:t>合同履行所必需</w:t>
            </w:r>
          </w:p>
        </w:tc>
      </w:tr>
      <w:tr w14:paraId="4E0F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598E">
            <w:r>
              <w:rPr>
                <w:sz w:val="20"/>
                <w:szCs w:val="20"/>
              </w:rPr>
              <w:t>租户企业信息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E83B">
            <w:r>
              <w:rPr>
                <w:sz w:val="20"/>
                <w:szCs w:val="20"/>
              </w:rPr>
              <w:t>公司名称、统一社会信用代码、注册地址、营业执照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18B3">
            <w:r>
              <w:rPr>
                <w:sz w:val="20"/>
                <w:szCs w:val="20"/>
              </w:rPr>
              <w:t>准入审核、资质核验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B865">
            <w:r>
              <w:rPr>
                <w:sz w:val="20"/>
                <w:szCs w:val="20"/>
              </w:rPr>
              <w:t>法定义务</w:t>
            </w:r>
          </w:p>
        </w:tc>
      </w:tr>
      <w:tr w14:paraId="3702A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8158">
            <w:r>
              <w:rPr>
                <w:sz w:val="20"/>
                <w:szCs w:val="20"/>
              </w:rPr>
              <w:t>聚合统计数据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C762">
            <w:r>
              <w:rPr>
                <w:sz w:val="20"/>
                <w:szCs w:val="20"/>
              </w:rPr>
              <w:t>各租户用户数、在线人数、预约量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3F86">
            <w:r>
              <w:rPr>
                <w:sz w:val="20"/>
                <w:szCs w:val="20"/>
              </w:rPr>
              <w:t>运营分析、服务优化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EDD2">
            <w:r>
              <w:rPr>
                <w:sz w:val="20"/>
                <w:szCs w:val="20"/>
              </w:rPr>
              <w:t>匿名化数据</w:t>
            </w:r>
          </w:p>
        </w:tc>
      </w:tr>
      <w:tr w14:paraId="7455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91B2">
            <w:r>
              <w:rPr>
                <w:sz w:val="20"/>
                <w:szCs w:val="20"/>
              </w:rPr>
              <w:t>系统日志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A3C4">
            <w:r>
              <w:rPr>
                <w:sz w:val="20"/>
                <w:szCs w:val="20"/>
              </w:rPr>
              <w:t>操作时间、IP地址、操作类型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2B17">
            <w:r>
              <w:rPr>
                <w:sz w:val="20"/>
                <w:szCs w:val="20"/>
              </w:rPr>
              <w:t>安全审计、故障排查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59FB">
            <w:r>
              <w:rPr>
                <w:sz w:val="20"/>
                <w:szCs w:val="20"/>
              </w:rPr>
              <w:t>安全保护所必需</w:t>
            </w:r>
          </w:p>
        </w:tc>
      </w:tr>
    </w:tbl>
    <w:p w14:paraId="5A663FA1">
      <w:pPr>
        <w:pStyle w:val="4"/>
      </w:pPr>
      <w:bookmarkStart w:id="8" w:name="toc-anchor-8"/>
      <w:r>
        <w:t>第六条 禁止访问的信息</w:t>
      </w:r>
      <w:bookmarkEnd w:id="8"/>
    </w:p>
    <w:p w14:paraId="6E3C3FE4">
      <w:r>
        <w:t>平台运营方及其工作人员不得访问、查看、导出以下信息：</w:t>
      </w:r>
    </w:p>
    <w:p w14:paraId="07C886B6">
      <w:pPr>
        <w:pStyle w:val="18"/>
        <w:numPr>
          <w:ilvl w:val="0"/>
          <w:numId w:val="1"/>
        </w:numPr>
      </w:pPr>
      <w:r>
        <w:t>租户管理员以外的终端用户个人信息（教师、学生的联系方式等）；</w:t>
      </w:r>
    </w:p>
    <w:p w14:paraId="509DCEAD">
      <w:pPr>
        <w:pStyle w:val="18"/>
        <w:numPr>
          <w:ilvl w:val="0"/>
          <w:numId w:val="1"/>
        </w:numPr>
      </w:pPr>
      <w:r>
        <w:t>教师资质文件的具体内容（仅可查看核验状态）；</w:t>
      </w:r>
    </w:p>
    <w:p w14:paraId="549DA81D">
      <w:pPr>
        <w:pStyle w:val="18"/>
        <w:numPr>
          <w:ilvl w:val="0"/>
          <w:numId w:val="1"/>
        </w:numPr>
      </w:pPr>
      <w:r>
        <w:t>学生的个人身份信息、监护人信息；</w:t>
      </w:r>
    </w:p>
    <w:p w14:paraId="7AFA3EF3">
      <w:pPr>
        <w:pStyle w:val="18"/>
        <w:numPr>
          <w:ilvl w:val="0"/>
          <w:numId w:val="1"/>
        </w:numPr>
      </w:pPr>
      <w:r>
        <w:t>租户的业务数据和课程内容。</w:t>
      </w:r>
    </w:p>
    <w:p w14:paraId="0240C9D3">
      <w:r>
        <w:t>因技术维护确需访问上述信息的，应当经租户书面授权，在租户监督下进行，并全程记录审计日志。</w:t>
      </w:r>
    </w:p>
    <w:p w14:paraId="10503D73">
      <w:pPr>
        <w:pStyle w:val="3"/>
      </w:pPr>
      <w:bookmarkStart w:id="9" w:name="toc-anchor-9"/>
      <w:r>
        <w:t>第四章 委托处理关系管理</w:t>
      </w:r>
      <w:bookmarkEnd w:id="9"/>
    </w:p>
    <w:p w14:paraId="73041368">
      <w:pPr>
        <w:pStyle w:val="4"/>
      </w:pPr>
      <w:bookmarkStart w:id="10" w:name="toc-anchor-10"/>
      <w:r>
        <w:t>第七条 委托协议</w:t>
      </w:r>
      <w:bookmarkEnd w:id="10"/>
    </w:p>
    <w:p w14:paraId="43269F1F">
      <w:r>
        <w:t>平台运营方应当与每个租户签订书面委托处理协议，协议内容包括：</w:t>
      </w:r>
    </w:p>
    <w:p w14:paraId="20499A51">
      <w:pPr>
        <w:pStyle w:val="18"/>
        <w:numPr>
          <w:ilvl w:val="0"/>
          <w:numId w:val="1"/>
        </w:numPr>
      </w:pPr>
      <w:r>
        <w:t>委托处理的目的、期限、处理方式、个人信息种类和处理范围；</w:t>
      </w:r>
    </w:p>
    <w:p w14:paraId="79B64F6B">
      <w:pPr>
        <w:pStyle w:val="18"/>
        <w:numPr>
          <w:ilvl w:val="0"/>
          <w:numId w:val="1"/>
        </w:numPr>
      </w:pPr>
      <w:r>
        <w:t>平台运营方的保密义务和安全保护义务；</w:t>
      </w:r>
    </w:p>
    <w:p w14:paraId="31DA41CF">
      <w:pPr>
        <w:pStyle w:val="18"/>
        <w:numPr>
          <w:ilvl w:val="0"/>
          <w:numId w:val="1"/>
        </w:numPr>
      </w:pPr>
      <w:r>
        <w:t>个人信息安全事件的通知和配合处置义务；</w:t>
      </w:r>
    </w:p>
    <w:p w14:paraId="4B921696">
      <w:pPr>
        <w:pStyle w:val="18"/>
        <w:numPr>
          <w:ilvl w:val="0"/>
          <w:numId w:val="1"/>
        </w:numPr>
      </w:pPr>
      <w:r>
        <w:t>协助响应信息主体权利请求的义务；</w:t>
      </w:r>
    </w:p>
    <w:p w14:paraId="3BC9BEC8">
      <w:pPr>
        <w:pStyle w:val="18"/>
        <w:numPr>
          <w:ilvl w:val="0"/>
          <w:numId w:val="1"/>
        </w:numPr>
      </w:pPr>
      <w:r>
        <w:t>委托终止后个人信息的返还或删除安排；</w:t>
      </w:r>
    </w:p>
    <w:p w14:paraId="330DE494">
      <w:pPr>
        <w:pStyle w:val="18"/>
        <w:numPr>
          <w:ilvl w:val="0"/>
          <w:numId w:val="1"/>
        </w:numPr>
      </w:pPr>
      <w:r>
        <w:t>违约责任和争议解决机制。</w:t>
      </w:r>
    </w:p>
    <w:p w14:paraId="17C35CE0">
      <w:pPr>
        <w:pStyle w:val="4"/>
      </w:pPr>
      <w:bookmarkStart w:id="11" w:name="toc-anchor-11"/>
      <w:r>
        <w:t>第八条 委托监督</w:t>
      </w:r>
      <w:bookmarkEnd w:id="11"/>
    </w:p>
    <w:p w14:paraId="3714C520">
      <w:pPr>
        <w:pStyle w:val="18"/>
        <w:numPr>
          <w:ilvl w:val="0"/>
          <w:numId w:val="1"/>
        </w:numPr>
      </w:pPr>
      <w:r>
        <w:t>定期审查委托处理的执行情况，确保在约定范围内处理；</w:t>
      </w:r>
    </w:p>
    <w:p w14:paraId="2E7E730E">
      <w:pPr>
        <w:pStyle w:val="18"/>
        <w:numPr>
          <w:ilvl w:val="0"/>
          <w:numId w:val="1"/>
        </w:numPr>
      </w:pPr>
      <w:r>
        <w:t>建立委托处理台账，记录委托事项、期限、处理情况；</w:t>
      </w:r>
    </w:p>
    <w:p w14:paraId="544A7E81">
      <w:pPr>
        <w:pStyle w:val="18"/>
        <w:numPr>
          <w:ilvl w:val="0"/>
          <w:numId w:val="1"/>
        </w:numPr>
      </w:pPr>
      <w:r>
        <w:t>委托处理台账保存期限不少于三年；</w:t>
      </w:r>
    </w:p>
    <w:p w14:paraId="48E72329">
      <w:pPr>
        <w:pStyle w:val="18"/>
        <w:numPr>
          <w:ilvl w:val="0"/>
          <w:numId w:val="1"/>
        </w:numPr>
      </w:pPr>
      <w:r>
        <w:t>发现租户超出约定范围处理个人信息的，应当予以提醒并要求整改。</w:t>
      </w:r>
    </w:p>
    <w:p w14:paraId="37EBED4C">
      <w:pPr>
        <w:pStyle w:val="3"/>
      </w:pPr>
      <w:bookmarkStart w:id="12" w:name="toc-anchor-12"/>
      <w:r>
        <w:t>第五章 平台与租户知情权协调机制</w:t>
      </w:r>
      <w:bookmarkEnd w:id="12"/>
    </w:p>
    <w:p w14:paraId="6A68EDEF">
      <w:pPr>
        <w:pStyle w:val="4"/>
      </w:pPr>
      <w:bookmarkStart w:id="13" w:name="toc-anchor-13"/>
      <w:r>
        <w:t>第九条 平台对租户的知情权</w:t>
      </w:r>
      <w:bookmarkEnd w:id="13"/>
    </w:p>
    <w:p w14:paraId="08AE2F99">
      <w:r>
        <w:t>平台运营方有权了解以下信息，以履行安全管理和技术服务义务：</w:t>
      </w:r>
    </w:p>
    <w:p w14:paraId="478AF54D">
      <w:pPr>
        <w:pStyle w:val="18"/>
        <w:numPr>
          <w:ilvl w:val="0"/>
          <w:numId w:val="1"/>
        </w:numPr>
      </w:pPr>
      <w:r>
        <w:t>租户处理个人信息的总体情况（用户数量、数据量级）；</w:t>
      </w:r>
    </w:p>
    <w:p w14:paraId="2275F4F2">
      <w:pPr>
        <w:pStyle w:val="18"/>
        <w:numPr>
          <w:ilvl w:val="0"/>
          <w:numId w:val="1"/>
        </w:numPr>
      </w:pPr>
      <w:r>
        <w:t>租户是否发生安全事件及其影响范围；</w:t>
      </w:r>
    </w:p>
    <w:p w14:paraId="3E45524E">
      <w:pPr>
        <w:pStyle w:val="18"/>
        <w:numPr>
          <w:ilvl w:val="0"/>
          <w:numId w:val="1"/>
        </w:numPr>
      </w:pPr>
      <w:r>
        <w:t>租户的等保定级和测评情况；</w:t>
      </w:r>
    </w:p>
    <w:p w14:paraId="7B191BD8">
      <w:pPr>
        <w:pStyle w:val="18"/>
        <w:numPr>
          <w:ilvl w:val="0"/>
          <w:numId w:val="1"/>
        </w:numPr>
      </w:pPr>
      <w:r>
        <w:t>租户的个人信息保护制度建设情况。</w:t>
      </w:r>
    </w:p>
    <w:p w14:paraId="068A7CDB">
      <w:r>
        <w:t>平台运营方的知情权限于安全管理和技术服务所必需的范围，不得借此获取终端用户的具体个人信息。</w:t>
      </w:r>
    </w:p>
    <w:p w14:paraId="2D2A3712">
      <w:pPr>
        <w:pStyle w:val="4"/>
      </w:pPr>
      <w:bookmarkStart w:id="14" w:name="toc-anchor-14"/>
      <w:r>
        <w:t>第十条 租户对平台的知情权</w:t>
      </w:r>
      <w:bookmarkEnd w:id="14"/>
    </w:p>
    <w:p w14:paraId="3C9C09CA">
      <w:r>
        <w:t>租户有权了解以下信息，以监督平台运营方的受托处理行为：</w:t>
      </w:r>
    </w:p>
    <w:p w14:paraId="564972D4">
      <w:pPr>
        <w:pStyle w:val="18"/>
        <w:numPr>
          <w:ilvl w:val="0"/>
          <w:numId w:val="1"/>
        </w:numPr>
      </w:pPr>
      <w:r>
        <w:t>平台运营方的安全保护措施和技术能力；</w:t>
      </w:r>
    </w:p>
    <w:p w14:paraId="1EFE671E">
      <w:pPr>
        <w:pStyle w:val="18"/>
        <w:numPr>
          <w:ilvl w:val="0"/>
          <w:numId w:val="1"/>
        </w:numPr>
      </w:pPr>
      <w:r>
        <w:t>平台运营方的等保定级和测评报告；</w:t>
      </w:r>
    </w:p>
    <w:p w14:paraId="0AF05408">
      <w:pPr>
        <w:pStyle w:val="18"/>
        <w:numPr>
          <w:ilvl w:val="0"/>
          <w:numId w:val="1"/>
        </w:numPr>
      </w:pPr>
      <w:r>
        <w:t>平台运营方处理租户个人信息的情况（处理记录、访问日志）；</w:t>
      </w:r>
    </w:p>
    <w:p w14:paraId="7E80B6AA">
      <w:pPr>
        <w:pStyle w:val="18"/>
        <w:numPr>
          <w:ilvl w:val="0"/>
          <w:numId w:val="1"/>
        </w:numPr>
      </w:pPr>
      <w:r>
        <w:t>平台运营方是否发生安全事件及其影响；</w:t>
      </w:r>
    </w:p>
    <w:p w14:paraId="0C98FA69">
      <w:pPr>
        <w:pStyle w:val="18"/>
        <w:numPr>
          <w:ilvl w:val="0"/>
          <w:numId w:val="1"/>
        </w:numPr>
      </w:pPr>
      <w:r>
        <w:t>平台运营方的个人信息保护管理制度。</w:t>
      </w:r>
    </w:p>
    <w:p w14:paraId="4634DB15">
      <w:pPr>
        <w:pStyle w:val="4"/>
      </w:pPr>
      <w:bookmarkStart w:id="15" w:name="toc-anchor-15"/>
      <w:r>
        <w:t>第十一条 知情权行使方式</w:t>
      </w:r>
      <w:bookmarkEnd w:id="15"/>
    </w:p>
    <w:p w14:paraId="66E38EFC">
      <w:pPr>
        <w:pStyle w:val="18"/>
        <w:numPr>
          <w:ilvl w:val="0"/>
          <w:numId w:val="1"/>
        </w:numPr>
      </w:pPr>
      <w:r>
        <w:t>平台运营方应当向租户提供管理后台，展示租户数据的处理情况概览；</w:t>
      </w:r>
    </w:p>
    <w:p w14:paraId="24577AA4">
      <w:pPr>
        <w:pStyle w:val="18"/>
        <w:numPr>
          <w:ilvl w:val="0"/>
          <w:numId w:val="1"/>
        </w:numPr>
      </w:pPr>
      <w:r>
        <w:t>租户可通过管理后台查看本租户数据的存储位置、加密方式、访问权限配置；</w:t>
      </w:r>
    </w:p>
    <w:p w14:paraId="1D7D4CAD">
      <w:pPr>
        <w:pStyle w:val="18"/>
        <w:numPr>
          <w:ilvl w:val="0"/>
          <w:numId w:val="1"/>
        </w:numPr>
      </w:pPr>
      <w:r>
        <w:t>平台运营方应当每年向租户提供一次个人信息保护合规报告；</w:t>
      </w:r>
    </w:p>
    <w:p w14:paraId="2642D807">
      <w:pPr>
        <w:pStyle w:val="18"/>
        <w:numPr>
          <w:ilvl w:val="0"/>
          <w:numId w:val="1"/>
        </w:numPr>
      </w:pPr>
      <w:r>
        <w:t>发生安全事件时，平台运营方应当在72小时内通知受影响的租户；</w:t>
      </w:r>
    </w:p>
    <w:p w14:paraId="3E4A054A">
      <w:pPr>
        <w:pStyle w:val="18"/>
        <w:numPr>
          <w:ilvl w:val="0"/>
          <w:numId w:val="1"/>
        </w:numPr>
      </w:pPr>
      <w:r>
        <w:t>租户有权要求平台运营方提供其个人信息的处理记录，平台运营方应当在15个工作日内提供。</w:t>
      </w:r>
    </w:p>
    <w:p w14:paraId="3CFB4116">
      <w:pPr>
        <w:pStyle w:val="4"/>
      </w:pPr>
      <w:bookmarkStart w:id="16" w:name="toc-anchor-16"/>
      <w:r>
        <w:t>第十二条 信息隔离机制</w:t>
      </w:r>
      <w:bookmarkEnd w:id="16"/>
    </w:p>
    <w:p w14:paraId="4C4CFF1B">
      <w:pPr>
        <w:pStyle w:val="18"/>
        <w:numPr>
          <w:ilvl w:val="0"/>
          <w:numId w:val="1"/>
        </w:numPr>
      </w:pPr>
      <w:r>
        <w:t>各租户的数据在物理或逻辑上相互隔离，不得交叉访问；</w:t>
      </w:r>
    </w:p>
    <w:p w14:paraId="0456A355">
      <w:pPr>
        <w:pStyle w:val="18"/>
        <w:numPr>
          <w:ilvl w:val="0"/>
          <w:numId w:val="1"/>
        </w:numPr>
      </w:pPr>
      <w:r>
        <w:t>平台运营方人员访问租户数据需经租户授权并记录审计日志；</w:t>
      </w:r>
    </w:p>
    <w:p w14:paraId="19FD839F">
      <w:pPr>
        <w:pStyle w:val="18"/>
        <w:numPr>
          <w:ilvl w:val="0"/>
          <w:numId w:val="1"/>
        </w:numPr>
      </w:pPr>
      <w:r>
        <w:t>聚合统计数据应当经过匿名化处理，不得反推出特定自然人。</w:t>
      </w:r>
    </w:p>
    <w:p w14:paraId="5BEAF842">
      <w:pPr>
        <w:pStyle w:val="3"/>
      </w:pPr>
      <w:bookmarkStart w:id="17" w:name="toc-anchor-17"/>
      <w:r>
        <w:t>第六章 安全管理措施</w:t>
      </w:r>
      <w:bookmarkEnd w:id="17"/>
    </w:p>
    <w:p w14:paraId="08824AD4">
      <w:pPr>
        <w:pStyle w:val="4"/>
      </w:pPr>
      <w:bookmarkStart w:id="18" w:name="toc-anchor-18"/>
      <w:r>
        <w:t>第十三条 技术安全措施</w:t>
      </w:r>
      <w:bookmarkEnd w:id="18"/>
    </w:p>
    <w:p w14:paraId="53205631">
      <w:pPr>
        <w:pStyle w:val="18"/>
        <w:numPr>
          <w:ilvl w:val="0"/>
          <w:numId w:val="1"/>
        </w:numPr>
      </w:pPr>
      <w:r>
        <w:t>全站HTTPS加密传输，TLS版本不低于1.2；</w:t>
      </w:r>
    </w:p>
    <w:p w14:paraId="39031E8F">
      <w:pPr>
        <w:pStyle w:val="18"/>
        <w:numPr>
          <w:ilvl w:val="0"/>
          <w:numId w:val="1"/>
        </w:numPr>
      </w:pPr>
      <w:r>
        <w:t>个人信息加密存储，敏感信息采用国密SM4或AES-256加密；</w:t>
      </w:r>
    </w:p>
    <w:p w14:paraId="189CAECB">
      <w:pPr>
        <w:pStyle w:val="18"/>
        <w:numPr>
          <w:ilvl w:val="0"/>
          <w:numId w:val="1"/>
        </w:numPr>
      </w:pPr>
      <w:r>
        <w:t>管理员账户强制双因素认证（MFA）；</w:t>
      </w:r>
    </w:p>
    <w:p w14:paraId="2534B0E3">
      <w:pPr>
        <w:pStyle w:val="18"/>
        <w:numPr>
          <w:ilvl w:val="0"/>
          <w:numId w:val="1"/>
        </w:numPr>
      </w:pPr>
      <w:r>
        <w:t>部署Web应用防火墙（WAF）、入侵检测系统（IDS）；</w:t>
      </w:r>
    </w:p>
    <w:p w14:paraId="554B4D6F">
      <w:pPr>
        <w:pStyle w:val="18"/>
        <w:numPr>
          <w:ilvl w:val="0"/>
          <w:numId w:val="1"/>
        </w:numPr>
      </w:pPr>
      <w:r>
        <w:t>定期进行安全漏洞扫描和渗透测试；</w:t>
      </w:r>
    </w:p>
    <w:p w14:paraId="7298B5C9">
      <w:pPr>
        <w:pStyle w:val="18"/>
        <w:numPr>
          <w:ilvl w:val="0"/>
          <w:numId w:val="1"/>
        </w:numPr>
      </w:pPr>
      <w:r>
        <w:t>数据备份采用加密存储，异地备份。</w:t>
      </w:r>
    </w:p>
    <w:p w14:paraId="46EDFC12">
      <w:pPr>
        <w:pStyle w:val="4"/>
      </w:pPr>
      <w:bookmarkStart w:id="19" w:name="toc-anchor-19"/>
      <w:r>
        <w:t>第十四条 管理安全措施</w:t>
      </w:r>
      <w:bookmarkEnd w:id="19"/>
    </w:p>
    <w:p w14:paraId="7B0AE06A">
      <w:pPr>
        <w:pStyle w:val="18"/>
        <w:numPr>
          <w:ilvl w:val="0"/>
          <w:numId w:val="1"/>
        </w:numPr>
      </w:pPr>
      <w:r>
        <w:t>建立数据分类分级管理制度；</w:t>
      </w:r>
    </w:p>
    <w:p w14:paraId="7EC9D153">
      <w:pPr>
        <w:pStyle w:val="18"/>
        <w:numPr>
          <w:ilvl w:val="0"/>
          <w:numId w:val="1"/>
        </w:numPr>
      </w:pPr>
      <w:r>
        <w:t>指定个人信息保护负责人；</w:t>
      </w:r>
    </w:p>
    <w:p w14:paraId="38C1921A">
      <w:pPr>
        <w:pStyle w:val="18"/>
        <w:numPr>
          <w:ilvl w:val="0"/>
          <w:numId w:val="1"/>
        </w:numPr>
      </w:pPr>
      <w:r>
        <w:t>工作人员安全培训每年至少一次；</w:t>
      </w:r>
    </w:p>
    <w:p w14:paraId="5A79C496">
      <w:pPr>
        <w:pStyle w:val="18"/>
        <w:numPr>
          <w:ilvl w:val="0"/>
          <w:numId w:val="1"/>
        </w:numPr>
      </w:pPr>
      <w:r>
        <w:t>建立安全事件应急预案并定期演练；</w:t>
      </w:r>
    </w:p>
    <w:p w14:paraId="6E1A9270">
      <w:pPr>
        <w:pStyle w:val="18"/>
        <w:numPr>
          <w:ilvl w:val="0"/>
          <w:numId w:val="1"/>
        </w:numPr>
      </w:pPr>
      <w:r>
        <w:t>定期开展合规审计，每年至少一次。</w:t>
      </w:r>
    </w:p>
    <w:p w14:paraId="420B1A9B">
      <w:pPr>
        <w:pStyle w:val="3"/>
      </w:pPr>
      <w:bookmarkStart w:id="20" w:name="toc-anchor-20"/>
      <w:r>
        <w:t>第七章 数据主体权利响应流程</w:t>
      </w:r>
      <w:bookmarkEnd w:id="20"/>
    </w:p>
    <w:p w14:paraId="7E96D2AC">
      <w:pPr>
        <w:pStyle w:val="4"/>
      </w:pPr>
      <w:bookmarkStart w:id="21" w:name="toc-anchor-21"/>
      <w:r>
        <w:t>第十五条 响应机制</w:t>
      </w:r>
      <w:bookmarkEnd w:id="21"/>
    </w:p>
    <w:p w14:paraId="73CAD8BE">
      <w:r>
        <w:t>信息主体向平台运营方提出权利请求的，平台运营方应当按照以下流程处理：</w:t>
      </w:r>
    </w:p>
    <w:p w14:paraId="7FCC505B">
      <w:pPr>
        <w:pStyle w:val="18"/>
        <w:numPr>
          <w:ilvl w:val="0"/>
          <w:numId w:val="1"/>
        </w:numPr>
      </w:pPr>
      <w:r>
        <w:t>第一步：识别请求涉及的个人信息属于平台运营方还是租户；</w:t>
      </w:r>
    </w:p>
    <w:p w14:paraId="5EDAAA1A">
      <w:pPr>
        <w:pStyle w:val="18"/>
        <w:numPr>
          <w:ilvl w:val="0"/>
          <w:numId w:val="1"/>
        </w:numPr>
      </w:pPr>
      <w:r>
        <w:t>第二步：属于平台运营方的（如租户管理员信息），直接处理并在15个工作日内答复；</w:t>
      </w:r>
    </w:p>
    <w:p w14:paraId="65C2E126">
      <w:pPr>
        <w:pStyle w:val="18"/>
        <w:numPr>
          <w:ilvl w:val="0"/>
          <w:numId w:val="1"/>
        </w:numPr>
      </w:pPr>
      <w:r>
        <w:t>第三步：属于租户的，转交租户处理，并告知信息主体已转交；</w:t>
      </w:r>
    </w:p>
    <w:p w14:paraId="10AF75A3">
      <w:pPr>
        <w:pStyle w:val="18"/>
        <w:numPr>
          <w:ilvl w:val="0"/>
          <w:numId w:val="1"/>
        </w:numPr>
      </w:pPr>
      <w:r>
        <w:t>第四步：协助租户处理技术层面的请求（如数据查询、删除等）；</w:t>
      </w:r>
    </w:p>
    <w:p w14:paraId="03257ED9">
      <w:pPr>
        <w:pStyle w:val="18"/>
        <w:numPr>
          <w:ilvl w:val="0"/>
          <w:numId w:val="1"/>
        </w:numPr>
      </w:pPr>
      <w:r>
        <w:t>第五步：记录请求和处理结果，保存不少于三年。</w:t>
      </w:r>
    </w:p>
    <w:p w14:paraId="0C7E2180">
      <w:pPr>
        <w:pStyle w:val="3"/>
      </w:pPr>
      <w:bookmarkStart w:id="22" w:name="toc-anchor-22"/>
      <w:r>
        <w:t>第八章 安全事件应急响应</w:t>
      </w:r>
      <w:bookmarkEnd w:id="22"/>
    </w:p>
    <w:p w14:paraId="37100DA1">
      <w:pPr>
        <w:pStyle w:val="4"/>
      </w:pPr>
      <w:bookmarkStart w:id="23" w:name="toc-anchor-23"/>
      <w:r>
        <w:t>第十六条 事件分级</w:t>
      </w:r>
      <w:bookmarkEnd w:id="23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1FB0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2779">
            <w:r>
              <w:rPr>
                <w:b/>
                <w:bCs/>
                <w:color w:val="FFFFFF"/>
                <w:sz w:val="20"/>
                <w:szCs w:val="20"/>
              </w:rPr>
              <w:t>事件级别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3A19">
            <w:r>
              <w:rPr>
                <w:b/>
                <w:bCs/>
                <w:color w:val="FFFFFF"/>
                <w:sz w:val="20"/>
                <w:szCs w:val="20"/>
              </w:rPr>
              <w:t>定义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4C42">
            <w:r>
              <w:rPr>
                <w:b/>
                <w:bCs/>
                <w:color w:val="FFFFFF"/>
                <w:sz w:val="20"/>
                <w:szCs w:val="20"/>
              </w:rPr>
              <w:t>响应时限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C19A">
            <w:r>
              <w:rPr>
                <w:b/>
                <w:bCs/>
                <w:color w:val="FFFFFF"/>
                <w:sz w:val="20"/>
                <w:szCs w:val="20"/>
              </w:rPr>
              <w:t>报告要求</w:t>
            </w:r>
          </w:p>
        </w:tc>
      </w:tr>
      <w:tr w14:paraId="0C63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473A">
            <w:r>
              <w:rPr>
                <w:sz w:val="20"/>
                <w:szCs w:val="20"/>
              </w:rPr>
              <w:t>重大事件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6AED">
            <w:r>
              <w:rPr>
                <w:sz w:val="20"/>
                <w:szCs w:val="20"/>
              </w:rPr>
              <w:t>涉及大量敏感个人信息泄露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73E6">
            <w:r>
              <w:rPr>
                <w:sz w:val="20"/>
                <w:szCs w:val="20"/>
              </w:rPr>
              <w:t>立即响应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D0BC">
            <w:r>
              <w:rPr>
                <w:sz w:val="20"/>
                <w:szCs w:val="20"/>
              </w:rPr>
              <w:t>72小时内报告主管部门+通知受影响主体</w:t>
            </w:r>
          </w:p>
        </w:tc>
      </w:tr>
      <w:tr w14:paraId="184B2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D927">
            <w:r>
              <w:rPr>
                <w:sz w:val="20"/>
                <w:szCs w:val="20"/>
              </w:rPr>
              <w:t>较大事件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EE3F">
            <w:r>
              <w:rPr>
                <w:sz w:val="20"/>
                <w:szCs w:val="20"/>
              </w:rPr>
              <w:t>涉及一般个人信息泄露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0C51">
            <w:r>
              <w:rPr>
                <w:sz w:val="20"/>
                <w:szCs w:val="20"/>
              </w:rPr>
              <w:t>2小时内响应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889F">
            <w:r>
              <w:rPr>
                <w:sz w:val="20"/>
                <w:szCs w:val="20"/>
              </w:rPr>
              <w:t>72小时内报告主管部门</w:t>
            </w:r>
          </w:p>
        </w:tc>
      </w:tr>
      <w:tr w14:paraId="1301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BA13">
            <w:r>
              <w:rPr>
                <w:sz w:val="20"/>
                <w:szCs w:val="20"/>
              </w:rPr>
              <w:t>一般事件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38CA">
            <w:r>
              <w:rPr>
                <w:sz w:val="20"/>
                <w:szCs w:val="20"/>
              </w:rPr>
              <w:t>未涉及个人信息泄露的安全事件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9FA8">
            <w:r>
              <w:rPr>
                <w:sz w:val="20"/>
                <w:szCs w:val="20"/>
              </w:rPr>
              <w:t>24小时内响应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F38">
            <w:r>
              <w:rPr>
                <w:sz w:val="20"/>
                <w:szCs w:val="20"/>
              </w:rPr>
              <w:t>内部记录备案</w:t>
            </w:r>
          </w:p>
        </w:tc>
      </w:tr>
    </w:tbl>
    <w:p w14:paraId="67B8D804">
      <w:pPr>
        <w:pStyle w:val="4"/>
      </w:pPr>
      <w:bookmarkStart w:id="24" w:name="toc-anchor-24"/>
      <w:r>
        <w:t>第十七条 处置流程</w:t>
      </w:r>
      <w:bookmarkEnd w:id="24"/>
    </w:p>
    <w:p w14:paraId="1A683209">
      <w:pPr>
        <w:pStyle w:val="18"/>
        <w:numPr>
          <w:ilvl w:val="0"/>
          <w:numId w:val="1"/>
        </w:numPr>
      </w:pPr>
      <w:r>
        <w:t>立即隔离受影响系统，防止事件扩大；</w:t>
      </w:r>
    </w:p>
    <w:p w14:paraId="2C7D90E7">
      <w:pPr>
        <w:pStyle w:val="18"/>
        <w:numPr>
          <w:ilvl w:val="0"/>
          <w:numId w:val="1"/>
        </w:numPr>
      </w:pPr>
      <w:r>
        <w:t>评估事件影响范围和涉及的信息类型；</w:t>
      </w:r>
    </w:p>
    <w:p w14:paraId="401208FD">
      <w:pPr>
        <w:pStyle w:val="18"/>
        <w:numPr>
          <w:ilvl w:val="0"/>
          <w:numId w:val="1"/>
        </w:numPr>
      </w:pPr>
      <w:r>
        <w:t>采取补救措施（如重置密码、修补漏洞等）；</w:t>
      </w:r>
    </w:p>
    <w:p w14:paraId="1BF48D36">
      <w:pPr>
        <w:pStyle w:val="18"/>
        <w:numPr>
          <w:ilvl w:val="0"/>
          <w:numId w:val="1"/>
        </w:numPr>
      </w:pPr>
      <w:r>
        <w:t>按规定向主管部门报告；</w:t>
      </w:r>
    </w:p>
    <w:p w14:paraId="1CD0A33D">
      <w:pPr>
        <w:pStyle w:val="18"/>
        <w:numPr>
          <w:ilvl w:val="0"/>
          <w:numId w:val="1"/>
        </w:numPr>
      </w:pPr>
      <w:r>
        <w:t>通知受影响的租户和信息主体；</w:t>
      </w:r>
    </w:p>
    <w:p w14:paraId="3F76E6E8">
      <w:pPr>
        <w:pStyle w:val="18"/>
        <w:numPr>
          <w:ilvl w:val="0"/>
          <w:numId w:val="1"/>
        </w:numPr>
      </w:pPr>
      <w:r>
        <w:t>进行事件复盘，完善安全措施。</w:t>
      </w:r>
    </w:p>
    <w:p w14:paraId="4F709798">
      <w:pPr>
        <w:pStyle w:val="3"/>
      </w:pPr>
      <w:bookmarkStart w:id="25" w:name="toc-anchor-25"/>
      <w:r>
        <w:t>第九章 合规义务清单</w:t>
      </w:r>
      <w:bookmarkEnd w:id="25"/>
    </w:p>
    <w:p w14:paraId="1FBD2A10">
      <w:pPr>
        <w:pStyle w:val="4"/>
      </w:pPr>
      <w:bookmarkStart w:id="26" w:name="toc-anchor-26"/>
      <w:r>
        <w:t>第十八条 平台运营方合规义务</w:t>
      </w:r>
      <w:bookmarkEnd w:id="26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1E06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12E5">
            <w:r>
              <w:rPr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2F90">
            <w:r>
              <w:rPr>
                <w:b/>
                <w:bCs/>
                <w:color w:val="FFFFFF"/>
                <w:sz w:val="20"/>
                <w:szCs w:val="20"/>
              </w:rPr>
              <w:t>合规义务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9793">
            <w:r>
              <w:rPr>
                <w:b/>
                <w:bCs/>
                <w:color w:val="FFFFFF"/>
                <w:sz w:val="20"/>
                <w:szCs w:val="20"/>
              </w:rPr>
              <w:t>法律依据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D975">
            <w:r>
              <w:rPr>
                <w:b/>
                <w:bCs/>
                <w:color w:val="FFFFFF"/>
                <w:sz w:val="20"/>
                <w:szCs w:val="20"/>
              </w:rPr>
              <w:t>频次/时限</w:t>
            </w:r>
          </w:p>
        </w:tc>
      </w:tr>
      <w:tr w14:paraId="1820A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DBB3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DFFD">
            <w:r>
              <w:rPr>
                <w:sz w:val="20"/>
                <w:szCs w:val="20"/>
              </w:rPr>
              <w:t>完成等保定级备案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30AA">
            <w:r>
              <w:rPr>
                <w:sz w:val="20"/>
                <w:szCs w:val="20"/>
              </w:rPr>
              <w:t>《网络安全法》第21条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98BB">
            <w:r>
              <w:rPr>
                <w:sz w:val="20"/>
                <w:szCs w:val="20"/>
              </w:rPr>
              <w:t>系统上线前</w:t>
            </w:r>
          </w:p>
        </w:tc>
      </w:tr>
      <w:tr w14:paraId="386F6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204A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78E4">
            <w:r>
              <w:rPr>
                <w:sz w:val="20"/>
                <w:szCs w:val="20"/>
              </w:rPr>
              <w:t>开展等保测评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B455">
            <w:r>
              <w:rPr>
                <w:sz w:val="20"/>
                <w:szCs w:val="20"/>
              </w:rPr>
              <w:t>《网络安全法》第21条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BE27">
            <w:r>
              <w:rPr>
                <w:sz w:val="20"/>
                <w:szCs w:val="20"/>
              </w:rPr>
              <w:t>二级每两年/三级每年</w:t>
            </w:r>
          </w:p>
        </w:tc>
      </w:tr>
      <w:tr w14:paraId="75EA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7306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7827">
            <w:r>
              <w:rPr>
                <w:sz w:val="20"/>
                <w:szCs w:val="20"/>
              </w:rPr>
              <w:t>制定个人信息保护内部管理制度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E2D3">
            <w:r>
              <w:rPr>
                <w:sz w:val="20"/>
                <w:szCs w:val="20"/>
              </w:rPr>
              <w:t>《个人信息保护法》第51条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E701">
            <w:r>
              <w:rPr>
                <w:sz w:val="20"/>
                <w:szCs w:val="20"/>
              </w:rPr>
              <w:t>持续</w:t>
            </w:r>
          </w:p>
        </w:tc>
      </w:tr>
      <w:tr w14:paraId="7FE48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5F3E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1DC4">
            <w:r>
              <w:rPr>
                <w:sz w:val="20"/>
                <w:szCs w:val="20"/>
              </w:rPr>
              <w:t>指定个人信息保护负责人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34A0">
            <w:r>
              <w:rPr>
                <w:sz w:val="20"/>
                <w:szCs w:val="20"/>
              </w:rPr>
              <w:t>《个人信息保护法》第52条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F136">
            <w:r>
              <w:rPr>
                <w:sz w:val="20"/>
                <w:szCs w:val="20"/>
              </w:rPr>
              <w:t>持续</w:t>
            </w:r>
          </w:p>
        </w:tc>
      </w:tr>
      <w:tr w14:paraId="6F6CC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FB41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DB36">
            <w:r>
              <w:rPr>
                <w:sz w:val="20"/>
                <w:szCs w:val="20"/>
              </w:rPr>
              <w:t>开展工作人员安全培训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7138">
            <w:r>
              <w:rPr>
                <w:sz w:val="20"/>
                <w:szCs w:val="20"/>
              </w:rPr>
              <w:t>《个人信息保护法》第51条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877E">
            <w:r>
              <w:rPr>
                <w:sz w:val="20"/>
                <w:szCs w:val="20"/>
              </w:rPr>
              <w:t>每年至少一次</w:t>
            </w:r>
          </w:p>
        </w:tc>
      </w:tr>
      <w:tr w14:paraId="7BA2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0B44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4C0C">
            <w:r>
              <w:rPr>
                <w:sz w:val="20"/>
                <w:szCs w:val="20"/>
              </w:rPr>
              <w:t>开展合规审计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4D4CE">
            <w:r>
              <w:rPr>
                <w:sz w:val="20"/>
                <w:szCs w:val="20"/>
              </w:rPr>
              <w:t>《个人信息保护法》第54条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AD98">
            <w:r>
              <w:rPr>
                <w:sz w:val="20"/>
                <w:szCs w:val="20"/>
              </w:rPr>
              <w:t>每年至少一次</w:t>
            </w:r>
          </w:p>
        </w:tc>
      </w:tr>
      <w:tr w14:paraId="257D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AF8B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6850">
            <w:r>
              <w:rPr>
                <w:sz w:val="20"/>
                <w:szCs w:val="20"/>
              </w:rPr>
              <w:t>制定安全事件应急预案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4FF7">
            <w:r>
              <w:rPr>
                <w:sz w:val="20"/>
                <w:szCs w:val="20"/>
              </w:rPr>
              <w:t>《个人信息保护法》第57条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E3C2">
            <w:r>
              <w:rPr>
                <w:sz w:val="20"/>
                <w:szCs w:val="20"/>
              </w:rPr>
              <w:t>持续+每年演练</w:t>
            </w:r>
          </w:p>
        </w:tc>
      </w:tr>
      <w:tr w14:paraId="4CBC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0325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5D717">
            <w:r>
              <w:rPr>
                <w:sz w:val="20"/>
                <w:szCs w:val="20"/>
              </w:rPr>
              <w:t>安全事件报告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3A1C">
            <w:r>
              <w:rPr>
                <w:sz w:val="20"/>
                <w:szCs w:val="20"/>
              </w:rPr>
              <w:t>《个人信息保护法》第57条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5D9A">
            <w:r>
              <w:rPr>
                <w:sz w:val="20"/>
                <w:szCs w:val="20"/>
              </w:rPr>
              <w:t>事件发生后72小时内</w:t>
            </w:r>
          </w:p>
        </w:tc>
      </w:tr>
      <w:tr w14:paraId="5FF9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1F0C"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060A">
            <w:r>
              <w:rPr>
                <w:sz w:val="20"/>
                <w:szCs w:val="20"/>
              </w:rPr>
              <w:t>委托处理协议签订与留存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73E9">
            <w:r>
              <w:rPr>
                <w:sz w:val="20"/>
                <w:szCs w:val="20"/>
              </w:rPr>
              <w:t>《个人信息保护法》第21条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24E8">
            <w:r>
              <w:rPr>
                <w:sz w:val="20"/>
                <w:szCs w:val="20"/>
              </w:rPr>
              <w:t>每租户+留存≥3年</w:t>
            </w:r>
          </w:p>
        </w:tc>
      </w:tr>
      <w:tr w14:paraId="0B703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396E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9E86">
            <w:r>
              <w:rPr>
                <w:sz w:val="20"/>
                <w:szCs w:val="20"/>
              </w:rPr>
              <w:t>数据分类分级管理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E3E2">
            <w:r>
              <w:rPr>
                <w:sz w:val="20"/>
                <w:szCs w:val="20"/>
              </w:rPr>
              <w:t>《数据安全法》第21条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D7B3">
            <w:r>
              <w:rPr>
                <w:sz w:val="20"/>
                <w:szCs w:val="20"/>
              </w:rPr>
              <w:t>持续</w:t>
            </w:r>
          </w:p>
        </w:tc>
      </w:tr>
      <w:tr w14:paraId="7EE32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F5D4">
            <w:r>
              <w:rPr>
                <w:sz w:val="20"/>
                <w:szCs w:val="20"/>
              </w:rPr>
              <w:t>11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FD42B">
            <w:r>
              <w:rPr>
                <w:sz w:val="20"/>
                <w:szCs w:val="20"/>
              </w:rPr>
              <w:t>重要数据目录编制上报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A551">
            <w:r>
              <w:rPr>
                <w:sz w:val="20"/>
                <w:szCs w:val="20"/>
              </w:rPr>
              <w:t>《网络数据安全管理条例》第12条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A967">
            <w:r>
              <w:rPr>
                <w:sz w:val="20"/>
                <w:szCs w:val="20"/>
              </w:rPr>
              <w:t>定期</w:t>
            </w:r>
          </w:p>
        </w:tc>
      </w:tr>
      <w:tr w14:paraId="571E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93AB"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9D4C">
            <w:r>
              <w:rPr>
                <w:sz w:val="20"/>
                <w:szCs w:val="20"/>
              </w:rPr>
              <w:t>个人信息保护影响评估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53BA">
            <w:r>
              <w:rPr>
                <w:sz w:val="20"/>
                <w:szCs w:val="20"/>
              </w:rPr>
              <w:t>《个人信息保护法》第55条</w:t>
            </w:r>
          </w:p>
        </w:tc>
        <w:tc>
          <w:tcPr>
            <w:tcW w:w="23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ECE3">
            <w:r>
              <w:rPr>
                <w:sz w:val="20"/>
                <w:szCs w:val="20"/>
              </w:rPr>
              <w:t>特定情形触发</w:t>
            </w:r>
          </w:p>
        </w:tc>
      </w:tr>
    </w:tbl>
    <w:p w14:paraId="17135946">
      <w:pPr>
        <w:pStyle w:val="3"/>
      </w:pPr>
      <w:bookmarkStart w:id="27" w:name="toc-anchor-27"/>
      <w:r>
        <w:t>第十章 注册与登录流程中的知情同意</w:t>
      </w:r>
      <w:bookmarkEnd w:id="27"/>
    </w:p>
    <w:p w14:paraId="45EF8521">
      <w:pPr>
        <w:pStyle w:val="4"/>
      </w:pPr>
      <w:bookmarkStart w:id="28" w:name="toc-anchor-28"/>
      <w:r>
        <w:t>第十九条 租户管理员注册流程</w:t>
      </w:r>
      <w:bookmarkEnd w:id="28"/>
    </w:p>
    <w:p w14:paraId="1AD2271C">
      <w:r>
        <w:t>租户管理员注册时，平台运营方应当按照以下流程获取知情同意：</w:t>
      </w:r>
    </w:p>
    <w:p w14:paraId="5811E533">
      <w:pPr>
        <w:pStyle w:val="18"/>
        <w:numPr>
          <w:ilvl w:val="0"/>
          <w:numId w:val="1"/>
        </w:numPr>
      </w:pPr>
      <w:r>
        <w:t>第一步：展示《平台服务协议》，用户阅读并勾选同意；</w:t>
      </w:r>
    </w:p>
    <w:p w14:paraId="65F3A231">
      <w:pPr>
        <w:pStyle w:val="18"/>
        <w:numPr>
          <w:ilvl w:val="0"/>
          <w:numId w:val="1"/>
        </w:numPr>
      </w:pPr>
      <w:r>
        <w:t>第二步：展示《平台隐私政策》，详细告知信息收集范围、目的、存储期限等，用户阅读并勾选同意；</w:t>
      </w:r>
    </w:p>
    <w:p w14:paraId="3E78721B">
      <w:pPr>
        <w:pStyle w:val="18"/>
        <w:numPr>
          <w:ilvl w:val="0"/>
          <w:numId w:val="1"/>
        </w:numPr>
      </w:pPr>
      <w:r>
        <w:t>第三步：收集租户管理员姓名、手机号码、电子邮箱（一般个人信息）；</w:t>
      </w:r>
    </w:p>
    <w:p w14:paraId="7AFB5E86">
      <w:pPr>
        <w:pStyle w:val="18"/>
        <w:numPr>
          <w:ilvl w:val="0"/>
          <w:numId w:val="1"/>
        </w:numPr>
      </w:pPr>
      <w:r>
        <w:t>第四步：手机号码短信验证，邮箱验证；</w:t>
      </w:r>
    </w:p>
    <w:p w14:paraId="54DC0085">
      <w:pPr>
        <w:pStyle w:val="18"/>
        <w:numPr>
          <w:ilvl w:val="0"/>
          <w:numId w:val="1"/>
        </w:numPr>
      </w:pPr>
      <w:r>
        <w:t>第五步：收集租户企业信息（公司名称、统一社会信用代码、注册地址、营业执照）；</w:t>
      </w:r>
    </w:p>
    <w:p w14:paraId="39E13EED">
      <w:pPr>
        <w:pStyle w:val="18"/>
        <w:numPr>
          <w:ilvl w:val="0"/>
          <w:numId w:val="1"/>
        </w:numPr>
      </w:pPr>
      <w:r>
        <w:t>第六条：平台审核租户资质，审核通过后开通租户账户；</w:t>
      </w:r>
    </w:p>
    <w:p w14:paraId="217F421E">
      <w:pPr>
        <w:pStyle w:val="18"/>
        <w:numPr>
          <w:ilvl w:val="0"/>
          <w:numId w:val="1"/>
        </w:numPr>
      </w:pPr>
      <w:r>
        <w:t>第七步：向租户管理员发送《委托处理协议》模板，双方签署后生效。</w:t>
      </w:r>
    </w:p>
    <w:p w14:paraId="2DF9C478">
      <w:pPr>
        <w:pStyle w:val="4"/>
      </w:pPr>
      <w:bookmarkStart w:id="29" w:name="toc-anchor-29"/>
      <w:r>
        <w:t>第二十条 租户管理员登录流程</w:t>
      </w:r>
      <w:bookmarkEnd w:id="29"/>
    </w:p>
    <w:p w14:paraId="221CF54A">
      <w:pPr>
        <w:pStyle w:val="18"/>
        <w:numPr>
          <w:ilvl w:val="0"/>
          <w:numId w:val="1"/>
        </w:numPr>
      </w:pPr>
      <w:r>
        <w:t>登录方式：手机号码/邮箱+密码；</w:t>
      </w:r>
    </w:p>
    <w:p w14:paraId="7B5280C6">
      <w:pPr>
        <w:pStyle w:val="18"/>
        <w:numPr>
          <w:ilvl w:val="0"/>
          <w:numId w:val="1"/>
        </w:numPr>
      </w:pPr>
      <w:r>
        <w:t>安全增强：强制双因素认证（MFA），第二因素为短信验证码或TOTP；</w:t>
      </w:r>
    </w:p>
    <w:p w14:paraId="093FD95A">
      <w:pPr>
        <w:pStyle w:val="18"/>
        <w:numPr>
          <w:ilvl w:val="0"/>
          <w:numId w:val="1"/>
        </w:numPr>
      </w:pPr>
      <w:r>
        <w:t>登录失败处理：连续5次失败锁定账户30分钟，并通知管理员；</w:t>
      </w:r>
    </w:p>
    <w:p w14:paraId="0832273A">
      <w:pPr>
        <w:pStyle w:val="18"/>
        <w:numPr>
          <w:ilvl w:val="0"/>
          <w:numId w:val="1"/>
        </w:numPr>
      </w:pPr>
      <w:r>
        <w:t>登录日志：记录登录时间、IP地址、设备信息，保存不少于6个月；</w:t>
      </w:r>
    </w:p>
    <w:p w14:paraId="18CA100E">
      <w:pPr>
        <w:pStyle w:val="18"/>
        <w:numPr>
          <w:ilvl w:val="0"/>
          <w:numId w:val="1"/>
        </w:numPr>
      </w:pPr>
      <w:r>
        <w:t>异地登录提醒：检测到异地登录时，通过短信和邮件通知管理员。</w:t>
      </w:r>
    </w:p>
    <w:p w14:paraId="3E0F55EE">
      <w:pPr>
        <w:pStyle w:val="4"/>
      </w:pPr>
      <w:bookmarkStart w:id="30" w:name="toc-anchor-30"/>
      <w:r>
        <w:t>第二十一条 隐私政策展示要求</w:t>
      </w:r>
      <w:bookmarkEnd w:id="30"/>
    </w:p>
    <w:p w14:paraId="7BA6B1C3">
      <w:pPr>
        <w:pStyle w:val="18"/>
        <w:numPr>
          <w:ilvl w:val="0"/>
          <w:numId w:val="1"/>
        </w:numPr>
      </w:pPr>
      <w:r>
        <w:t>注册页面必须展示完整隐私政策，不得仅提供链接；</w:t>
      </w:r>
    </w:p>
    <w:p w14:paraId="5ADBF689">
      <w:pPr>
        <w:pStyle w:val="18"/>
        <w:numPr>
          <w:ilvl w:val="0"/>
          <w:numId w:val="1"/>
        </w:numPr>
      </w:pPr>
      <w:r>
        <w:t>隐私政策应当以清晰易懂的语言撰写，避免专业术语堆砌；</w:t>
      </w:r>
    </w:p>
    <w:p w14:paraId="7E074A7E">
      <w:pPr>
        <w:pStyle w:val="18"/>
        <w:numPr>
          <w:ilvl w:val="0"/>
          <w:numId w:val="1"/>
        </w:numPr>
      </w:pPr>
      <w:r>
        <w:t>敏感信息处理部分应当突出显示；</w:t>
      </w:r>
    </w:p>
    <w:p w14:paraId="7BAD1D1B">
      <w:pPr>
        <w:pStyle w:val="18"/>
        <w:numPr>
          <w:ilvl w:val="0"/>
          <w:numId w:val="1"/>
        </w:numPr>
      </w:pPr>
      <w:r>
        <w:t>应当提供隐私政策的下载和打印功能；</w:t>
      </w:r>
    </w:p>
    <w:p w14:paraId="5BB1E968">
      <w:pPr>
        <w:pStyle w:val="18"/>
        <w:numPr>
          <w:ilvl w:val="0"/>
          <w:numId w:val="1"/>
        </w:numPr>
      </w:pPr>
      <w:r>
        <w:t>隐私政策更新时，应当弹窗通知用户并重新获取同意。</w:t>
      </w:r>
    </w:p>
    <w:p w14:paraId="1858CF66">
      <w:pPr>
        <w:pStyle w:val="3"/>
      </w:pPr>
      <w:bookmarkStart w:id="31" w:name="toc-anchor-31"/>
      <w:r>
        <w:t>第十一章 附则</w:t>
      </w:r>
      <w:bookmarkEnd w:id="31"/>
    </w:p>
    <w:p w14:paraId="3B14800E">
      <w:pPr>
        <w:pStyle w:val="4"/>
      </w:pPr>
      <w:bookmarkStart w:id="32" w:name="toc-anchor-32"/>
      <w:r>
        <w:t>第二十二条 生效与修订</w:t>
      </w:r>
      <w:bookmarkEnd w:id="32"/>
    </w:p>
    <w:p w14:paraId="6C789408">
      <w:r>
        <w:t>本指引自发布之日起生效。平台运营方应当根据法律法规变化和业务发展需要定期修订本指引，修订后通知所有租户。</w:t>
      </w:r>
    </w:p>
    <w:p w14:paraId="7A760DB3">
      <w:pPr>
        <w:pStyle w:val="4"/>
      </w:pPr>
      <w:bookmarkStart w:id="33" w:name="toc-anchor-33"/>
      <w:r>
        <w:t>第二十三条 解释权</w:t>
      </w:r>
      <w:bookmarkEnd w:id="33"/>
    </w:p>
    <w:p w14:paraId="1A1CD130">
      <w:r>
        <w:t>本指引由平台运营方负责解释。本指引与法律法规不一致的，以法律法规为准。</w:t>
      </w:r>
    </w:p>
    <w:sectPr>
      <w:footerReference r:id="rId6" w:type="default"/>
      <w:pgSz w:w="11906" w:h="16838"/>
      <w:pgMar w:top="1440" w:right="1440" w:bottom="1440" w:left="144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9F1A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0B0D8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9E988">
    <w:pPr>
      <w:spacing w:before="0" w:after="0"/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SECTIONPAGES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AAB4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C33239"/>
    <w:multiLevelType w:val="singleLevel"/>
    <w:tmpl w:val="C9C3323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5921F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300" w:line="276" w:lineRule="auto"/>
      <w:outlineLvl w:val="0"/>
    </w:pPr>
    <w:rPr>
      <w:rFonts w:ascii="Calibri Light" w:hAnsi="Calibri Light" w:eastAsia="微软雅黑"/>
      <w:b/>
      <w:bCs/>
      <w:color w:val="1F4E79"/>
      <w:sz w:val="56"/>
      <w:szCs w:val="56"/>
    </w:rPr>
  </w:style>
  <w:style w:type="paragraph" w:styleId="3">
    <w:name w:val="heading 2"/>
    <w:next w:val="1"/>
    <w:qFormat/>
    <w:uiPriority w:val="0"/>
    <w:pPr>
      <w:spacing w:before="480" w:after="240" w:line="276" w:lineRule="auto"/>
      <w:outlineLvl w:val="1"/>
    </w:pPr>
    <w:rPr>
      <w:rFonts w:ascii="Calibri Light" w:hAnsi="Calibri Light" w:eastAsia="微软雅黑"/>
      <w:b/>
      <w:bCs/>
      <w:color w:val="1F4E79"/>
      <w:sz w:val="52"/>
      <w:szCs w:val="52"/>
    </w:rPr>
  </w:style>
  <w:style w:type="paragraph" w:styleId="4">
    <w:name w:val="heading 3"/>
    <w:next w:val="1"/>
    <w:qFormat/>
    <w:uiPriority w:val="0"/>
    <w:pPr>
      <w:spacing w:before="360" w:after="180" w:line="276" w:lineRule="auto"/>
      <w:outlineLvl w:val="2"/>
    </w:pPr>
    <w:rPr>
      <w:rFonts w:ascii="Calibri Light" w:hAnsi="Calibri Light" w:eastAsia="微软雅黑"/>
      <w:b/>
      <w:bCs/>
      <w:color w:val="2E75B6"/>
      <w:sz w:val="40"/>
      <w:szCs w:val="40"/>
    </w:rPr>
  </w:style>
  <w:style w:type="paragraph" w:styleId="5">
    <w:name w:val="heading 4"/>
    <w:next w:val="1"/>
    <w:qFormat/>
    <w:uiPriority w:val="0"/>
    <w:pPr>
      <w:spacing w:before="200" w:after="100" w:line="276" w:lineRule="auto"/>
      <w:outlineLvl w:val="3"/>
    </w:pPr>
    <w:rPr>
      <w:rFonts w:ascii="Calibri Light" w:hAnsi="Calibri Light" w:eastAsia="微软雅黑"/>
      <w:b/>
      <w:bCs/>
      <w:sz w:val="26"/>
      <w:szCs w:val="26"/>
    </w:rPr>
  </w:style>
  <w:style w:type="paragraph" w:styleId="6">
    <w:name w:val="heading 5"/>
    <w:next w:val="1"/>
    <w:qFormat/>
    <w:uiPriority w:val="0"/>
    <w:pPr>
      <w:spacing w:before="160" w:after="80" w:line="276" w:lineRule="auto"/>
      <w:outlineLvl w:val="4"/>
    </w:pPr>
    <w:rPr>
      <w:rFonts w:ascii="Calibri Light" w:hAnsi="Calibri Light" w:eastAsia="微软雅黑"/>
      <w:b/>
      <w:bCs/>
      <w:color w:val="2E75B6"/>
      <w:sz w:val="24"/>
      <w:szCs w:val="24"/>
    </w:rPr>
  </w:style>
  <w:style w:type="paragraph" w:styleId="7">
    <w:name w:val="heading 6"/>
    <w:next w:val="1"/>
    <w:qFormat/>
    <w:uiPriority w:val="0"/>
    <w:pPr>
      <w:spacing w:before="160" w:after="80" w:line="276" w:lineRule="auto"/>
      <w:outlineLvl w:val="5"/>
    </w:pPr>
    <w:rPr>
      <w:rFonts w:ascii="Calibri Light" w:hAnsi="Calibri Light" w:eastAsia="微软雅黑"/>
      <w:b/>
      <w:bCs/>
      <w:i/>
      <w:iCs/>
      <w:color w:val="2E75B6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next w:val="1"/>
    <w:qFormat/>
    <w:uiPriority w:val="0"/>
    <w:pPr>
      <w:spacing w:before="120" w:after="120" w:line="276" w:lineRule="auto"/>
      <w:ind w:left="480"/>
    </w:pPr>
    <w:rPr>
      <w:rFonts w:ascii="Calibri" w:hAnsi="Calibri" w:eastAsia="Calibri" w:cs="Calibri"/>
      <w:sz w:val="22"/>
      <w:szCs w:val="22"/>
    </w:rPr>
  </w:style>
  <w:style w:type="paragraph" w:styleId="9">
    <w:name w:val="toc 1"/>
    <w:next w:val="1"/>
    <w:qFormat/>
    <w:uiPriority w:val="0"/>
    <w:pPr>
      <w:spacing w:before="120" w:after="120" w:line="276" w:lineRule="auto"/>
      <w:ind w:left="0"/>
    </w:pPr>
    <w:rPr>
      <w:rFonts w:ascii="Calibri" w:hAnsi="Calibri" w:eastAsia="Calibri" w:cs="Calibri"/>
      <w:b/>
      <w:bCs/>
      <w:sz w:val="22"/>
      <w:szCs w:val="22"/>
    </w:rPr>
  </w:style>
  <w:style w:type="paragraph" w:styleId="10">
    <w:name w:val="Subtitle"/>
    <w:qFormat/>
    <w:uiPriority w:val="0"/>
    <w:pPr>
      <w:spacing w:after="240" w:line="276" w:lineRule="auto"/>
      <w:jc w:val="center"/>
    </w:pPr>
    <w:rPr>
      <w:rFonts w:ascii="Calibri" w:hAnsi="Calibri" w:eastAsia="Calibri" w:cs="Calibri"/>
      <w:color w:val="666666"/>
      <w:sz w:val="26"/>
      <w:szCs w:val="26"/>
    </w:rPr>
  </w:style>
  <w:style w:type="paragraph" w:styleId="11">
    <w:name w:val="footnote text"/>
    <w:link w:val="19"/>
    <w:semiHidden/>
    <w:unhideWhenUsed/>
    <w:uiPriority w:val="99"/>
    <w:pPr>
      <w:spacing w:after="0" w:line="240" w:lineRule="auto"/>
    </w:pPr>
    <w:rPr>
      <w:rFonts w:ascii="Calibri" w:hAnsi="Calibri" w:eastAsia="微软雅黑"/>
      <w:sz w:val="20"/>
      <w:szCs w:val="20"/>
    </w:rPr>
  </w:style>
  <w:style w:type="paragraph" w:styleId="12">
    <w:name w:val="toc 2"/>
    <w:next w:val="1"/>
    <w:qFormat/>
    <w:uiPriority w:val="0"/>
    <w:pPr>
      <w:spacing w:before="120" w:after="120" w:line="276" w:lineRule="auto"/>
      <w:ind w:left="240"/>
    </w:pPr>
    <w:rPr>
      <w:rFonts w:ascii="Calibri" w:hAnsi="Calibri" w:eastAsia="Calibri" w:cs="Calibri"/>
      <w:sz w:val="22"/>
      <w:szCs w:val="22"/>
    </w:rPr>
  </w:style>
  <w:style w:type="paragraph" w:styleId="13">
    <w:name w:val="Title"/>
    <w:qFormat/>
    <w:uiPriority w:val="0"/>
    <w:pPr>
      <w:spacing w:after="120" w:line="276" w:lineRule="auto"/>
      <w:jc w:val="center"/>
    </w:pPr>
    <w:rPr>
      <w:rFonts w:ascii="Calibri Light" w:hAnsi="Calibri Light" w:eastAsia="微软雅黑"/>
      <w:b/>
      <w:bCs/>
      <w:sz w:val="56"/>
      <w:szCs w:val="56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pPr>
      <w:spacing w:line="276" w:lineRule="auto"/>
    </w:pPr>
    <w:rPr>
      <w:rFonts w:ascii="Calibri" w:hAnsi="Calibri" w:eastAsia="微软雅黑"/>
      <w:sz w:val="22"/>
      <w:szCs w:val="22"/>
    </w:rPr>
  </w:style>
  <w:style w:type="character" w:customStyle="1" w:styleId="19">
    <w:name w:val="Footnote Text Char"/>
    <w:link w:val="11"/>
    <w:semiHidden/>
    <w:unhideWhenUsed/>
    <w:uiPriority w:val="99"/>
    <w:rPr>
      <w:sz w:val="20"/>
      <w:szCs w:val="20"/>
    </w:rPr>
  </w:style>
  <w:style w:type="paragraph" w:styleId="20">
    <w:name w:val="Quote"/>
    <w:qFormat/>
    <w:uiPriority w:val="0"/>
    <w:pPr>
      <w:spacing w:before="240" w:after="240" w:line="276" w:lineRule="auto"/>
      <w:ind w:left="720" w:right="720" w:firstLine="0"/>
    </w:pPr>
    <w:rPr>
      <w:rFonts w:ascii="Calibri" w:hAnsi="Calibri" w:eastAsia="Calibri" w:cs="Calibri"/>
      <w:i/>
      <w:iCs/>
      <w:color w:val="404040"/>
      <w:sz w:val="22"/>
      <w:szCs w:val="22"/>
    </w:rPr>
  </w:style>
  <w:style w:type="paragraph" w:styleId="21">
    <w:name w:val="Intense Quote"/>
    <w:basedOn w:val="20"/>
    <w:qFormat/>
    <w:uiPriority w:val="0"/>
    <w:pPr>
      <w:pBdr>
        <w:left w:val="single" w:color="1F4E79" w:sz="18" w:space="12"/>
      </w:pBdr>
      <w:spacing w:before="240" w:after="240"/>
      <w:ind w:left="720" w:right="720" w:firstLine="0"/>
    </w:pPr>
    <w:rPr>
      <w:rFonts w:ascii="Calibri" w:hAnsi="Calibri" w:eastAsia="Calibri" w:cs="Calibri"/>
      <w:b/>
      <w:bCs/>
      <w:color w:val="1F4E79"/>
      <w:sz w:val="22"/>
      <w:szCs w:val="22"/>
    </w:rPr>
  </w:style>
  <w:style w:type="paragraph" w:customStyle="1" w:styleId="22">
    <w:name w:val="Comment Text"/>
    <w:uiPriority w:val="0"/>
    <w:pPr>
      <w:spacing w:line="276" w:lineRule="auto"/>
    </w:pPr>
    <w:rPr>
      <w:rFonts w:ascii="Calibri" w:hAnsi="Calibri" w:eastAsia="Calibri" w:cs="Calibri"/>
      <w:sz w:val="20"/>
      <w:szCs w:val="20"/>
    </w:rPr>
  </w:style>
  <w:style w:type="paragraph" w:customStyle="1" w:styleId="23">
    <w:name w:val="Comment Reference"/>
    <w:uiPriority w:val="0"/>
    <w:pPr>
      <w:spacing w:line="276" w:lineRule="auto"/>
    </w:pPr>
    <w:rPr>
      <w:rFonts w:ascii="Calibri" w:hAnsi="Calibri" w:eastAsia="Calibri" w:cs="Calibri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130</Words>
  <Characters>134</Characters>
  <TotalTime>0</TotalTime>
  <ScaleCrop>false</ScaleCrop>
  <LinksUpToDate>false</LinksUpToDate>
  <CharactersWithSpaces>138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2026-09-07T02:16:00Z</dcterms:created>
  <dc:creator>平台运营方</dc:creator>
  <cp:keywords>AI生成</cp:keywords>
  <cp:lastModifiedBy>刘青</cp:lastModifiedBy>
  <dcterms:modified xsi:type="dcterms:W3CDTF">2026-09-07T02:18:00Z</dcterms:modified>
  <dc:title>平台运营方隐私保护指引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70EBE1B444864224808BB28C98332858_13</vt:lpwstr>
  </property>
</Properties>
</file>