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05"/>
        <w:gridCol w:w="1890"/>
        <w:gridCol w:w="1305"/>
        <w:gridCol w:w="1215"/>
        <w:gridCol w:w="1335"/>
        <w:gridCol w:w="1200"/>
        <w:tblGridChange w:id="0">
          <w:tblGrid>
            <w:gridCol w:w="2205"/>
            <w:gridCol w:w="1890"/>
            <w:gridCol w:w="1305"/>
            <w:gridCol w:w="1215"/>
            <w:gridCol w:w="1335"/>
            <w:gridCol w:w="1200"/>
          </w:tblGrid>
        </w:tblGridChange>
      </w:tblGrid>
      <w:tr>
        <w:trPr>
          <w:trHeight w:val="1040" w:hRule="atLeast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jc w:val="both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114300</wp:posOffset>
                  </wp:positionV>
                  <wp:extent cx="610553" cy="759065"/>
                  <wp:effectExtent b="0" l="0" r="0" t="0"/>
                  <wp:wrapSquare wrapText="bothSides" distB="114300" distT="114300" distL="114300" distR="11430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10039" l="30463" r="30441" t="123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553" cy="7590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jc w:val="both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240" w:lineRule="auto"/>
              <w:jc w:val="both"/>
              <w:rPr>
                <w:rFonts w:ascii="Questrial" w:cs="Questrial" w:eastAsia="Questrial" w:hAnsi="Quest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Questrial" w:cs="Questrial" w:eastAsia="Questrial" w:hAnsi="Quest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sz w:val="28"/>
                <w:szCs w:val="28"/>
                <w:rtl w:val="0"/>
              </w:rPr>
              <w:t xml:space="preserve">PLANO DE GARANTIA DA QUALIDADE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Questrial" w:cs="Questrial" w:eastAsia="Questrial" w:hAnsi="Quest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6"/>
            <w:shd w:fill="b6d7a8" w:val="clear"/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jc w:val="both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Objetivos</w:t>
            </w:r>
          </w:p>
        </w:tc>
      </w:tr>
      <w:tr>
        <w:trPr>
          <w:trHeight w:val="320" w:hRule="atLeast"/>
        </w:trPr>
        <w:tc>
          <w:tcPr>
            <w:gridSpan w:val="6"/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jc w:val="both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Este documento tem como objetivo fornecer uma descrição detalhada de como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serão gerenciados os processos de garantia da qualidade.</w:t>
            </w:r>
          </w:p>
        </w:tc>
      </w:tr>
      <w:tr>
        <w:trPr>
          <w:trHeight w:val="420" w:hRule="atLeast"/>
        </w:trPr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both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Projeto </w:t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Plano de implantação  da API  entre SiSU e SIGAA</w:t>
            </w:r>
          </w:p>
        </w:tc>
      </w:tr>
      <w:tr>
        <w:trPr>
          <w:trHeight w:val="300" w:hRule="atLeast"/>
        </w:trPr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both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Data Registro</w:t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13/06/2019</w:t>
            </w:r>
          </w:p>
        </w:tc>
      </w:tr>
      <w:tr>
        <w:trPr>
          <w:trHeight w:val="300" w:hRule="atLeast"/>
        </w:trPr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jc w:val="both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Responsável (da parte cliente):</w:t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Marlos Gondim Ribeiro Batista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Contato: mgrb2@cin.ufpe.br</w:t>
            </w:r>
          </w:p>
        </w:tc>
      </w:tr>
      <w:tr>
        <w:trPr>
          <w:trHeight w:val="500" w:hRule="atLeast"/>
        </w:trPr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both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Responsável (da parte do projeto):</w:t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Pedro Rodolfo Gomes de Souza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Contato: rodolfo@cin.ufpe.br</w:t>
            </w:r>
          </w:p>
        </w:tc>
      </w:tr>
      <w:tr>
        <w:trPr>
          <w:trHeight w:val="260" w:hRule="atLeast"/>
        </w:trPr>
        <w:tc>
          <w:tcPr>
            <w:gridSpan w:val="6"/>
            <w:shd w:fill="b6d7a8" w:val="clear"/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Processo de garantia da qualidade</w:t>
            </w:r>
          </w:p>
        </w:tc>
      </w:tr>
      <w:tr>
        <w:trPr>
          <w:trHeight w:val="260" w:hRule="atLeast"/>
        </w:trPr>
        <w:tc>
          <w:tcPr>
            <w:gridSpan w:val="6"/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As verificações acontecem ao final de cada sprint. Os artefatos produzidos vão ser avaliados pelos consultores, através de uma avaliação quantitativa, que vai determinar a qualidade dos artefatos e se eles precisam de atualizações. As auditoria avaliam os produtos produzidos dentro da sprint determinada.</w:t>
            </w:r>
          </w:p>
        </w:tc>
      </w:tr>
      <w:tr>
        <w:trPr>
          <w:trHeight w:val="260" w:hRule="atLeast"/>
        </w:trPr>
        <w:tc>
          <w:tcPr>
            <w:vMerge w:val="restart"/>
            <w:shd w:fill="b6d7a8" w:val="clear"/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Processos a serem verificados</w:t>
            </w:r>
          </w:p>
        </w:tc>
        <w:tc>
          <w:tcPr>
            <w:vMerge w:val="restart"/>
            <w:shd w:fill="b6d7a8" w:val="clear"/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Produtos</w:t>
            </w:r>
          </w:p>
        </w:tc>
        <w:tc>
          <w:tcPr>
            <w:gridSpan w:val="4"/>
            <w:shd w:fill="b6d7a8" w:val="clear"/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Datas de auditoria</w:t>
            </w:r>
          </w:p>
        </w:tc>
      </w:tr>
      <w:tr>
        <w:trPr>
          <w:trHeight w:val="26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Questrial" w:cs="Questrial" w:eastAsia="Questrial" w:hAnsi="Quest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Data 1</w:t>
            </w:r>
          </w:p>
        </w:tc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Data 2</w:t>
            </w:r>
          </w:p>
        </w:tc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Questrial" w:cs="Questrial" w:eastAsia="Questrial" w:hAnsi="Quest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Data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Questrial" w:cs="Questrial" w:eastAsia="Questrial" w:hAnsi="Quest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Data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1ª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Plano de implantação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26/03/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2019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29/03/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2019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11/04/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2019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Questrial" w:cs="Questrial" w:eastAsia="Questrial" w:hAnsi="Quest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2ª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Plano de implantação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23/04/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2019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26/04/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2019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16/05/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2019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Questrial" w:cs="Questrial" w:eastAsia="Questrial" w:hAnsi="Quest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3ª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Plano de implantação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14/05/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2019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17/05/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2019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Questrial" w:cs="Questrial" w:eastAsia="Questrial" w:hAnsi="Quest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Questrial" w:cs="Questrial" w:eastAsia="Questrial" w:hAnsi="Quest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4ª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Plano de implantação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27/06/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2019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Questrial" w:cs="Questrial" w:eastAsia="Questrial" w:hAnsi="Quest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Questrial" w:cs="Questrial" w:eastAsia="Questrial" w:hAnsi="Quest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Questrial" w:cs="Questrial" w:eastAsia="Questrial" w:hAnsi="Quest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gridSpan w:val="2"/>
            <w:shd w:fill="b6d7a8" w:val="clear"/>
            <w:vAlign w:val="top"/>
          </w:tcPr>
          <w:p w:rsidR="00000000" w:rsidDel="00000000" w:rsidP="00000000" w:rsidRDefault="00000000" w:rsidRPr="00000000" w14:paraId="0000006B">
            <w:pPr>
              <w:tabs>
                <w:tab w:val="left" w:pos="720"/>
              </w:tabs>
              <w:spacing w:line="240" w:lineRule="auto"/>
              <w:jc w:val="center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tabs>
                <w:tab w:val="left" w:pos="720"/>
              </w:tabs>
              <w:spacing w:line="240" w:lineRule="auto"/>
              <w:jc w:val="center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Indicador de desempenho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do processo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6d7a8" w:val="clear"/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Unidade de medida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Questrial" w:cs="Questrial" w:eastAsia="Questrial" w:hAnsi="Quest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6d7a8" w:val="clear"/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Fórmula de cálculo</w:t>
            </w:r>
          </w:p>
        </w:tc>
      </w:tr>
      <w:tr>
        <w:trPr>
          <w:trHeight w:val="26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Artefatos gerados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Número de artefatos gerados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Quantidade de artefatos gerados dividida pelo número de artefatos esperados </w:t>
            </w:r>
          </w:p>
        </w:tc>
      </w:tr>
      <w:tr>
        <w:trPr>
          <w:trHeight w:val="340" w:hRule="atLeast"/>
        </w:trPr>
        <w:tc>
          <w:tcPr>
            <w:gridSpan w:val="6"/>
            <w:shd w:fill="b6d7a8" w:val="clear"/>
            <w:vAlign w:val="top"/>
          </w:tcPr>
          <w:p w:rsidR="00000000" w:rsidDel="00000000" w:rsidP="00000000" w:rsidRDefault="00000000" w:rsidRPr="00000000" w14:paraId="0000007E">
            <w:pPr>
              <w:tabs>
                <w:tab w:val="left" w:pos="720"/>
              </w:tabs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Frequência e critérios para atualização deste plano</w:t>
            </w:r>
          </w:p>
        </w:tc>
      </w:tr>
      <w:tr>
        <w:trPr>
          <w:trHeight w:val="340" w:hRule="atLeast"/>
        </w:trPr>
        <w:tc>
          <w:tcPr>
            <w:gridSpan w:val="6"/>
            <w:vAlign w:val="top"/>
          </w:tcPr>
          <w:p w:rsidR="00000000" w:rsidDel="00000000" w:rsidP="00000000" w:rsidRDefault="00000000" w:rsidRPr="00000000" w14:paraId="00000084">
            <w:pPr>
              <w:tabs>
                <w:tab w:val="left" w:pos="720"/>
              </w:tabs>
              <w:spacing w:before="120" w:line="240" w:lineRule="auto"/>
              <w:jc w:val="both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Este plano é atualizado a cada mudança nas datas de auditoria e consultas.</w:t>
            </w:r>
          </w:p>
        </w:tc>
      </w:tr>
      <w:tr>
        <w:trPr>
          <w:trHeight w:val="340" w:hRule="atLeast"/>
        </w:trPr>
        <w:tc>
          <w:tcPr>
            <w:gridSpan w:val="6"/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jc w:val="right"/>
              <w:rPr>
                <w:rFonts w:ascii="Questrial" w:cs="Questrial" w:eastAsia="Questrial" w:hAnsi="Quest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Elaborado por: </w:t>
            </w:r>
            <w:r w:rsidDel="00000000" w:rsidR="00000000" w:rsidRPr="00000000">
              <w:rPr>
                <w:rFonts w:ascii="Questrial" w:cs="Questrial" w:eastAsia="Questrial" w:hAnsi="Questrial"/>
                <w:b w:val="1"/>
                <w:sz w:val="24"/>
                <w:szCs w:val="24"/>
                <w:rtl w:val="0"/>
              </w:rPr>
              <w:t xml:space="preserve">Gabriel Cavalcanti de Melo</w:t>
            </w: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6"/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jc w:val="right"/>
              <w:rPr>
                <w:rFonts w:ascii="Questrial" w:cs="Questrial" w:eastAsia="Questrial" w:hAnsi="Quest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Aprovado por:</w:t>
            </w:r>
            <w:r w:rsidDel="00000000" w:rsidR="00000000" w:rsidRPr="00000000">
              <w:rPr>
                <w:rFonts w:ascii="Questrial" w:cs="Questrial" w:eastAsia="Questrial" w:hAnsi="Questrial"/>
                <w:b w:val="1"/>
                <w:sz w:val="24"/>
                <w:szCs w:val="24"/>
                <w:rtl w:val="0"/>
              </w:rPr>
              <w:t xml:space="preserve"> Pedro Rodolfo Gomes de Souza</w:t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estrial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estrial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