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8.9130434782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9.3478260869565"/>
        <w:gridCol w:w="1670.8695652173913"/>
        <w:gridCol w:w="1153.695652173913"/>
        <w:gridCol w:w="720"/>
        <w:gridCol w:w="1005"/>
        <w:gridCol w:w="1140"/>
        <w:gridCol w:w="1530"/>
        <w:tblGridChange w:id="0">
          <w:tblGrid>
            <w:gridCol w:w="1949.3478260869565"/>
            <w:gridCol w:w="1670.8695652173913"/>
            <w:gridCol w:w="1153.695652173913"/>
            <w:gridCol w:w="720"/>
            <w:gridCol w:w="1005"/>
            <w:gridCol w:w="1140"/>
            <w:gridCol w:w="153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PLANO DE GERENCIAMENTO DE RISCOS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  <w:shd w:fill="b6d7a8" w:val="clear"/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tem como objetivo fornecer uma descrição detalhada de como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os riscos do projeto serão gerenciadas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26/06/2019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Marlos Gondim Ribeiro Batista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mgrb2@cin.ufpe.br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do projeto):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rodolfo@cin.ufpe.br</w:t>
            </w:r>
          </w:p>
        </w:tc>
      </w:tr>
      <w:tr>
        <w:trPr>
          <w:trHeight w:val="260" w:hRule="atLeast"/>
        </w:trPr>
        <w:tc>
          <w:tcPr>
            <w:gridSpan w:val="7"/>
            <w:shd w:fill="b6d7a8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Risk Breakdown Structure (RBS)</w:t>
            </w:r>
          </w:p>
        </w:tc>
      </w:tr>
      <w:tr>
        <w:trPr>
          <w:trHeight w:val="260" w:hRule="atLeast"/>
        </w:trPr>
        <w:tc>
          <w:tcPr>
            <w:shd w:fill="b6d7a8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Definição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Gravidade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Mitigação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Gestão do FC no Plano de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Implantação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Rejeição por parte do corpo discente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O corpo discente pode preferir não utilizar a API  pela não adequação ao novo sistema de matrículas.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Todo o trabalho pode ser em vão.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Palestras e treinamentos focados na utilização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Contato com o usuário e recolhimento de informação, como dificuldades e problemas encontrados após a adoção do novo sistema.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Dificuldade no desenvolvimento da API e entendimento do código fonte do SIGAA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O desenvolvimento da API depende não só de conhecimento nas ferramentas escolhidas, mas também do código fonte do SIGAA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Falta de conhecimento em Java, JSF, RESTful Web Services ou outra ferramenta escolhida.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Cautela na escolha do time de desenvolvimento da API, palestras e treinamento mais “técnicos”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Adoção de metodologia de gestão do projeto de desenvolvimento, como SCRUM ou metodologias ágeis.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Mudança no SiSU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O MEC pode mudar completamente o funcionamento do Sistema de Seleção Unificada.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 API pode precisar de modificações.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Construir a API da forma mais genérica possível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Observação anual da necessidade de mudanças na API a cada processo seletivo.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Comunicação com 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Falta de comunicação interna e externa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Plano de comunicação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Aproveitar os encontros que temos para tirar todas as dúvidas possíveis e usar os feedbacks dos status reports para gerenciar a qualidade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Plano de comunicação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Definição clara das necessidades dos Stakeholders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Definição apropriada da necessidade e dos subprocessos mais custosos no processo de matrícula dos ingressantes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 API pode acabar por atacar um problema que não existe ou que não é o problema mais dispendioso para os stakeholders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Análise da modelagem dos processos com entrevista e aprovação dos stakeholders.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Análise de Stakeholders e Plano de controle de qualidade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Atrasos no processo de desenvolvimento da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Atrasos nas entregas do processo de 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Por dificuldade de entendimento, falta de comprometimento ou outros agravantes, pode haver atrasos no cronograma de implantação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Definir objetivos, métrica e cronograma de entregas dos artefatos necessários ao desenvolvimento do plano de implantação.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Cronograma de Atividades e o Plano de Gerenciamento de Cronograma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Solução fora do escopo da universidade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Uma vez que um dos envolvidos no processo é um órgão público, a solução encontrada pode, facilmente, cair fora do escopo da universidade e dentro do escopo governamental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Parte do trabalho envolve a coleta de informações vindas de um órgão federal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 solução escolhida foi pensada dentro dos limites de influência dos stakeholders.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Definição do escopo da solução através de EAP e Plano de Gerenciamento de Escopo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Custo inviável de desenvolvimento de solução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 solução pode sofrer mudanças que demandem novos recursos humanos e tecnológicos para seu 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Mudanças no escopo do projeto podem acontecer, e os recursos podem não ser suficientes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médio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0"/>
                <w:szCs w:val="20"/>
                <w:rtl w:val="0"/>
              </w:rPr>
              <w:t xml:space="preserve">Definição clara da solução a partir das informações coletadas.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0"/>
                <w:szCs w:val="20"/>
                <w:rtl w:val="0"/>
              </w:rPr>
              <w:t xml:space="preserve">Controle de custos através do Plano de Gerenciamento de Custos e Relatório Orçamentário</w:t>
            </w:r>
          </w:p>
        </w:tc>
      </w:tr>
      <w:tr>
        <w:trPr>
          <w:trHeight w:val="360" w:hRule="atLeast"/>
        </w:trPr>
        <w:tc>
          <w:tcPr>
            <w:gridSpan w:val="7"/>
            <w:shd w:fill="b6d7a8" w:val="clear"/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Frequência de avaliação dos riscos</w:t>
            </w:r>
          </w:p>
        </w:tc>
      </w:tr>
      <w:tr>
        <w:trPr>
          <w:trHeight w:val="340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Ao final de cada iteração os riscos são reavaliados. É verificado se ele persistiu, e se seu impacto aumentou ou diminuiu.</w:t>
            </w:r>
          </w:p>
        </w:tc>
      </w:tr>
      <w:tr>
        <w:trPr>
          <w:trHeight w:val="340" w:hRule="atLeast"/>
        </w:trPr>
        <w:tc>
          <w:tcPr>
            <w:gridSpan w:val="7"/>
            <w:shd w:fill="b6d7a8" w:val="clear"/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Frequência e critérios para atualização deste plano</w:t>
            </w:r>
          </w:p>
        </w:tc>
      </w:tr>
      <w:tr>
        <w:trPr>
          <w:trHeight w:val="340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Ao final de cada iteração, se algum risco surgir ou se durante a avaliação dos riscos, algum deles tiver sua gravidade ou probabilidade alterada, o plano e a lista de riscos deverão ser atualizados.</w:t>
            </w:r>
          </w:p>
        </w:tc>
      </w:tr>
      <w:tr>
        <w:trPr>
          <w:trHeight w:val="340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Elaborado por: 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Antônio Paulino de Lima Neto </w:t>
            </w:r>
          </w:p>
        </w:tc>
      </w:tr>
      <w:tr>
        <w:trPr>
          <w:trHeight w:val="340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Gabriel Cavalcanti de Melo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