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COMPUTER VISION ASSIGNMENT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INTRODUCTION TO OPENCV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114300" distT="114300" distL="114300" distR="114300">
            <wp:extent cx="38481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the above using the opencv module.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Convert the same into grayscale and display it.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shape of the image.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Resize the image to (1000x1000) and display it.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Smoothen an image ( Blur 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on an image. ( a rectangle around any object, blue solid circle in the middle of the image, draw a green line diagonally across the image)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Edge Detection using Canny Edge Detection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Image Thresholding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Detect and draw contours.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IMAGE AUGMENTATION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the following and show the results: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Mirror the image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Rotate it clockwise by 30 degrees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Rotate the image anti-clockwise by 30 degrees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noise to the image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 padding of 10 to each side of the image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the brightness, contrast and hue of the image and show results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INTRODUCTION TO CNNs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CIFAR-10 Dataset using CNNs.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CIFAR-10 dataset consists of 60,000 32 x 32 colour images in 10 classes, with 6,000 images per class. There are 50,000 training images and 10,000 test images.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CIFAR-10 dataset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Using CNN, build an image classification model and show test predictions and accuracy. 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2. Classify the Images of ImageNet using CNNs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ImageNet is the main database behind the ImageNet Large Scale Recognition Challenge (ILSVRC). The ImageNet dataset has more than 14 million images, hand-labeled across 20,000 categories.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data is too heavy and thus we have an alternative for it.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u w:val="single"/>
            <w:rtl w:val="0"/>
          </w:rPr>
          <w:t xml:space="preserve">Imagenette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is a dataset that’s extracted from the large ImageNet collection of images. 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Steps to be followed: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Download the Dataset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Loading Images using ImageDataGenerator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Building a Basic CNN model for Image Classification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Using Transfer Learning (VGG16,AlexNet etc) to improve accuracy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ADVANCED COMPUTER VISION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Object Detection using Tensorflow. (model which is trained on the COCO dataset.)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Object Detection using YOLOv3.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highlight w:val="white"/>
          <w:rtl w:val="0"/>
        </w:rPr>
        <w:t xml:space="preserve">The weights and the configuration file can be found in this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link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92929"/>
          <w:highlight w:val="white"/>
          <w:rtl w:val="0"/>
        </w:rPr>
        <w:t xml:space="preserve">and the coco-names file can be downloaded from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92929"/>
          <w:highlight w:val="white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92929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highlight w:val="white"/>
          <w:rtl w:val="0"/>
        </w:rPr>
        <w:t xml:space="preserve">Perform Face Recognition using Haar cascade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jreddie/darknet/blob/master/data/coco.names" TargetMode="External"/><Relationship Id="rId9" Type="http://schemas.openxmlformats.org/officeDocument/2006/relationships/hyperlink" Target="https://pjreddie.com/darknet/yol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s.toronto.edu/~kriz/cifar.html" TargetMode="External"/><Relationship Id="rId8" Type="http://schemas.openxmlformats.org/officeDocument/2006/relationships/hyperlink" Target="https://github.com/fastai/imagene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