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F81BD" w:sz="8" w:space="4"/>
        </w:pBdr>
        <w:spacing w:after="300"/>
        <w:jc w:val="center"/>
      </w:pPr>
      <w:r>
        <w:rPr>
          <w:color w:val="17365D"/>
          <w:spacing w:val="5"/>
          <w:sz w:val="52"/>
          <w:szCs w:val="52"/>
        </w:rPr>
        <w:t xml:space="preserve">UPI Transaction Anomaly Detector with </w:t>
      </w:r>
      <w:r>
        <w:rPr>
          <w:color w:val="17365D"/>
          <w:sz w:val="52"/>
          <w:szCs w:val="52"/>
        </w:rPr>
        <w:br/>
      </w:r>
      <w:r>
        <w:rPr>
          <w:color w:val="17365D"/>
          <w:spacing w:val="5"/>
          <w:sz w:val="52"/>
          <w:szCs w:val="52"/>
        </w:rPr>
        <w:t xml:space="preserve">Drift Monitoring</w:t>
      </w:r>
    </w:p>
    <w:p>
      <w:pPr>
        <w:spacing w:after="200" w:line="276" w:lineRule="auto"/>
        <w:jc w:val="center"/>
      </w:pPr>
      <w:r>
        <w:rPr>
          <w:rFonts w:ascii="Cambria" w:cs="Cambria" w:eastAsia="Cambria" w:hAnsi="Cambria"/>
          <w:b/>
          <w:bCs/>
        </w:rPr>
        <w:t xml:space="preserve">Document 2: Exploratory Data Analysis (EDA)</w:t>
      </w:r>
      <w:r>
        <w:rPr>
          <w:rFonts w:ascii="Cambria" w:cs="Cambria" w:eastAsia="Cambria" w:hAnsi="Cambria"/>
        </w:rPr>
        <w:br/>
      </w:r>
      <w:r>
        <w:rPr>
          <w:rFonts w:ascii="Cambria" w:cs="Cambria" w:eastAsia="Cambria" w:hAnsi="Cambria"/>
        </w:rPr>
        <w:t xml:space="preserve">Version 1.0 (Final)</w:t>
      </w:r>
    </w:p>
    <w:p>
      <w:pPr>
        <w:spacing w:after="160" w:line="276" w:lineRule="auto"/>
      </w:pPr>
      <w:r>
        <w:rPr>
          <w:color w:val="1A1A1A"/>
          <w:sz w:val="21"/>
          <w:szCs w:val="21"/>
        </w:rPr>
        <w:t xml:space="preserve">A practical, team-lead-style guide to exploring, questioning, and cleaning the PaySim mobile-money dataset before any model is trained — covering dataset inspection, descriptive statistics, distribution and correlation analysis, outlier and data-quality review, and the path from a Jupyter notebook into production-grade preprocessing code.</w:t>
      </w:r>
    </w:p>
    <w:p>
      <w:pPr>
        <w:pStyle w:val="Heading1"/>
        <w:pBdr>
          <w:bottom w:val="single" w:color="2E5FA3" w:sz="6" w:space="4"/>
        </w:pBdr>
        <w:spacing w:after="160" w:before="400"/>
      </w:pPr>
      <w:r>
        <w:rPr>
          <w:b/>
          <w:bCs/>
          <w:color w:val="1A1A1A"/>
          <w:sz w:val="30"/>
          <w:szCs w:val="30"/>
        </w:rPr>
        <w:t xml:space="preserve">1. Objective</w:t>
      </w:r>
    </w:p>
    <w:p>
      <w:pPr>
        <w:spacing w:after="160" w:line="276" w:lineRule="auto"/>
      </w:pPr>
      <w:r>
        <w:rPr>
          <w:color w:val="1A1A1A"/>
          <w:sz w:val="21"/>
          <w:szCs w:val="21"/>
        </w:rPr>
        <w:t xml:space="preserve">Document 1 defined what the UPI Transaction Anomaly Detector project builds and why. Before a single line of modeling code is written, every developer on the team must first understand the data the system will run on. Exploratory Data Analysis (EDA) is the discipline of interrogating a dataset — its shape, its quirks, its gaps, its relationships — before deciding how to clean it, engineer features from it, or train a model on it.</w:t>
      </w:r>
    </w:p>
    <w:p>
      <w:pPr>
        <w:spacing w:after="160" w:line="276" w:lineRule="auto"/>
      </w:pPr>
      <w:r>
        <w:rPr>
          <w:color w:val="1A1A1A"/>
          <w:sz w:val="21"/>
          <w:szCs w:val="21"/>
        </w:rPr>
        <w:t xml:space="preserve">EDA is the bridge between raw data and a reliable machine learning system. Skip it, and the pipeline inherits every hidden defect in the data: silently wrong balances, duplicated records, features that leak the label, or a class imbalance so extreme that a naive model can score 99.9% accuracy while catching zero fraud. None of these problems announce themselves in a schema definition — they only surface once someone actually looks at the data.</w:t>
      </w:r>
    </w:p>
    <w:p>
      <w:pPr>
        <w:spacing w:after="160" w:line="276" w:lineRule="auto"/>
      </w:pPr>
      <w:r>
        <w:rPr>
          <w:color w:val="1A1A1A"/>
          <w:sz w:val="21"/>
          <w:szCs w:val="21"/>
        </w:rPr>
        <w:t xml:space="preserve">This document teaches the team how to:</w:t>
      </w:r>
    </w:p>
    <w:p>
      <w:pPr>
        <w:pStyle w:val="ListParagraph"/>
        <w:numPr>
          <w:ilvl w:val="0"/>
          <w:numId w:val="2"/>
        </w:numPr>
        <w:spacing w:after="80" w:line="264" w:lineRule="auto"/>
      </w:pPr>
      <w:r>
        <w:rPr>
          <w:color w:val="1A1A1A"/>
          <w:sz w:val="21"/>
          <w:szCs w:val="21"/>
        </w:rPr>
        <w:t xml:space="preserve">Understand what each field in the PaySim dataset actually represents.</w:t>
      </w:r>
    </w:p>
    <w:p>
      <w:pPr>
        <w:pStyle w:val="ListParagraph"/>
        <w:numPr>
          <w:ilvl w:val="0"/>
          <w:numId w:val="2"/>
        </w:numPr>
        <w:spacing w:after="80" w:line="264" w:lineRule="auto"/>
      </w:pPr>
      <w:r>
        <w:rPr>
          <w:color w:val="1A1A1A"/>
          <w:sz w:val="21"/>
          <w:szCs w:val="21"/>
        </w:rPr>
        <w:t xml:space="preserve">Investigate the dataset systematically rather than by guesswork.</w:t>
      </w:r>
    </w:p>
    <w:p>
      <w:pPr>
        <w:pStyle w:val="ListParagraph"/>
        <w:numPr>
          <w:ilvl w:val="0"/>
          <w:numId w:val="2"/>
        </w:numPr>
        <w:spacing w:after="80" w:line="264" w:lineRule="auto"/>
      </w:pPr>
      <w:r>
        <w:rPr>
          <w:color w:val="1A1A1A"/>
          <w:sz w:val="21"/>
          <w:szCs w:val="21"/>
        </w:rPr>
        <w:t xml:space="preserve">Discover data quality problems before they contaminate downstream stages.</w:t>
      </w:r>
    </w:p>
    <w:p>
      <w:pPr>
        <w:pStyle w:val="ListParagraph"/>
        <w:numPr>
          <w:ilvl w:val="0"/>
          <w:numId w:val="2"/>
        </w:numPr>
        <w:spacing w:after="80" w:line="264" w:lineRule="auto"/>
      </w:pPr>
      <w:r>
        <w:rPr>
          <w:color w:val="1A1A1A"/>
          <w:sz w:val="21"/>
          <w:szCs w:val="21"/>
        </w:rPr>
        <w:t xml:space="preserve">Decide — with reasoning, not habit — which cleaning strategy fits each problem.</w:t>
      </w:r>
    </w:p>
    <w:p>
      <w:pPr>
        <w:pStyle w:val="ListParagraph"/>
        <w:numPr>
          <w:ilvl w:val="0"/>
          <w:numId w:val="2"/>
        </w:numPr>
        <w:spacing w:after="80" w:line="264" w:lineRule="auto"/>
      </w:pPr>
      <w:r>
        <w:rPr>
          <w:color w:val="1A1A1A"/>
          <w:sz w:val="21"/>
          <w:szCs w:val="21"/>
        </w:rPr>
        <w:t xml:space="preserve">Prepare a production-quality, versioned dataset that the modeling stage can trust.</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left w:val="single" w:color="2E5FA3" w:sz="24" w:space="8"/>
        </w:pBdr>
        <w:shd w:fill="F2F2F2" w:color="auto" w:val="clear"/>
        <w:spacing w:after="60"/>
        <w:ind w:left="120"/>
      </w:pPr>
      <w:r>
        <w:rPr>
          <w:color w:val="1A1A1A"/>
          <w:sz w:val="21"/>
          <w:szCs w:val="21"/>
        </w:rPr>
        <w:t xml:space="preserve">EDA is not a formality before modeling — it is where most of the real decisions about a data project get made.</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Every finding in this stage should produce a documented, justified decision, not just an observation.</w:t>
      </w:r>
    </w:p>
    <w:p>
      <w:pPr>
        <w:pStyle w:val="Heading1"/>
        <w:pBdr>
          <w:bottom w:val="single" w:color="2E5FA3" w:sz="6" w:space="4"/>
        </w:pBdr>
        <w:spacing w:after="160" w:before="400"/>
      </w:pPr>
      <w:r>
        <w:rPr>
          <w:b/>
          <w:bCs/>
          <w:color w:val="1A1A1A"/>
          <w:sz w:val="30"/>
          <w:szCs w:val="30"/>
        </w:rPr>
        <w:t xml:space="preserve">2. Prerequisite Learning Resources</w:t>
      </w:r>
    </w:p>
    <w:p>
      <w:pPr>
        <w:spacing w:after="160" w:line="276" w:lineRule="auto"/>
      </w:pPr>
      <w:r>
        <w:rPr>
          <w:color w:val="1A1A1A"/>
          <w:sz w:val="21"/>
          <w:szCs w:val="21"/>
        </w:rPr>
        <w:t xml:space="preserve">Before touching the notebook, every team member should study the following resources. They provide the conceptual grounding this document builds on — this guide focuses on applying that theory to PaySim, not re-teaching it from scratch.</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6040"/>
      </w:tblGrid>
      <w:tr>
        <w:trPr>
          <w:tblHeader/>
        </w:trPr>
        <w:tc>
          <w:tcPr>
            <w:tcW w:type="dxa" w:w="3200"/>
            <w:shd w:fill="2E5FA3" w:color="auto" w:val="clear"/>
            <w:tcMar>
              <w:top w:type="dxa" w:w="80"/>
              <w:left w:type="dxa" w:w="120"/>
              <w:bottom w:type="dxa" w:w="80"/>
              <w:right w:type="dxa" w:w="120"/>
            </w:tcMar>
            <w:vAlign w:val="center"/>
          </w:tcPr>
          <w:p>
            <w:r>
              <w:rPr>
                <w:b/>
                <w:bCs/>
                <w:color w:val="FFFFFF"/>
              </w:rPr>
              <w:t xml:space="preserve">Topic</w:t>
            </w:r>
          </w:p>
        </w:tc>
        <w:tc>
          <w:tcPr>
            <w:tcW w:type="dxa" w:w="6040"/>
            <w:shd w:fill="2E5FA3" w:color="auto" w:val="clear"/>
            <w:tcMar>
              <w:top w:type="dxa" w:w="80"/>
              <w:left w:type="dxa" w:w="120"/>
              <w:bottom w:type="dxa" w:w="80"/>
              <w:right w:type="dxa" w:w="120"/>
            </w:tcMar>
            <w:vAlign w:val="center"/>
          </w:tcPr>
          <w:p>
            <w:r>
              <w:rPr>
                <w:b/>
                <w:bCs/>
                <w:color w:val="FFFFFF"/>
              </w:rPr>
              <w:t xml:space="preserve">Resource</w:t>
            </w:r>
          </w:p>
        </w:tc>
      </w:tr>
      <w:tr>
        <w:tc>
          <w:tcPr>
            <w:tcW w:type="dxa" w:w="3200"/>
            <w:tcMar>
              <w:top w:type="dxa" w:w="80"/>
              <w:left w:type="dxa" w:w="120"/>
              <w:bottom w:type="dxa" w:w="80"/>
              <w:right w:type="dxa" w:w="120"/>
            </w:tcMar>
            <w:vAlign w:val="center"/>
          </w:tcPr>
          <w:p>
            <w:r>
              <w:rPr>
                <w:b w:val="false"/>
                <w:bCs w:val="false"/>
                <w:color w:val="1A1A1A"/>
              </w:rPr>
              <w:t xml:space="preserve">What is Exploratory Data Analysis?</w:t>
            </w:r>
          </w:p>
        </w:tc>
        <w:tc>
          <w:tcPr>
            <w:tcW w:type="dxa" w:w="6040"/>
            <w:tcMar>
              <w:top w:type="dxa" w:w="80"/>
              <w:left w:type="dxa" w:w="120"/>
              <w:bottom w:type="dxa" w:w="80"/>
              <w:right w:type="dxa" w:w="120"/>
            </w:tcMar>
            <w:vAlign w:val="center"/>
          </w:tcPr>
          <w:p>
            <w:r>
              <w:rPr>
                <w:b w:val="false"/>
                <w:bCs w:val="false"/>
                <w:color w:val="1A1A1A"/>
              </w:rPr>
              <w:t xml:space="preserve">https://www.geeksforgeeks.org/data-analysis/what-is-exploratory-data-analysis/</w:t>
            </w:r>
          </w:p>
        </w:tc>
      </w:tr>
      <w:tr>
        <w:tc>
          <w:tcPr>
            <w:tcW w:type="dxa" w:w="3200"/>
            <w:shd w:fill="F2F2F2" w:color="auto" w:val="clear"/>
            <w:tcMar>
              <w:top w:type="dxa" w:w="80"/>
              <w:left w:type="dxa" w:w="120"/>
              <w:bottom w:type="dxa" w:w="80"/>
              <w:right w:type="dxa" w:w="120"/>
            </w:tcMar>
            <w:vAlign w:val="center"/>
          </w:tcPr>
          <w:p>
            <w:r>
              <w:rPr>
                <w:b w:val="false"/>
                <w:bCs w:val="false"/>
                <w:color w:val="1A1A1A"/>
              </w:rPr>
              <w:t xml:space="preserve">Exploratory Data Analysis in Python</w:t>
            </w:r>
          </w:p>
        </w:tc>
        <w:tc>
          <w:tcPr>
            <w:tcW w:type="dxa" w:w="6040"/>
            <w:shd w:fill="F2F2F2" w:color="auto" w:val="clear"/>
            <w:tcMar>
              <w:top w:type="dxa" w:w="80"/>
              <w:left w:type="dxa" w:w="120"/>
              <w:bottom w:type="dxa" w:w="80"/>
              <w:right w:type="dxa" w:w="120"/>
            </w:tcMar>
            <w:vAlign w:val="center"/>
          </w:tcPr>
          <w:p>
            <w:r>
              <w:rPr>
                <w:b w:val="false"/>
                <w:bCs w:val="false"/>
                <w:color w:val="1A1A1A"/>
              </w:rPr>
              <w:t xml:space="preserve">https://www.geeksforgeeks.org/data-analysis/exploratory-data-analysis-in-python/</w:t>
            </w:r>
          </w:p>
        </w:tc>
      </w:tr>
      <w:tr>
        <w:tc>
          <w:tcPr>
            <w:tcW w:type="dxa" w:w="3200"/>
            <w:tcMar>
              <w:top w:type="dxa" w:w="80"/>
              <w:left w:type="dxa" w:w="120"/>
              <w:bottom w:type="dxa" w:w="80"/>
              <w:right w:type="dxa" w:w="120"/>
            </w:tcMar>
            <w:vAlign w:val="center"/>
          </w:tcPr>
          <w:p>
            <w:r>
              <w:rPr>
                <w:b w:val="false"/>
                <w:bCs w:val="false"/>
                <w:color w:val="1A1A1A"/>
              </w:rPr>
              <w:t xml:space="preserve">Complete EDA Reference Guide (PDF)</w:t>
            </w:r>
          </w:p>
        </w:tc>
        <w:tc>
          <w:tcPr>
            <w:tcW w:type="dxa" w:w="6040"/>
            <w:tcMar>
              <w:top w:type="dxa" w:w="80"/>
              <w:left w:type="dxa" w:w="120"/>
              <w:bottom w:type="dxa" w:w="80"/>
              <w:right w:type="dxa" w:w="120"/>
            </w:tcMar>
            <w:vAlign w:val="center"/>
          </w:tcPr>
          <w:p>
            <w:r>
              <w:rPr>
                <w:b w:val="false"/>
                <w:bCs w:val="false"/>
                <w:color w:val="1A1A1A"/>
              </w:rPr>
              <w:t xml:space="preserve">https://datos.gob.es/sites/default/files/documentacion/files/guide_eda_python.pdf</w:t>
            </w:r>
          </w:p>
        </w:tc>
      </w:tr>
    </w:tbl>
    <w:p>
      <w:pPr>
        <w:spacing w:after="200"/>
      </w:pPr>
      <w:r>
        <w:rPr>
          <w:i/>
          <w:iCs/>
          <w:color w:val="595959"/>
          <w:sz w:val="18"/>
          <w:szCs w:val="18"/>
        </w:rPr>
        <w:t xml:space="preserve">Table 1. Prerequisite reading. Complete these before opening EDA.ipynb.</w:t>
      </w:r>
    </w:p>
    <w:p>
      <w:pPr>
        <w:pBdr>
          <w:left w:val="single" w:color="2E5FA3" w:sz="24" w:space="8"/>
        </w:pBdr>
        <w:shd w:fill="F2F2F2" w:color="auto" w:val="clear"/>
        <w:spacing w:after="160" w:before="120"/>
        <w:ind w:left="120"/>
      </w:pPr>
      <w:r>
        <w:rPr>
          <w:b/>
          <w:bCs/>
          <w:color w:val="2E5FA3"/>
          <w:sz w:val="21"/>
          <w:szCs w:val="21"/>
        </w:rPr>
        <w:t xml:space="preserve">Note:  </w:t>
      </w:r>
      <w:r>
        <w:rPr>
          <w:color w:val="1A1A1A"/>
          <w:sz w:val="21"/>
          <w:szCs w:val="21"/>
        </w:rPr>
        <w:t xml:space="preserve">These readings are conceptual scaffolding. The rest of this document assumes you understand terms like distribution, skewness, and correlation at a working level.</w:t>
      </w:r>
    </w:p>
    <w:p>
      <w:pPr>
        <w:pStyle w:val="Heading1"/>
        <w:pBdr>
          <w:bottom w:val="single" w:color="2E5FA3" w:sz="6" w:space="4"/>
        </w:pBdr>
        <w:spacing w:after="160" w:before="400"/>
      </w:pPr>
      <w:r>
        <w:rPr>
          <w:b/>
          <w:bCs/>
          <w:color w:val="1A1A1A"/>
          <w:sz w:val="30"/>
          <w:szCs w:val="30"/>
        </w:rPr>
        <w:t xml:space="preserve">3. Understanding Exploratory Data Analysis</w:t>
      </w:r>
    </w:p>
    <w:p>
      <w:pPr>
        <w:spacing w:after="160" w:line="276" w:lineRule="auto"/>
      </w:pPr>
      <w:r>
        <w:rPr>
          <w:color w:val="1A1A1A"/>
          <w:sz w:val="21"/>
          <w:szCs w:val="21"/>
        </w:rPr>
        <w:t xml:space="preserve">EDA is the process of examining a dataset — visually and statistically — to understand its structure, quality, and relationships before making modeling decisions. It is investigative, not confirmatory: the goal is to discover what the data is actually telling you, not to prove a hypothesis you already hold.</w:t>
      </w:r>
    </w:p>
    <w:p>
      <w:pPr>
        <w:spacing w:after="160" w:line="276" w:lineRule="auto"/>
      </w:pPr>
      <w:r>
        <w:rPr>
          <w:color w:val="1A1A1A"/>
          <w:sz w:val="21"/>
          <w:szCs w:val="21"/>
        </w:rPr>
        <w:t xml:space="preserve">Companies perform EDA before modeling for a simple reason: a model is only as trustworthy as the data pipeline feeding it. Teams that skip EDA and jump straight to model.fit() routinely discover — in production, after damage is done — that a feature was actually a proxy for the label, that 40% of a column was silently null, or that the training data covered a completely different population than the live traffic. EDA is where these problems are caught cheaply, on a laptop, instead of expensively, in an incident review.</w:t>
      </w:r>
    </w:p>
    <w:p>
      <w:pPr>
        <w:spacing w:after="160" w:line="276" w:lineRule="auto"/>
      </w:pPr>
      <w:r>
        <w:rPr>
          <w:color w:val="1A1A1A"/>
          <w:sz w:val="21"/>
          <w:szCs w:val="21"/>
        </w:rPr>
        <w:t xml:space="preserve">A few analogies make the intuition concrete:</w:t>
      </w:r>
    </w:p>
    <w:p>
      <w:pPr>
        <w:pStyle w:val="ListParagraph"/>
        <w:numPr>
          <w:ilvl w:val="0"/>
          <w:numId w:val="2"/>
        </w:numPr>
        <w:spacing w:after="80" w:line="264" w:lineRule="auto"/>
      </w:pPr>
      <w:r>
        <w:rPr>
          <w:b w:val="function bold() { [native code] }"/>
          <w:bCs w:val="function bold() { [native code] }"/>
          <w:i w:val="function italics() { [native code] }"/>
          <w:iCs w:val="function italics() { [native code] }"/>
          <w:color w:val="1A1A1A"/>
          <w:sz w:val="21"/>
          <w:szCs w:val="21"/>
        </w:rPr>
      </w:r>
    </w:p>
    <w:p>
      <w:pPr>
        <w:pStyle w:val="ListParagraph"/>
        <w:numPr>
          <w:ilvl w:val="0"/>
          <w:numId w:val="2"/>
        </w:numPr>
        <w:spacing w:after="80" w:line="264" w:lineRule="auto"/>
      </w:pPr>
      <w:r>
        <w:rPr>
          <w:b w:val="function bold() { [native code] }"/>
          <w:bCs w:val="function bold() { [native code] }"/>
          <w:i w:val="function italics() { [native code] }"/>
          <w:iCs w:val="function italics() { [native code] }"/>
          <w:color w:val="1A1A1A"/>
          <w:sz w:val="21"/>
          <w:szCs w:val="21"/>
        </w:rPr>
      </w:r>
    </w:p>
    <w:p>
      <w:pPr>
        <w:pStyle w:val="ListParagraph"/>
        <w:numPr>
          <w:ilvl w:val="0"/>
          <w:numId w:val="2"/>
        </w:numPr>
        <w:spacing w:after="80" w:line="264" w:lineRule="auto"/>
      </w:pPr>
      <w:r>
        <w:rPr>
          <w:b w:val="function bold() { [native code] }"/>
          <w:bCs w:val="function bold() { [native code] }"/>
          <w:i w:val="function italics() { [native code] }"/>
          <w:iCs w:val="function italics() { [native code] }"/>
          <w:color w:val="1A1A1A"/>
          <w:sz w:val="21"/>
          <w:szCs w:val="21"/>
        </w:rPr>
      </w:r>
    </w:p>
    <w:p>
      <w:pPr>
        <w:pStyle w:val="ListParagraph"/>
        <w:numPr>
          <w:ilvl w:val="0"/>
          <w:numId w:val="2"/>
        </w:numPr>
        <w:spacing w:after="80" w:line="264" w:lineRule="auto"/>
      </w:pPr>
      <w:r>
        <w:rPr>
          <w:b w:val="function bold() { [native code] }"/>
          <w:bCs w:val="function bold() { [native code] }"/>
          <w:i w:val="function italics() { [native code] }"/>
          <w:iCs w:val="function italics() { [native code] }"/>
          <w:color w:val="1A1A1A"/>
          <w:sz w:val="21"/>
          <w:szCs w:val="21"/>
        </w:rPr>
      </w:r>
    </w:p>
    <w:p>
      <w:pPr>
        <w:spacing w:after="160" w:line="276" w:lineRule="auto"/>
      </w:pPr>
      <w:r>
        <w:rPr>
          <w:color w:val="1A1A1A"/>
          <w:sz w:val="21"/>
          <w:szCs w:val="21"/>
        </w:rPr>
        <w:t xml:space="preserve">In every case, the expert invests time in observation before acting, because acting on an incomplete or wrong understanding is more costly than the time spent understanding. Machine learning is no different: the "prescription" is the model, and EDA is the diagnostic exam that must come first.</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left w:val="single" w:color="2E5FA3" w:sz="24" w:space="8"/>
        </w:pBdr>
        <w:shd w:fill="F2F2F2" w:color="auto" w:val="clear"/>
        <w:spacing w:after="60"/>
        <w:ind w:left="120"/>
      </w:pPr>
      <w:r>
        <w:rPr>
          <w:color w:val="1A1A1A"/>
          <w:sz w:val="21"/>
          <w:szCs w:val="21"/>
        </w:rPr>
        <w:t xml:space="preserve">EDA is diagnostic work, not paperwork — its purpose is to prevent expensive mistakes later in the pipeline.</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Every modeling decision downstream (which features to engineer, which metric to optimize, how to split the data) should trace back to something observed during EDA.</w:t>
      </w:r>
    </w:p>
    <w:p>
      <w:pPr>
        <w:pStyle w:val="Heading1"/>
        <w:pBdr>
          <w:bottom w:val="single" w:color="2E5FA3" w:sz="6" w:space="4"/>
        </w:pBdr>
        <w:spacing w:after="160" w:before="400"/>
      </w:pPr>
      <w:r>
        <w:rPr>
          <w:b/>
          <w:bCs/>
          <w:color w:val="1A1A1A"/>
          <w:sz w:val="30"/>
          <w:szCs w:val="30"/>
        </w:rPr>
        <w:t xml:space="preserve">4. Understanding the PaySim Dataset</w:t>
      </w:r>
    </w:p>
    <w:p>
      <w:pPr>
        <w:spacing w:after="160" w:line="276" w:lineRule="auto"/>
      </w:pPr>
      <w:r>
        <w:rPr>
          <w:color w:val="1A1A1A"/>
          <w:sz w:val="21"/>
          <w:szCs w:val="21"/>
        </w:rPr>
        <w:t xml:space="preserve">PaySim is a synthetic mobile-money transaction dataset generated by an agent-based simulator, calibrated against one month of real transaction logs from an African mobile financial service provider. Because real financial transaction logs are almost never released publicly (for privacy and regulatory reasons), PaySim has become a standard benchmark in fraud-detection research: it reproduces the statistical shape of real mobile-money traffic — including its extreme class imbalance — without exposing real customer data.</w:t>
      </w:r>
    </w:p>
    <w:p>
      <w:pPr>
        <w:spacing w:after="160" w:line="276" w:lineRule="auto"/>
      </w:pPr>
      <w:r>
        <w:rPr>
          <w:color w:val="1A1A1A"/>
          <w:sz w:val="21"/>
          <w:szCs w:val="21"/>
        </w:rPr>
        <w:t xml:space="preserve">The dataset simulates five transaction types over a 30-day period (744 hourly steps):</w:t>
      </w:r>
    </w:p>
    <w:p>
      <w:pPr>
        <w:pStyle w:val="ListParagraph"/>
        <w:numPr>
          <w:ilvl w:val="0"/>
          <w:numId w:val="2"/>
        </w:numPr>
        <w:spacing w:after="80" w:line="264" w:lineRule="auto"/>
      </w:pPr>
      <w:r>
        <w:rPr>
          <w:color w:val="1A1A1A"/>
          <w:sz w:val="21"/>
          <w:szCs w:val="21"/>
        </w:rPr>
        <w:t xml:space="preserve">CASH_IN — a customer deposits cash into their mobile-money account.</w:t>
      </w:r>
    </w:p>
    <w:p>
      <w:pPr>
        <w:pStyle w:val="ListParagraph"/>
        <w:numPr>
          <w:ilvl w:val="0"/>
          <w:numId w:val="2"/>
        </w:numPr>
        <w:spacing w:after="80" w:line="264" w:lineRule="auto"/>
      </w:pPr>
      <w:r>
        <w:rPr>
          <w:color w:val="1A1A1A"/>
          <w:sz w:val="21"/>
          <w:szCs w:val="21"/>
        </w:rPr>
        <w:t xml:space="preserve">CASH_OUT — a customer withdraws cash from their account.</w:t>
      </w:r>
    </w:p>
    <w:p>
      <w:pPr>
        <w:pStyle w:val="ListParagraph"/>
        <w:numPr>
          <w:ilvl w:val="0"/>
          <w:numId w:val="2"/>
        </w:numPr>
        <w:spacing w:after="80" w:line="264" w:lineRule="auto"/>
      </w:pPr>
      <w:r>
        <w:rPr>
          <w:color w:val="1A1A1A"/>
          <w:sz w:val="21"/>
          <w:szCs w:val="21"/>
        </w:rPr>
        <w:t xml:space="preserve">DEBIT — funds are moved from a mobile-money account to a bank account.</w:t>
      </w:r>
    </w:p>
    <w:p>
      <w:pPr>
        <w:pStyle w:val="ListParagraph"/>
        <w:numPr>
          <w:ilvl w:val="0"/>
          <w:numId w:val="2"/>
        </w:numPr>
        <w:spacing w:after="80" w:line="264" w:lineRule="auto"/>
      </w:pPr>
      <w:r>
        <w:rPr>
          <w:color w:val="1A1A1A"/>
          <w:sz w:val="21"/>
          <w:szCs w:val="21"/>
        </w:rPr>
        <w:t xml:space="preserve">PAYMENT — a customer pays a merchant for goods or services.</w:t>
      </w:r>
    </w:p>
    <w:p>
      <w:pPr>
        <w:pStyle w:val="ListParagraph"/>
        <w:numPr>
          <w:ilvl w:val="0"/>
          <w:numId w:val="2"/>
        </w:numPr>
        <w:spacing w:after="80" w:line="264" w:lineRule="auto"/>
      </w:pPr>
      <w:r>
        <w:rPr>
          <w:color w:val="1A1A1A"/>
          <w:sz w:val="21"/>
          <w:szCs w:val="21"/>
        </w:rPr>
        <w:t xml:space="preserve">TRANSFER — funds move from one customer account to another.</w:t>
      </w:r>
    </w:p>
    <w:p>
      <w:pPr>
        <w:spacing w:after="160" w:line="276" w:lineRule="auto"/>
      </w:pPr>
      <w:r>
        <w:rPr>
          <w:color w:val="1A1A1A"/>
          <w:sz w:val="21"/>
          <w:szCs w:val="21"/>
        </w:rPr>
        <w:t xml:space="preserve">Because it is simulation-generated, PaySim is not a perfect mirror of reality — some structural regularities (like the way fraud is injected) are artifacts of the simulator, not of real fraud behavior. Part of the job of EDA is to notice these artifacts rather than treat every pattern as a universal truth about fraud.</w:t>
      </w:r>
    </w:p>
    <w:p>
      <w:pPr>
        <w:pStyle w:val="Heading2"/>
        <w:spacing w:after="120" w:before="280"/>
      </w:pPr>
      <w:r>
        <w:rPr>
          <w:b/>
          <w:bCs/>
          <w:color w:val="2E5FA3"/>
          <w:sz w:val="24"/>
          <w:szCs w:val="24"/>
        </w:rPr>
        <w:t xml:space="preserve">4.1 Column-by-Column Reference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240"/>
      </w:tblGrid>
      <w:tr>
        <w:trPr>
          <w:tblHeader/>
        </w:trPr>
        <w:tc>
          <w:tcPr>
            <w:tcW w:type="dxa" w:w="1700"/>
            <w:shd w:fill="2E5FA3" w:color="auto" w:val="clear"/>
            <w:tcMar>
              <w:top w:type="dxa" w:w="80"/>
              <w:left w:type="dxa" w:w="120"/>
              <w:bottom w:type="dxa" w:w="80"/>
              <w:right w:type="dxa" w:w="120"/>
            </w:tcMar>
            <w:vAlign w:val="center"/>
          </w:tcPr>
          <w:p>
            <w:r>
              <w:rPr>
                <w:b/>
                <w:bCs/>
                <w:color w:val="FFFFFF"/>
              </w:rPr>
              <w:t xml:space="preserve">Field</w:t>
            </w:r>
          </w:p>
        </w:tc>
        <w:tc>
          <w:tcPr>
            <w:tcW w:type="dxa" w:w="1300"/>
            <w:shd w:fill="2E5FA3" w:color="auto" w:val="clear"/>
            <w:tcMar>
              <w:top w:type="dxa" w:w="80"/>
              <w:left w:type="dxa" w:w="120"/>
              <w:bottom w:type="dxa" w:w="80"/>
              <w:right w:type="dxa" w:w="120"/>
            </w:tcMar>
            <w:vAlign w:val="center"/>
          </w:tcPr>
          <w:p>
            <w:r>
              <w:rPr>
                <w:b/>
                <w:bCs/>
                <w:color w:val="FFFFFF"/>
              </w:rPr>
              <w:t xml:space="preserve">Type</w:t>
            </w:r>
          </w:p>
        </w:tc>
        <w:tc>
          <w:tcPr>
            <w:tcW w:type="dxa" w:w="6240"/>
            <w:shd w:fill="2E5FA3" w:color="auto" w:val="clear"/>
            <w:tcMar>
              <w:top w:type="dxa" w:w="80"/>
              <w:left w:type="dxa" w:w="120"/>
              <w:bottom w:type="dxa" w:w="80"/>
              <w:right w:type="dxa" w:w="120"/>
            </w:tcMar>
            <w:vAlign w:val="center"/>
          </w:tcPr>
          <w:p>
            <w:r>
              <w:rPr>
                <w:b/>
                <w:bCs/>
                <w:color w:val="FFFFFF"/>
              </w:rPr>
              <w:t xml:space="preserve">Meaning and relevance to fraud detection</w:t>
            </w:r>
          </w:p>
        </w:tc>
      </w:tr>
      <w:tr>
        <w:tc>
          <w:tcPr>
            <w:tcW w:type="dxa" w:w="1700"/>
            <w:tcMar>
              <w:top w:type="dxa" w:w="80"/>
              <w:left w:type="dxa" w:w="120"/>
              <w:bottom w:type="dxa" w:w="80"/>
              <w:right w:type="dxa" w:w="120"/>
            </w:tcMar>
            <w:vAlign w:val="center"/>
          </w:tcPr>
          <w:p>
            <w:r>
              <w:rPr>
                <w:b w:val="false"/>
                <w:bCs w:val="false"/>
                <w:color w:val="1A1A1A"/>
              </w:rPr>
              <w:t xml:space="preserve">step</w:t>
            </w:r>
          </w:p>
        </w:tc>
        <w:tc>
          <w:tcPr>
            <w:tcW w:type="dxa" w:w="1300"/>
            <w:tcMar>
              <w:top w:type="dxa" w:w="80"/>
              <w:left w:type="dxa" w:w="120"/>
              <w:bottom w:type="dxa" w:w="80"/>
              <w:right w:type="dxa" w:w="120"/>
            </w:tcMar>
            <w:vAlign w:val="center"/>
          </w:tcPr>
          <w:p>
            <w:r>
              <w:rPr>
                <w:b w:val="false"/>
                <w:bCs w:val="false"/>
                <w:color w:val="1A1A1A"/>
              </w:rPr>
              <w:t xml:space="preserve">int</w:t>
            </w:r>
          </w:p>
        </w:tc>
        <w:tc>
          <w:tcPr>
            <w:tcW w:type="dxa" w:w="6240"/>
            <w:tcMar>
              <w:top w:type="dxa" w:w="80"/>
              <w:left w:type="dxa" w:w="120"/>
              <w:bottom w:type="dxa" w:w="80"/>
              <w:right w:type="dxa" w:w="120"/>
            </w:tcMar>
            <w:vAlign w:val="center"/>
          </w:tcPr>
          <w:p>
            <w:r>
              <w:rPr>
                <w:b w:val="false"/>
                <w:bCs w:val="false"/>
                <w:color w:val="1A1A1A"/>
              </w:rPr>
              <w:t xml:space="preserve">Simulated hour (1–744). Encodes time-of-day and time-of-month cyclicality; used to build velocity features and to define the train/reference vs. current windows for drift monitoring.</w:t>
            </w:r>
          </w:p>
        </w:tc>
      </w:tr>
      <w:tr>
        <w:tc>
          <w:tcPr>
            <w:tcW w:type="dxa" w:w="1700"/>
            <w:shd w:fill="F2F2F2" w:color="auto" w:val="clear"/>
            <w:tcMar>
              <w:top w:type="dxa" w:w="80"/>
              <w:left w:type="dxa" w:w="120"/>
              <w:bottom w:type="dxa" w:w="80"/>
              <w:right w:type="dxa" w:w="120"/>
            </w:tcMar>
            <w:vAlign w:val="center"/>
          </w:tcPr>
          <w:p>
            <w:r>
              <w:rPr>
                <w:b w:val="false"/>
                <w:bCs w:val="false"/>
                <w:color w:val="1A1A1A"/>
              </w:rPr>
              <w:t xml:space="preserve">type</w:t>
            </w:r>
          </w:p>
        </w:tc>
        <w:tc>
          <w:tcPr>
            <w:tcW w:type="dxa" w:w="1300"/>
            <w:shd w:fill="F2F2F2" w:color="auto" w:val="clear"/>
            <w:tcMar>
              <w:top w:type="dxa" w:w="80"/>
              <w:left w:type="dxa" w:w="120"/>
              <w:bottom w:type="dxa" w:w="80"/>
              <w:right w:type="dxa" w:w="120"/>
            </w:tcMar>
            <w:vAlign w:val="center"/>
          </w:tcPr>
          <w:p>
            <w:r>
              <w:rPr>
                <w:b w:val="false"/>
                <w:bCs w:val="false"/>
                <w:color w:val="1A1A1A"/>
              </w:rPr>
              <w:t xml:space="preserve">categorical</w:t>
            </w:r>
          </w:p>
        </w:tc>
        <w:tc>
          <w:tcPr>
            <w:tcW w:type="dxa" w:w="6240"/>
            <w:shd w:fill="F2F2F2" w:color="auto" w:val="clear"/>
            <w:tcMar>
              <w:top w:type="dxa" w:w="80"/>
              <w:left w:type="dxa" w:w="120"/>
              <w:bottom w:type="dxa" w:w="80"/>
              <w:right w:type="dxa" w:w="120"/>
            </w:tcMar>
            <w:vAlign w:val="center"/>
          </w:tcPr>
          <w:p>
            <w:r>
              <w:rPr>
                <w:b w:val="false"/>
                <w:bCs w:val="false"/>
                <w:color w:val="1A1A1A"/>
              </w:rPr>
              <w:t xml:space="preserve">One of the five transaction types above. Fraud in PaySim is confined almost entirely to TRANSFER and CASH_OUT, making this one of the strongest available signals.</w:t>
            </w:r>
          </w:p>
        </w:tc>
      </w:tr>
      <w:tr>
        <w:tc>
          <w:tcPr>
            <w:tcW w:type="dxa" w:w="1700"/>
            <w:tcMar>
              <w:top w:type="dxa" w:w="80"/>
              <w:left w:type="dxa" w:w="120"/>
              <w:bottom w:type="dxa" w:w="80"/>
              <w:right w:type="dxa" w:w="120"/>
            </w:tcMar>
            <w:vAlign w:val="center"/>
          </w:tcPr>
          <w:p>
            <w:r>
              <w:rPr>
                <w:b w:val="false"/>
                <w:bCs w:val="false"/>
                <w:color w:val="1A1A1A"/>
              </w:rPr>
              <w:t xml:space="preserve">amount</w:t>
            </w:r>
          </w:p>
        </w:tc>
        <w:tc>
          <w:tcPr>
            <w:tcW w:type="dxa" w:w="1300"/>
            <w:tcMar>
              <w:top w:type="dxa" w:w="80"/>
              <w:left w:type="dxa" w:w="120"/>
              <w:bottom w:type="dxa" w:w="80"/>
              <w:right w:type="dxa" w:w="120"/>
            </w:tcMar>
            <w:vAlign w:val="center"/>
          </w:tcPr>
          <w:p>
            <w:r>
              <w:rPr>
                <w:b w:val="false"/>
                <w:bCs w:val="false"/>
                <w:color w:val="1A1A1A"/>
              </w:rPr>
              <w:t xml:space="preserve">float</w:t>
            </w:r>
          </w:p>
        </w:tc>
        <w:tc>
          <w:tcPr>
            <w:tcW w:type="dxa" w:w="6240"/>
            <w:tcMar>
              <w:top w:type="dxa" w:w="80"/>
              <w:left w:type="dxa" w:w="120"/>
              <w:bottom w:type="dxa" w:w="80"/>
              <w:right w:type="dxa" w:w="120"/>
            </w:tcMar>
            <w:vAlign w:val="center"/>
          </w:tcPr>
          <w:p>
            <w:r>
              <w:rPr>
                <w:b w:val="false"/>
                <w:bCs w:val="false"/>
                <w:color w:val="1A1A1A"/>
              </w:rPr>
              <w:t xml:space="preserve">Transaction value in local currency. Heavily right-skewed; large or round amounts can be suspicious depending on context.</w:t>
            </w:r>
          </w:p>
        </w:tc>
      </w:tr>
      <w:tr>
        <w:tc>
          <w:tcPr>
            <w:tcW w:type="dxa" w:w="1700"/>
            <w:shd w:fill="F2F2F2" w:color="auto" w:val="clear"/>
            <w:tcMar>
              <w:top w:type="dxa" w:w="80"/>
              <w:left w:type="dxa" w:w="120"/>
              <w:bottom w:type="dxa" w:w="80"/>
              <w:right w:type="dxa" w:w="120"/>
            </w:tcMar>
            <w:vAlign w:val="center"/>
          </w:tcPr>
          <w:p>
            <w:r>
              <w:rPr>
                <w:b w:val="false"/>
                <w:bCs w:val="false"/>
                <w:color w:val="1A1A1A"/>
              </w:rPr>
              <w:t xml:space="preserve">nameOrig</w:t>
            </w:r>
          </w:p>
        </w:tc>
        <w:tc>
          <w:tcPr>
            <w:tcW w:type="dxa" w:w="1300"/>
            <w:shd w:fill="F2F2F2" w:color="auto" w:val="clear"/>
            <w:tcMar>
              <w:top w:type="dxa" w:w="80"/>
              <w:left w:type="dxa" w:w="120"/>
              <w:bottom w:type="dxa" w:w="80"/>
              <w:right w:type="dxa" w:w="120"/>
            </w:tcMar>
            <w:vAlign w:val="center"/>
          </w:tcPr>
          <w:p>
            <w:r>
              <w:rPr>
                <w:b w:val="false"/>
                <w:bCs w:val="false"/>
                <w:color w:val="1A1A1A"/>
              </w:rPr>
              <w:t xml:space="preserve">string</w:t>
            </w:r>
          </w:p>
        </w:tc>
        <w:tc>
          <w:tcPr>
            <w:tcW w:type="dxa" w:w="6240"/>
            <w:shd w:fill="F2F2F2" w:color="auto" w:val="clear"/>
            <w:tcMar>
              <w:top w:type="dxa" w:w="80"/>
              <w:left w:type="dxa" w:w="120"/>
              <w:bottom w:type="dxa" w:w="80"/>
              <w:right w:type="dxa" w:w="120"/>
            </w:tcMar>
            <w:vAlign w:val="center"/>
          </w:tcPr>
          <w:p>
            <w:r>
              <w:rPr>
                <w:b w:val="false"/>
                <w:bCs w:val="false"/>
                <w:color w:val="1A1A1A"/>
              </w:rPr>
              <w:t xml:space="preserve">Originating customer identifier. Not predictive by itself, but useful as a grouping key for velocity and behavioral features.</w:t>
            </w:r>
          </w:p>
        </w:tc>
      </w:tr>
      <w:tr>
        <w:tc>
          <w:tcPr>
            <w:tcW w:type="dxa" w:w="1700"/>
            <w:tcMar>
              <w:top w:type="dxa" w:w="80"/>
              <w:left w:type="dxa" w:w="120"/>
              <w:bottom w:type="dxa" w:w="80"/>
              <w:right w:type="dxa" w:w="120"/>
            </w:tcMar>
            <w:vAlign w:val="center"/>
          </w:tcPr>
          <w:p>
            <w:r>
              <w:rPr>
                <w:b w:val="false"/>
                <w:bCs w:val="false"/>
                <w:color w:val="1A1A1A"/>
              </w:rPr>
              <w:t xml:space="preserve">oldbalanceOrg</w:t>
            </w:r>
          </w:p>
        </w:tc>
        <w:tc>
          <w:tcPr>
            <w:tcW w:type="dxa" w:w="1300"/>
            <w:tcMar>
              <w:top w:type="dxa" w:w="80"/>
              <w:left w:type="dxa" w:w="120"/>
              <w:bottom w:type="dxa" w:w="80"/>
              <w:right w:type="dxa" w:w="120"/>
            </w:tcMar>
            <w:vAlign w:val="center"/>
          </w:tcPr>
          <w:p>
            <w:r>
              <w:rPr>
                <w:b w:val="false"/>
                <w:bCs w:val="false"/>
                <w:color w:val="1A1A1A"/>
              </w:rPr>
              <w:t xml:space="preserve">float</w:t>
            </w:r>
          </w:p>
        </w:tc>
        <w:tc>
          <w:tcPr>
            <w:tcW w:type="dxa" w:w="6240"/>
            <w:tcMar>
              <w:top w:type="dxa" w:w="80"/>
              <w:left w:type="dxa" w:w="120"/>
              <w:bottom w:type="dxa" w:w="80"/>
              <w:right w:type="dxa" w:w="120"/>
            </w:tcMar>
            <w:vAlign w:val="center"/>
          </w:tcPr>
          <w:p>
            <w:r>
              <w:rPr>
                <w:b w:val="false"/>
                <w:bCs w:val="false"/>
                <w:color w:val="1A1A1A"/>
              </w:rPr>
              <w:t xml:space="preserve">Originator's balance before the transaction.</w:t>
            </w:r>
          </w:p>
        </w:tc>
      </w:tr>
      <w:tr>
        <w:tc>
          <w:tcPr>
            <w:tcW w:type="dxa" w:w="1700"/>
            <w:shd w:fill="F2F2F2" w:color="auto" w:val="clear"/>
            <w:tcMar>
              <w:top w:type="dxa" w:w="80"/>
              <w:left w:type="dxa" w:w="120"/>
              <w:bottom w:type="dxa" w:w="80"/>
              <w:right w:type="dxa" w:w="120"/>
            </w:tcMar>
            <w:vAlign w:val="center"/>
          </w:tcPr>
          <w:p>
            <w:r>
              <w:rPr>
                <w:b w:val="false"/>
                <w:bCs w:val="false"/>
                <w:color w:val="1A1A1A"/>
              </w:rPr>
              <w:t xml:space="preserve">newbalanceOrig</w:t>
            </w:r>
          </w:p>
        </w:tc>
        <w:tc>
          <w:tcPr>
            <w:tcW w:type="dxa" w:w="1300"/>
            <w:shd w:fill="F2F2F2" w:color="auto" w:val="clear"/>
            <w:tcMar>
              <w:top w:type="dxa" w:w="80"/>
              <w:left w:type="dxa" w:w="120"/>
              <w:bottom w:type="dxa" w:w="80"/>
              <w:right w:type="dxa" w:w="120"/>
            </w:tcMar>
            <w:vAlign w:val="center"/>
          </w:tcPr>
          <w:p>
            <w:r>
              <w:rPr>
                <w:b w:val="false"/>
                <w:bCs w:val="false"/>
                <w:color w:val="1A1A1A"/>
              </w:rPr>
              <w:t xml:space="preserve">float</w:t>
            </w:r>
          </w:p>
        </w:tc>
        <w:tc>
          <w:tcPr>
            <w:tcW w:type="dxa" w:w="6240"/>
            <w:shd w:fill="F2F2F2" w:color="auto" w:val="clear"/>
            <w:tcMar>
              <w:top w:type="dxa" w:w="80"/>
              <w:left w:type="dxa" w:w="120"/>
              <w:bottom w:type="dxa" w:w="80"/>
              <w:right w:type="dxa" w:w="120"/>
            </w:tcMar>
            <w:vAlign w:val="center"/>
          </w:tcPr>
          <w:p>
            <w:r>
              <w:rPr>
                <w:b w:val="false"/>
                <w:bCs w:val="false"/>
                <w:color w:val="1A1A1A"/>
              </w:rPr>
              <w:t xml:space="preserve">Originator's balance after the transaction. Compared against oldbalanceOrg and amount to detect balance inconsistencies.</w:t>
            </w:r>
          </w:p>
        </w:tc>
      </w:tr>
      <w:tr>
        <w:tc>
          <w:tcPr>
            <w:tcW w:type="dxa" w:w="1700"/>
            <w:tcMar>
              <w:top w:type="dxa" w:w="80"/>
              <w:left w:type="dxa" w:w="120"/>
              <w:bottom w:type="dxa" w:w="80"/>
              <w:right w:type="dxa" w:w="120"/>
            </w:tcMar>
            <w:vAlign w:val="center"/>
          </w:tcPr>
          <w:p>
            <w:r>
              <w:rPr>
                <w:b w:val="false"/>
                <w:bCs w:val="false"/>
                <w:color w:val="1A1A1A"/>
              </w:rPr>
              <w:t xml:space="preserve">nameDest</w:t>
            </w:r>
          </w:p>
        </w:tc>
        <w:tc>
          <w:tcPr>
            <w:tcW w:type="dxa" w:w="1300"/>
            <w:tcMar>
              <w:top w:type="dxa" w:w="80"/>
              <w:left w:type="dxa" w:w="120"/>
              <w:bottom w:type="dxa" w:w="80"/>
              <w:right w:type="dxa" w:w="120"/>
            </w:tcMar>
            <w:vAlign w:val="center"/>
          </w:tcPr>
          <w:p>
            <w:r>
              <w:rPr>
                <w:b w:val="false"/>
                <w:bCs w:val="false"/>
                <w:color w:val="1A1A1A"/>
              </w:rPr>
              <w:t xml:space="preserve">string</w:t>
            </w:r>
          </w:p>
        </w:tc>
        <w:tc>
          <w:tcPr>
            <w:tcW w:type="dxa" w:w="6240"/>
            <w:tcMar>
              <w:top w:type="dxa" w:w="80"/>
              <w:left w:type="dxa" w:w="120"/>
              <w:bottom w:type="dxa" w:w="80"/>
              <w:right w:type="dxa" w:w="120"/>
            </w:tcMar>
            <w:vAlign w:val="center"/>
          </w:tcPr>
          <w:p>
            <w:r>
              <w:rPr>
                <w:b w:val="false"/>
                <w:bCs w:val="false"/>
                <w:color w:val="1A1A1A"/>
              </w:rPr>
              <w:t xml:space="preserve">Recipient identifier. Merchant accounts (prefix M) behave differently from customer accounts and are usually excluded from certain checks.</w:t>
            </w:r>
          </w:p>
        </w:tc>
      </w:tr>
      <w:tr>
        <w:tc>
          <w:tcPr>
            <w:tcW w:type="dxa" w:w="1700"/>
            <w:shd w:fill="F2F2F2" w:color="auto" w:val="clear"/>
            <w:tcMar>
              <w:top w:type="dxa" w:w="80"/>
              <w:left w:type="dxa" w:w="120"/>
              <w:bottom w:type="dxa" w:w="80"/>
              <w:right w:type="dxa" w:w="120"/>
            </w:tcMar>
            <w:vAlign w:val="center"/>
          </w:tcPr>
          <w:p>
            <w:r>
              <w:rPr>
                <w:b w:val="false"/>
                <w:bCs w:val="false"/>
                <w:color w:val="1A1A1A"/>
              </w:rPr>
              <w:t xml:space="preserve">oldbalanceDest</w:t>
            </w:r>
          </w:p>
        </w:tc>
        <w:tc>
          <w:tcPr>
            <w:tcW w:type="dxa" w:w="1300"/>
            <w:shd w:fill="F2F2F2" w:color="auto" w:val="clear"/>
            <w:tcMar>
              <w:top w:type="dxa" w:w="80"/>
              <w:left w:type="dxa" w:w="120"/>
              <w:bottom w:type="dxa" w:w="80"/>
              <w:right w:type="dxa" w:w="120"/>
            </w:tcMar>
            <w:vAlign w:val="center"/>
          </w:tcPr>
          <w:p>
            <w:r>
              <w:rPr>
                <w:b w:val="false"/>
                <w:bCs w:val="false"/>
                <w:color w:val="1A1A1A"/>
              </w:rPr>
              <w:t xml:space="preserve">float</w:t>
            </w:r>
          </w:p>
        </w:tc>
        <w:tc>
          <w:tcPr>
            <w:tcW w:type="dxa" w:w="6240"/>
            <w:shd w:fill="F2F2F2" w:color="auto" w:val="clear"/>
            <w:tcMar>
              <w:top w:type="dxa" w:w="80"/>
              <w:left w:type="dxa" w:w="120"/>
              <w:bottom w:type="dxa" w:w="80"/>
              <w:right w:type="dxa" w:w="120"/>
            </w:tcMar>
            <w:vAlign w:val="center"/>
          </w:tcPr>
          <w:p>
            <w:r>
              <w:rPr>
                <w:b w:val="false"/>
                <w:bCs w:val="false"/>
                <w:color w:val="1A1A1A"/>
              </w:rPr>
              <w:t xml:space="preserve">Recipient's balance before the transaction (0 for merchants, since PaySim does not simulate merchant balances).</w:t>
            </w:r>
          </w:p>
        </w:tc>
      </w:tr>
      <w:tr>
        <w:tc>
          <w:tcPr>
            <w:tcW w:type="dxa" w:w="1700"/>
            <w:tcMar>
              <w:top w:type="dxa" w:w="80"/>
              <w:left w:type="dxa" w:w="120"/>
              <w:bottom w:type="dxa" w:w="80"/>
              <w:right w:type="dxa" w:w="120"/>
            </w:tcMar>
            <w:vAlign w:val="center"/>
          </w:tcPr>
          <w:p>
            <w:r>
              <w:rPr>
                <w:b w:val="false"/>
                <w:bCs w:val="false"/>
                <w:color w:val="1A1A1A"/>
              </w:rPr>
              <w:t xml:space="preserve">newbalanceDest</w:t>
            </w:r>
          </w:p>
        </w:tc>
        <w:tc>
          <w:tcPr>
            <w:tcW w:type="dxa" w:w="1300"/>
            <w:tcMar>
              <w:top w:type="dxa" w:w="80"/>
              <w:left w:type="dxa" w:w="120"/>
              <w:bottom w:type="dxa" w:w="80"/>
              <w:right w:type="dxa" w:w="120"/>
            </w:tcMar>
            <w:vAlign w:val="center"/>
          </w:tcPr>
          <w:p>
            <w:r>
              <w:rPr>
                <w:b w:val="false"/>
                <w:bCs w:val="false"/>
                <w:color w:val="1A1A1A"/>
              </w:rPr>
              <w:t xml:space="preserve">float</w:t>
            </w:r>
          </w:p>
        </w:tc>
        <w:tc>
          <w:tcPr>
            <w:tcW w:type="dxa" w:w="6240"/>
            <w:tcMar>
              <w:top w:type="dxa" w:w="80"/>
              <w:left w:type="dxa" w:w="120"/>
              <w:bottom w:type="dxa" w:w="80"/>
              <w:right w:type="dxa" w:w="120"/>
            </w:tcMar>
            <w:vAlign w:val="center"/>
          </w:tcPr>
          <w:p>
            <w:r>
              <w:rPr>
                <w:b w:val="false"/>
                <w:bCs w:val="false"/>
                <w:color w:val="1A1A1A"/>
              </w:rPr>
              <w:t xml:space="preserve">Recipient's balance after the transaction.</w:t>
            </w:r>
          </w:p>
        </w:tc>
      </w:tr>
      <w:tr>
        <w:tc>
          <w:tcPr>
            <w:tcW w:type="dxa" w:w="1700"/>
            <w:shd w:fill="F2F2F2" w:color="auto" w:val="clear"/>
            <w:tcMar>
              <w:top w:type="dxa" w:w="80"/>
              <w:left w:type="dxa" w:w="120"/>
              <w:bottom w:type="dxa" w:w="80"/>
              <w:right w:type="dxa" w:w="120"/>
            </w:tcMar>
            <w:vAlign w:val="center"/>
          </w:tcPr>
          <w:p>
            <w:r>
              <w:rPr>
                <w:b w:val="false"/>
                <w:bCs w:val="false"/>
                <w:color w:val="1A1A1A"/>
              </w:rPr>
              <w:t xml:space="preserve">isFraud</w:t>
            </w:r>
          </w:p>
        </w:tc>
        <w:tc>
          <w:tcPr>
            <w:tcW w:type="dxa" w:w="1300"/>
            <w:shd w:fill="F2F2F2" w:color="auto" w:val="clear"/>
            <w:tcMar>
              <w:top w:type="dxa" w:w="80"/>
              <w:left w:type="dxa" w:w="120"/>
              <w:bottom w:type="dxa" w:w="80"/>
              <w:right w:type="dxa" w:w="120"/>
            </w:tcMar>
            <w:vAlign w:val="center"/>
          </w:tcPr>
          <w:p>
            <w:r>
              <w:rPr>
                <w:b w:val="false"/>
                <w:bCs w:val="false"/>
                <w:color w:val="1A1A1A"/>
              </w:rPr>
              <w:t xml:space="preserve">binary</w:t>
            </w:r>
          </w:p>
        </w:tc>
        <w:tc>
          <w:tcPr>
            <w:tcW w:type="dxa" w:w="6240"/>
            <w:shd w:fill="F2F2F2" w:color="auto" w:val="clear"/>
            <w:tcMar>
              <w:top w:type="dxa" w:w="80"/>
              <w:left w:type="dxa" w:w="120"/>
              <w:bottom w:type="dxa" w:w="80"/>
              <w:right w:type="dxa" w:w="120"/>
            </w:tcMar>
            <w:vAlign w:val="center"/>
          </w:tcPr>
          <w:p>
            <w:r>
              <w:rPr>
                <w:b w:val="false"/>
                <w:bCs w:val="false"/>
                <w:color w:val="1A1A1A"/>
              </w:rPr>
              <w:t xml:space="preserve">Ground-truth label. Reserved strictly for evaluation — never used as a model feature, since the project trains an unsupervised detector.</w:t>
            </w:r>
          </w:p>
        </w:tc>
      </w:tr>
      <w:tr>
        <w:tc>
          <w:tcPr>
            <w:tcW w:type="dxa" w:w="1700"/>
            <w:tcMar>
              <w:top w:type="dxa" w:w="80"/>
              <w:left w:type="dxa" w:w="120"/>
              <w:bottom w:type="dxa" w:w="80"/>
              <w:right w:type="dxa" w:w="120"/>
            </w:tcMar>
            <w:vAlign w:val="center"/>
          </w:tcPr>
          <w:p>
            <w:r>
              <w:rPr>
                <w:b w:val="false"/>
                <w:bCs w:val="false"/>
                <w:color w:val="1A1A1A"/>
              </w:rPr>
              <w:t xml:space="preserve">isFlaggedFraud</w:t>
            </w:r>
          </w:p>
        </w:tc>
        <w:tc>
          <w:tcPr>
            <w:tcW w:type="dxa" w:w="1300"/>
            <w:tcMar>
              <w:top w:type="dxa" w:w="80"/>
              <w:left w:type="dxa" w:w="120"/>
              <w:bottom w:type="dxa" w:w="80"/>
              <w:right w:type="dxa" w:w="120"/>
            </w:tcMar>
            <w:vAlign w:val="center"/>
          </w:tcPr>
          <w:p>
            <w:r>
              <w:rPr>
                <w:b w:val="false"/>
                <w:bCs w:val="false"/>
                <w:color w:val="1A1A1A"/>
              </w:rPr>
              <w:t xml:space="preserve">binary</w:t>
            </w:r>
          </w:p>
        </w:tc>
        <w:tc>
          <w:tcPr>
            <w:tcW w:type="dxa" w:w="6240"/>
            <w:tcMar>
              <w:top w:type="dxa" w:w="80"/>
              <w:left w:type="dxa" w:w="120"/>
              <w:bottom w:type="dxa" w:w="80"/>
              <w:right w:type="dxa" w:w="120"/>
            </w:tcMar>
            <w:vAlign w:val="center"/>
          </w:tcPr>
          <w:p>
            <w:r>
              <w:rPr>
                <w:b w:val="false"/>
                <w:bCs w:val="false"/>
                <w:color w:val="1A1A1A"/>
              </w:rPr>
              <w:t xml:space="preserve">A rule-based flag from PaySim's own built-in business-rule simulator (large single transfers). Not the same as isFraud and should not be treated as a second label.</w:t>
            </w:r>
          </w:p>
        </w:tc>
      </w:tr>
    </w:tbl>
    <w:p>
      <w:pPr>
        <w:spacing w:after="200"/>
      </w:pPr>
      <w:r>
        <w:rPr>
          <w:i/>
          <w:iCs/>
          <w:color w:val="595959"/>
          <w:sz w:val="18"/>
          <w:szCs w:val="18"/>
        </w:rPr>
        <w:t xml:space="preserve">Table 2. PaySim column reference.</w:t>
      </w:r>
    </w:p>
    <w:p>
      <w:pPr>
        <w:pStyle w:val="Heading2"/>
        <w:spacing w:after="120" w:before="280"/>
      </w:pPr>
      <w:r>
        <w:rPr>
          <w:b/>
          <w:bCs/>
          <w:color w:val="2E5FA3"/>
          <w:sz w:val="24"/>
          <w:szCs w:val="24"/>
        </w:rPr>
        <w:t xml:space="preserve">4.2 Why Class Imbalance Matters Here</w:t>
      </w:r>
    </w:p>
    <w:p>
      <w:pPr>
        <w:spacing w:after="160" w:line="276" w:lineRule="auto"/>
      </w:pPr>
      <w:r>
        <w:rPr>
          <w:color w:val="1A1A1A"/>
          <w:sz w:val="21"/>
          <w:szCs w:val="21"/>
        </w:rPr>
        <w:t xml:space="preserve">Fraudulent transactions make up roughly 0.13% of the full PaySim release (about 8,213 of 6,362,620 records). This is not a minor detail — it shapes almost every later decision:</w:t>
      </w:r>
    </w:p>
    <w:p>
      <w:pPr>
        <w:pStyle w:val="ListParagraph"/>
        <w:numPr>
          <w:ilvl w:val="0"/>
          <w:numId w:val="2"/>
        </w:numPr>
        <w:spacing w:after="80" w:line="264" w:lineRule="auto"/>
      </w:pPr>
      <w:r>
        <w:rPr>
          <w:color w:val="1A1A1A"/>
          <w:sz w:val="21"/>
          <w:szCs w:val="21"/>
        </w:rPr>
        <w:t xml:space="preserve">It rules out accuracy as an evaluation metric (a model predicting "not fraud" for everything scores 99.87%).</w:t>
      </w:r>
    </w:p>
    <w:p>
      <w:pPr>
        <w:pStyle w:val="ListParagraph"/>
        <w:numPr>
          <w:ilvl w:val="0"/>
          <w:numId w:val="2"/>
        </w:numPr>
        <w:spacing w:after="80" w:line="264" w:lineRule="auto"/>
      </w:pPr>
      <w:r>
        <w:rPr>
          <w:color w:val="1A1A1A"/>
          <w:sz w:val="21"/>
          <w:szCs w:val="21"/>
        </w:rPr>
        <w:t xml:space="preserve">It motivates the project's unsupervised approach — with so few positive examples, a supervised classifier tends to memorize the specific fraud patterns present in the simulation rather than generalize.</w:t>
      </w:r>
    </w:p>
    <w:p>
      <w:pPr>
        <w:pStyle w:val="ListParagraph"/>
        <w:numPr>
          <w:ilvl w:val="0"/>
          <w:numId w:val="2"/>
        </w:numPr>
        <w:spacing w:after="80" w:line="264" w:lineRule="auto"/>
      </w:pPr>
      <w:r>
        <w:rPr>
          <w:color w:val="1A1A1A"/>
          <w:sz w:val="21"/>
          <w:szCs w:val="21"/>
        </w:rPr>
        <w:t xml:space="preserve">It means visualizations of fraud must often use log scales, filtered subsets, or separate plots — a linear-scale histogram of all transactions will make the fraud cases invisible.</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left w:val="single" w:color="2E5FA3" w:sz="24" w:space="8"/>
        </w:pBdr>
        <w:shd w:fill="F2F2F2" w:color="auto" w:val="clear"/>
        <w:spacing w:after="60"/>
        <w:ind w:left="120"/>
      </w:pPr>
      <w:r>
        <w:rPr>
          <w:color w:val="1A1A1A"/>
          <w:sz w:val="21"/>
          <w:szCs w:val="21"/>
        </w:rPr>
        <w:t xml:space="preserve">Read the schema before you read the data — knowing what a column is supposed to mean lets you immediately spot values that shouldn't be possible.</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Class imbalance is a first-class fact about this dataset, not an edge case to handle later; it should influence how you visualize, split, and evaluate from the very first notebook cell.</w:t>
      </w:r>
    </w:p>
    <w:p>
      <w:r>
        <w:br w:type="page"/>
      </w:r>
    </w:p>
    <w:p>
      <w:pPr>
        <w:pStyle w:val="Heading1"/>
        <w:pBdr>
          <w:bottom w:val="single" w:color="2E5FA3" w:sz="6" w:space="4"/>
        </w:pBdr>
        <w:spacing w:after="160" w:before="400"/>
      </w:pPr>
      <w:r>
        <w:rPr>
          <w:b/>
          <w:bCs/>
          <w:color w:val="1A1A1A"/>
          <w:sz w:val="30"/>
          <w:szCs w:val="30"/>
        </w:rPr>
        <w:t xml:space="preserve">5. Exploratory Data Analysis Workflow</w:t>
      </w:r>
    </w:p>
    <w:p>
      <w:pPr>
        <w:spacing w:after="160" w:line="276" w:lineRule="auto"/>
      </w:pPr>
      <w:r>
        <w:rPr>
          <w:color w:val="1A1A1A"/>
          <w:sz w:val="21"/>
          <w:szCs w:val="21"/>
        </w:rPr>
        <w:t xml:space="preserve">EDA is not a single step — it is a sequence of increasingly specific questions. Each stage below builds on the answers from the previous one, and each stage can surface a finding that sends you back to an earlier stage (e.g., an outlier that turns out to be a duplicate record).</w:t>
      </w:r>
    </w:p>
    <w:p>
      <w:pPr>
        <w:shd w:fill="F2F2F2" w:color="auto" w:val="clear"/>
        <w:spacing w:after="160" w:before="80"/>
      </w:pPr>
      <w:r>
        <w:rPr>
          <w:rFonts w:ascii="Consolas" w:cs="Consolas" w:eastAsia="Consolas" w:hAnsi="Consolas"/>
          <w:color w:val="1A1A1A"/>
          <w:sz w:val="18"/>
          <w:szCs w:val="18"/>
        </w:rPr>
        <w:t xml:space="preserve">Raw Dataset</w:t>
      </w:r>
      <w:r>
        <w:rPr>
          <w:rFonts w:ascii="Consolas" w:cs="Consolas" w:eastAsia="Consolas" w:hAnsi="Consolas"/>
          <w:color w:val="1A1A1A"/>
          <w:sz w:val="18"/>
          <w:szCs w:val="18"/>
        </w:rPr>
        <w:br/>
      </w:r>
      <w:r>
        <w:rPr>
          <w:rFonts w:ascii="Consolas" w:cs="Consolas" w:eastAsia="Consolas" w:hAnsi="Consolas"/>
          <w:color w:val="1A1A1A"/>
          <w:sz w:val="18"/>
          <w:szCs w:val="18"/>
        </w:rPr>
        <w:t xml:space="preserve">     |</w:t>
      </w:r>
      <w:r>
        <w:rPr>
          <w:rFonts w:ascii="Consolas" w:cs="Consolas" w:eastAsia="Consolas" w:hAnsi="Consolas"/>
          <w:color w:val="1A1A1A"/>
          <w:sz w:val="18"/>
          <w:szCs w:val="18"/>
        </w:rPr>
        <w:br/>
      </w:r>
      <w:r>
        <w:rPr>
          <w:rFonts w:ascii="Consolas" w:cs="Consolas" w:eastAsia="Consolas" w:hAnsi="Consolas"/>
          <w:color w:val="1A1A1A"/>
          <w:sz w:val="18"/>
          <w:szCs w:val="18"/>
        </w:rPr>
        <w:t xml:space="preserve">     v</w:t>
      </w:r>
      <w:r>
        <w:rPr>
          <w:rFonts w:ascii="Consolas" w:cs="Consolas" w:eastAsia="Consolas" w:hAnsi="Consolas"/>
          <w:color w:val="1A1A1A"/>
          <w:sz w:val="18"/>
          <w:szCs w:val="18"/>
        </w:rPr>
        <w:br/>
      </w:r>
      <w:r>
        <w:rPr>
          <w:rFonts w:ascii="Consolas" w:cs="Consolas" w:eastAsia="Consolas" w:hAnsi="Consolas"/>
          <w:color w:val="1A1A1A"/>
          <w:sz w:val="18"/>
          <w:szCs w:val="18"/>
        </w:rPr>
        <w:t xml:space="preserve">Inspect Dataset (shape, dtypes, memory)</w:t>
      </w:r>
      <w:r>
        <w:rPr>
          <w:rFonts w:ascii="Consolas" w:cs="Consolas" w:eastAsia="Consolas" w:hAnsi="Consolas"/>
          <w:color w:val="1A1A1A"/>
          <w:sz w:val="18"/>
          <w:szCs w:val="18"/>
        </w:rPr>
        <w:br/>
      </w:r>
      <w:r>
        <w:rPr>
          <w:rFonts w:ascii="Consolas" w:cs="Consolas" w:eastAsia="Consolas" w:hAnsi="Consolas"/>
          <w:color w:val="1A1A1A"/>
          <w:sz w:val="18"/>
          <w:szCs w:val="18"/>
        </w:rPr>
        <w:t xml:space="preserve">     |</w:t>
      </w:r>
      <w:r>
        <w:rPr>
          <w:rFonts w:ascii="Consolas" w:cs="Consolas" w:eastAsia="Consolas" w:hAnsi="Consolas"/>
          <w:color w:val="1A1A1A"/>
          <w:sz w:val="18"/>
          <w:szCs w:val="18"/>
        </w:rPr>
        <w:br/>
      </w:r>
      <w:r>
        <w:rPr>
          <w:rFonts w:ascii="Consolas" w:cs="Consolas" w:eastAsia="Consolas" w:hAnsi="Consolas"/>
          <w:color w:val="1A1A1A"/>
          <w:sz w:val="18"/>
          <w:szCs w:val="18"/>
        </w:rPr>
        <w:t xml:space="preserve">     v</w:t>
      </w:r>
      <w:r>
        <w:rPr>
          <w:rFonts w:ascii="Consolas" w:cs="Consolas" w:eastAsia="Consolas" w:hAnsi="Consolas"/>
          <w:color w:val="1A1A1A"/>
          <w:sz w:val="18"/>
          <w:szCs w:val="18"/>
        </w:rPr>
        <w:br/>
      </w:r>
      <w:r>
        <w:rPr>
          <w:rFonts w:ascii="Consolas" w:cs="Consolas" w:eastAsia="Consolas" w:hAnsi="Consolas"/>
          <w:color w:val="1A1A1A"/>
          <w:sz w:val="18"/>
          <w:szCs w:val="18"/>
        </w:rPr>
        <w:t xml:space="preserve">Understand Variables (what does each column mean?)</w:t>
      </w:r>
      <w:r>
        <w:rPr>
          <w:rFonts w:ascii="Consolas" w:cs="Consolas" w:eastAsia="Consolas" w:hAnsi="Consolas"/>
          <w:color w:val="1A1A1A"/>
          <w:sz w:val="18"/>
          <w:szCs w:val="18"/>
        </w:rPr>
        <w:br/>
      </w:r>
      <w:r>
        <w:rPr>
          <w:rFonts w:ascii="Consolas" w:cs="Consolas" w:eastAsia="Consolas" w:hAnsi="Consolas"/>
          <w:color w:val="1A1A1A"/>
          <w:sz w:val="18"/>
          <w:szCs w:val="18"/>
        </w:rPr>
        <w:t xml:space="preserve">     |</w:t>
      </w:r>
      <w:r>
        <w:rPr>
          <w:rFonts w:ascii="Consolas" w:cs="Consolas" w:eastAsia="Consolas" w:hAnsi="Consolas"/>
          <w:color w:val="1A1A1A"/>
          <w:sz w:val="18"/>
          <w:szCs w:val="18"/>
        </w:rPr>
        <w:br/>
      </w:r>
      <w:r>
        <w:rPr>
          <w:rFonts w:ascii="Consolas" w:cs="Consolas" w:eastAsia="Consolas" w:hAnsi="Consolas"/>
          <w:color w:val="1A1A1A"/>
          <w:sz w:val="18"/>
          <w:szCs w:val="18"/>
        </w:rPr>
        <w:t xml:space="preserve">     v</w:t>
      </w:r>
      <w:r>
        <w:rPr>
          <w:rFonts w:ascii="Consolas" w:cs="Consolas" w:eastAsia="Consolas" w:hAnsi="Consolas"/>
          <w:color w:val="1A1A1A"/>
          <w:sz w:val="18"/>
          <w:szCs w:val="18"/>
        </w:rPr>
        <w:br/>
      </w:r>
      <w:r>
        <w:rPr>
          <w:rFonts w:ascii="Consolas" w:cs="Consolas" w:eastAsia="Consolas" w:hAnsi="Consolas"/>
          <w:color w:val="1A1A1A"/>
          <w:sz w:val="18"/>
          <w:szCs w:val="18"/>
        </w:rPr>
        <w:t xml:space="preserve">Find Missing Values</w:t>
      </w:r>
      <w:r>
        <w:rPr>
          <w:rFonts w:ascii="Consolas" w:cs="Consolas" w:eastAsia="Consolas" w:hAnsi="Consolas"/>
          <w:color w:val="1A1A1A"/>
          <w:sz w:val="18"/>
          <w:szCs w:val="18"/>
        </w:rPr>
        <w:br/>
      </w:r>
      <w:r>
        <w:rPr>
          <w:rFonts w:ascii="Consolas" w:cs="Consolas" w:eastAsia="Consolas" w:hAnsi="Consolas"/>
          <w:color w:val="1A1A1A"/>
          <w:sz w:val="18"/>
          <w:szCs w:val="18"/>
        </w:rPr>
        <w:t xml:space="preserve">     |</w:t>
      </w:r>
      <w:r>
        <w:rPr>
          <w:rFonts w:ascii="Consolas" w:cs="Consolas" w:eastAsia="Consolas" w:hAnsi="Consolas"/>
          <w:color w:val="1A1A1A"/>
          <w:sz w:val="18"/>
          <w:szCs w:val="18"/>
        </w:rPr>
        <w:br/>
      </w:r>
      <w:r>
        <w:rPr>
          <w:rFonts w:ascii="Consolas" w:cs="Consolas" w:eastAsia="Consolas" w:hAnsi="Consolas"/>
          <w:color w:val="1A1A1A"/>
          <w:sz w:val="18"/>
          <w:szCs w:val="18"/>
        </w:rPr>
        <w:t xml:space="preserve">     v</w:t>
      </w:r>
      <w:r>
        <w:rPr>
          <w:rFonts w:ascii="Consolas" w:cs="Consolas" w:eastAsia="Consolas" w:hAnsi="Consolas"/>
          <w:color w:val="1A1A1A"/>
          <w:sz w:val="18"/>
          <w:szCs w:val="18"/>
        </w:rPr>
        <w:br/>
      </w:r>
      <w:r>
        <w:rPr>
          <w:rFonts w:ascii="Consolas" w:cs="Consolas" w:eastAsia="Consolas" w:hAnsi="Consolas"/>
          <w:color w:val="1A1A1A"/>
          <w:sz w:val="18"/>
          <w:szCs w:val="18"/>
        </w:rPr>
        <w:t xml:space="preserve">Detect Duplicates</w:t>
      </w:r>
      <w:r>
        <w:rPr>
          <w:rFonts w:ascii="Consolas" w:cs="Consolas" w:eastAsia="Consolas" w:hAnsi="Consolas"/>
          <w:color w:val="1A1A1A"/>
          <w:sz w:val="18"/>
          <w:szCs w:val="18"/>
        </w:rPr>
        <w:br/>
      </w:r>
      <w:r>
        <w:rPr>
          <w:rFonts w:ascii="Consolas" w:cs="Consolas" w:eastAsia="Consolas" w:hAnsi="Consolas"/>
          <w:color w:val="1A1A1A"/>
          <w:sz w:val="18"/>
          <w:szCs w:val="18"/>
        </w:rPr>
        <w:t xml:space="preserve">     |</w:t>
      </w:r>
      <w:r>
        <w:rPr>
          <w:rFonts w:ascii="Consolas" w:cs="Consolas" w:eastAsia="Consolas" w:hAnsi="Consolas"/>
          <w:color w:val="1A1A1A"/>
          <w:sz w:val="18"/>
          <w:szCs w:val="18"/>
        </w:rPr>
        <w:br/>
      </w:r>
      <w:r>
        <w:rPr>
          <w:rFonts w:ascii="Consolas" w:cs="Consolas" w:eastAsia="Consolas" w:hAnsi="Consolas"/>
          <w:color w:val="1A1A1A"/>
          <w:sz w:val="18"/>
          <w:szCs w:val="18"/>
        </w:rPr>
        <w:t xml:space="preserve">     v</w:t>
      </w:r>
      <w:r>
        <w:rPr>
          <w:rFonts w:ascii="Consolas" w:cs="Consolas" w:eastAsia="Consolas" w:hAnsi="Consolas"/>
          <w:color w:val="1A1A1A"/>
          <w:sz w:val="18"/>
          <w:szCs w:val="18"/>
        </w:rPr>
        <w:br/>
      </w:r>
      <w:r>
        <w:rPr>
          <w:rFonts w:ascii="Consolas" w:cs="Consolas" w:eastAsia="Consolas" w:hAnsi="Consolas"/>
          <w:color w:val="1A1A1A"/>
          <w:sz w:val="18"/>
          <w:szCs w:val="18"/>
        </w:rPr>
        <w:t xml:space="preserve">Analyze Distributions</w:t>
      </w:r>
      <w:r>
        <w:rPr>
          <w:rFonts w:ascii="Consolas" w:cs="Consolas" w:eastAsia="Consolas" w:hAnsi="Consolas"/>
          <w:color w:val="1A1A1A"/>
          <w:sz w:val="18"/>
          <w:szCs w:val="18"/>
        </w:rPr>
        <w:br/>
      </w:r>
      <w:r>
        <w:rPr>
          <w:rFonts w:ascii="Consolas" w:cs="Consolas" w:eastAsia="Consolas" w:hAnsi="Consolas"/>
          <w:color w:val="1A1A1A"/>
          <w:sz w:val="18"/>
          <w:szCs w:val="18"/>
        </w:rPr>
        <w:t xml:space="preserve">     |</w:t>
      </w:r>
      <w:r>
        <w:rPr>
          <w:rFonts w:ascii="Consolas" w:cs="Consolas" w:eastAsia="Consolas" w:hAnsi="Consolas"/>
          <w:color w:val="1A1A1A"/>
          <w:sz w:val="18"/>
          <w:szCs w:val="18"/>
        </w:rPr>
        <w:br/>
      </w:r>
      <w:r>
        <w:rPr>
          <w:rFonts w:ascii="Consolas" w:cs="Consolas" w:eastAsia="Consolas" w:hAnsi="Consolas"/>
          <w:color w:val="1A1A1A"/>
          <w:sz w:val="18"/>
          <w:szCs w:val="18"/>
        </w:rPr>
        <w:t xml:space="preserve">     v</w:t>
      </w:r>
      <w:r>
        <w:rPr>
          <w:rFonts w:ascii="Consolas" w:cs="Consolas" w:eastAsia="Consolas" w:hAnsi="Consolas"/>
          <w:color w:val="1A1A1A"/>
          <w:sz w:val="18"/>
          <w:szCs w:val="18"/>
        </w:rPr>
        <w:br/>
      </w:r>
      <w:r>
        <w:rPr>
          <w:rFonts w:ascii="Consolas" w:cs="Consolas" w:eastAsia="Consolas" w:hAnsi="Consolas"/>
          <w:color w:val="1A1A1A"/>
          <w:sz w:val="18"/>
          <w:szCs w:val="18"/>
        </w:rPr>
        <w:t xml:space="preserve">Study Relationships (correlation, feature vs. fraud)</w:t>
      </w:r>
      <w:r>
        <w:rPr>
          <w:rFonts w:ascii="Consolas" w:cs="Consolas" w:eastAsia="Consolas" w:hAnsi="Consolas"/>
          <w:color w:val="1A1A1A"/>
          <w:sz w:val="18"/>
          <w:szCs w:val="18"/>
        </w:rPr>
        <w:br/>
      </w:r>
      <w:r>
        <w:rPr>
          <w:rFonts w:ascii="Consolas" w:cs="Consolas" w:eastAsia="Consolas" w:hAnsi="Consolas"/>
          <w:color w:val="1A1A1A"/>
          <w:sz w:val="18"/>
          <w:szCs w:val="18"/>
        </w:rPr>
        <w:t xml:space="preserve">     |</w:t>
      </w:r>
      <w:r>
        <w:rPr>
          <w:rFonts w:ascii="Consolas" w:cs="Consolas" w:eastAsia="Consolas" w:hAnsi="Consolas"/>
          <w:color w:val="1A1A1A"/>
          <w:sz w:val="18"/>
          <w:szCs w:val="18"/>
        </w:rPr>
        <w:br/>
      </w:r>
      <w:r>
        <w:rPr>
          <w:rFonts w:ascii="Consolas" w:cs="Consolas" w:eastAsia="Consolas" w:hAnsi="Consolas"/>
          <w:color w:val="1A1A1A"/>
          <w:sz w:val="18"/>
          <w:szCs w:val="18"/>
        </w:rPr>
        <w:t xml:space="preserve">     v</w:t>
      </w:r>
      <w:r>
        <w:rPr>
          <w:rFonts w:ascii="Consolas" w:cs="Consolas" w:eastAsia="Consolas" w:hAnsi="Consolas"/>
          <w:color w:val="1A1A1A"/>
          <w:sz w:val="18"/>
          <w:szCs w:val="18"/>
        </w:rPr>
        <w:br/>
      </w:r>
      <w:r>
        <w:rPr>
          <w:rFonts w:ascii="Consolas" w:cs="Consolas" w:eastAsia="Consolas" w:hAnsi="Consolas"/>
          <w:color w:val="1A1A1A"/>
          <w:sz w:val="18"/>
          <w:szCs w:val="18"/>
        </w:rPr>
        <w:t xml:space="preserve">Detect Outliers</w:t>
      </w:r>
      <w:r>
        <w:rPr>
          <w:rFonts w:ascii="Consolas" w:cs="Consolas" w:eastAsia="Consolas" w:hAnsi="Consolas"/>
          <w:color w:val="1A1A1A"/>
          <w:sz w:val="18"/>
          <w:szCs w:val="18"/>
        </w:rPr>
        <w:br/>
      </w:r>
      <w:r>
        <w:rPr>
          <w:rFonts w:ascii="Consolas" w:cs="Consolas" w:eastAsia="Consolas" w:hAnsi="Consolas"/>
          <w:color w:val="1A1A1A"/>
          <w:sz w:val="18"/>
          <w:szCs w:val="18"/>
        </w:rPr>
        <w:t xml:space="preserve">     |</w:t>
      </w:r>
      <w:r>
        <w:rPr>
          <w:rFonts w:ascii="Consolas" w:cs="Consolas" w:eastAsia="Consolas" w:hAnsi="Consolas"/>
          <w:color w:val="1A1A1A"/>
          <w:sz w:val="18"/>
          <w:szCs w:val="18"/>
        </w:rPr>
        <w:br/>
      </w:r>
      <w:r>
        <w:rPr>
          <w:rFonts w:ascii="Consolas" w:cs="Consolas" w:eastAsia="Consolas" w:hAnsi="Consolas"/>
          <w:color w:val="1A1A1A"/>
          <w:sz w:val="18"/>
          <w:szCs w:val="18"/>
        </w:rPr>
        <w:t xml:space="preserve">     v</w:t>
      </w:r>
      <w:r>
        <w:rPr>
          <w:rFonts w:ascii="Consolas" w:cs="Consolas" w:eastAsia="Consolas" w:hAnsi="Consolas"/>
          <w:color w:val="1A1A1A"/>
          <w:sz w:val="18"/>
          <w:szCs w:val="18"/>
        </w:rPr>
        <w:br/>
      </w:r>
      <w:r>
        <w:rPr>
          <w:rFonts w:ascii="Consolas" w:cs="Consolas" w:eastAsia="Consolas" w:hAnsi="Consolas"/>
          <w:color w:val="1A1A1A"/>
          <w:sz w:val="18"/>
          <w:szCs w:val="18"/>
        </w:rPr>
        <w:t xml:space="preserve">Assess Data Quality (impossible values, inconsistent records)</w:t>
      </w:r>
      <w:r>
        <w:rPr>
          <w:rFonts w:ascii="Consolas" w:cs="Consolas" w:eastAsia="Consolas" w:hAnsi="Consolas"/>
          <w:color w:val="1A1A1A"/>
          <w:sz w:val="18"/>
          <w:szCs w:val="18"/>
        </w:rPr>
        <w:br/>
      </w:r>
      <w:r>
        <w:rPr>
          <w:rFonts w:ascii="Consolas" w:cs="Consolas" w:eastAsia="Consolas" w:hAnsi="Consolas"/>
          <w:color w:val="1A1A1A"/>
          <w:sz w:val="18"/>
          <w:szCs w:val="18"/>
        </w:rPr>
        <w:t xml:space="preserve">     |</w:t>
      </w:r>
      <w:r>
        <w:rPr>
          <w:rFonts w:ascii="Consolas" w:cs="Consolas" w:eastAsia="Consolas" w:hAnsi="Consolas"/>
          <w:color w:val="1A1A1A"/>
          <w:sz w:val="18"/>
          <w:szCs w:val="18"/>
        </w:rPr>
        <w:br/>
      </w:r>
      <w:r>
        <w:rPr>
          <w:rFonts w:ascii="Consolas" w:cs="Consolas" w:eastAsia="Consolas" w:hAnsi="Consolas"/>
          <w:color w:val="1A1A1A"/>
          <w:sz w:val="18"/>
          <w:szCs w:val="18"/>
        </w:rPr>
        <w:t xml:space="preserve">     v</w:t>
      </w:r>
      <w:r>
        <w:rPr>
          <w:rFonts w:ascii="Consolas" w:cs="Consolas" w:eastAsia="Consolas" w:hAnsi="Consolas"/>
          <w:color w:val="1A1A1A"/>
          <w:sz w:val="18"/>
          <w:szCs w:val="18"/>
        </w:rPr>
        <w:br/>
      </w:r>
      <w:r>
        <w:rPr>
          <w:rFonts w:ascii="Consolas" w:cs="Consolas" w:eastAsia="Consolas" w:hAnsi="Consolas"/>
          <w:color w:val="1A1A1A"/>
          <w:sz w:val="18"/>
          <w:szCs w:val="18"/>
        </w:rPr>
        <w:t xml:space="preserve">Identify Cleaning Requirements</w:t>
      </w:r>
      <w:r>
        <w:rPr>
          <w:rFonts w:ascii="Consolas" w:cs="Consolas" w:eastAsia="Consolas" w:hAnsi="Consolas"/>
          <w:color w:val="1A1A1A"/>
          <w:sz w:val="18"/>
          <w:szCs w:val="18"/>
        </w:rPr>
        <w:br/>
      </w:r>
      <w:r>
        <w:rPr>
          <w:rFonts w:ascii="Consolas" w:cs="Consolas" w:eastAsia="Consolas" w:hAnsi="Consolas"/>
          <w:color w:val="1A1A1A"/>
          <w:sz w:val="18"/>
          <w:szCs w:val="18"/>
        </w:rPr>
        <w:t xml:space="preserve">     |</w:t>
      </w:r>
      <w:r>
        <w:rPr>
          <w:rFonts w:ascii="Consolas" w:cs="Consolas" w:eastAsia="Consolas" w:hAnsi="Consolas"/>
          <w:color w:val="1A1A1A"/>
          <w:sz w:val="18"/>
          <w:szCs w:val="18"/>
        </w:rPr>
        <w:br/>
      </w:r>
      <w:r>
        <w:rPr>
          <w:rFonts w:ascii="Consolas" w:cs="Consolas" w:eastAsia="Consolas" w:hAnsi="Consolas"/>
          <w:color w:val="1A1A1A"/>
          <w:sz w:val="18"/>
          <w:szCs w:val="18"/>
        </w:rPr>
        <w:t xml:space="preserve">     v</w:t>
      </w:r>
      <w:r>
        <w:rPr>
          <w:rFonts w:ascii="Consolas" w:cs="Consolas" w:eastAsia="Consolas" w:hAnsi="Consolas"/>
          <w:color w:val="1A1A1A"/>
          <w:sz w:val="18"/>
          <w:szCs w:val="18"/>
        </w:rPr>
        <w:br/>
      </w:r>
      <w:r>
        <w:rPr>
          <w:rFonts w:ascii="Consolas" w:cs="Consolas" w:eastAsia="Consolas" w:hAnsi="Consolas"/>
          <w:color w:val="1A1A1A"/>
          <w:sz w:val="18"/>
          <w:szCs w:val="18"/>
        </w:rPr>
        <w:t xml:space="preserve">Generate Clean Dataset</w:t>
      </w:r>
    </w:p>
    <w:p>
      <w:pPr>
        <w:spacing w:after="200"/>
      </w:pPr>
      <w:r>
        <w:rPr>
          <w:i/>
          <w:iCs/>
          <w:color w:val="595959"/>
          <w:sz w:val="18"/>
          <w:szCs w:val="18"/>
        </w:rPr>
        <w:t xml:space="preserve">Figure 1. The EDA workflow. Each stage is a checkpoint, not a checkbox — a surprising result at any stage is a valid reason to loop back.</w:t>
      </w:r>
    </w:p>
    <w:p>
      <w:pPr>
        <w:spacing w:after="160" w:line="276" w:lineRule="auto"/>
      </w:pPr>
      <w:r>
        <w:rPr>
          <w:color w:val="1A1A1A"/>
          <w:sz w:val="21"/>
          <w:szCs w:val="21"/>
        </w:rPr>
        <w:t xml:space="preserve">A short description of each stage:</w:t>
      </w:r>
    </w:p>
    <w:p>
      <w:pPr>
        <w:spacing w:after="160" w:line="276" w:lineRule="auto"/>
      </w:pPr>
      <w:r>
        <w:rPr>
          <w:color w:val="1A1A1A"/>
          <w:sz w:val="21"/>
          <w:szCs w:val="21"/>
        </w:rPr>
        <w:t xml:space="preserve">Inspect Dataset — confirm the data loaded correctly: row/column counts, dtypes, and memory footprint.</w:t>
      </w:r>
    </w:p>
    <w:p>
      <w:pPr>
        <w:spacing w:after="160" w:line="276" w:lineRule="auto"/>
      </w:pPr>
      <w:r>
        <w:rPr>
          <w:color w:val="1A1A1A"/>
          <w:sz w:val="21"/>
          <w:szCs w:val="21"/>
        </w:rPr>
        <w:t xml:space="preserve">Understand Variables — map every column to a real-world meaning before computing anything about it.</w:t>
      </w:r>
    </w:p>
    <w:p>
      <w:pPr>
        <w:spacing w:after="160" w:line="276" w:lineRule="auto"/>
      </w:pPr>
      <w:r>
        <w:rPr>
          <w:color w:val="1A1A1A"/>
          <w:sz w:val="21"/>
          <w:szCs w:val="21"/>
        </w:rPr>
        <w:t xml:space="preserve">Find Missing Values — locate NaNs, nulls, and disguised missingness (e.g., empty strings, sentinel values like -1).</w:t>
      </w:r>
    </w:p>
    <w:p>
      <w:pPr>
        <w:spacing w:after="160" w:line="276" w:lineRule="auto"/>
      </w:pPr>
      <w:r>
        <w:rPr>
          <w:color w:val="1A1A1A"/>
          <w:sz w:val="21"/>
          <w:szCs w:val="21"/>
        </w:rPr>
        <w:t xml:space="preserve">Detect Duplicates — find exact and logical duplicate records that would otherwise double-count events.</w:t>
      </w:r>
    </w:p>
    <w:p>
      <w:pPr>
        <w:spacing w:after="160" w:line="276" w:lineRule="auto"/>
      </w:pPr>
      <w:r>
        <w:rPr>
          <w:color w:val="1A1A1A"/>
          <w:sz w:val="21"/>
          <w:szCs w:val="21"/>
        </w:rPr>
        <w:t xml:space="preserve">Analyze Distributions — understand the shape of each numeric feature (skew, spread, multi-modality).</w:t>
      </w:r>
    </w:p>
    <w:p>
      <w:pPr>
        <w:spacing w:after="160" w:line="276" w:lineRule="auto"/>
      </w:pPr>
      <w:r>
        <w:rPr>
          <w:color w:val="1A1A1A"/>
          <w:sz w:val="21"/>
          <w:szCs w:val="21"/>
        </w:rPr>
        <w:t xml:space="preserve">Study Relationships — examine how features relate to each other and to the fraud label.</w:t>
      </w:r>
    </w:p>
    <w:p>
      <w:pPr>
        <w:spacing w:after="160" w:line="276" w:lineRule="auto"/>
      </w:pPr>
      <w:r>
        <w:rPr>
          <w:color w:val="1A1A1A"/>
          <w:sz w:val="21"/>
          <w:szCs w:val="21"/>
        </w:rPr>
        <w:t xml:space="preserve">Detect Outliers — separate "extreme but valid" from "impossible or erroneous" values.</w:t>
      </w:r>
    </w:p>
    <w:p>
      <w:pPr>
        <w:spacing w:after="160" w:line="276" w:lineRule="auto"/>
      </w:pPr>
      <w:r>
        <w:rPr>
          <w:color w:val="1A1A1A"/>
          <w:sz w:val="21"/>
          <w:szCs w:val="21"/>
        </w:rPr>
        <w:t xml:space="preserve">Assess Data Quality — catalogue structural problems: invalid balances, wrong dtypes, inconsistent records.</w:t>
      </w:r>
    </w:p>
    <w:p>
      <w:pPr>
        <w:spacing w:after="160" w:line="276" w:lineRule="auto"/>
      </w:pPr>
      <w:r>
        <w:rPr>
          <w:color w:val="1A1A1A"/>
          <w:sz w:val="21"/>
          <w:szCs w:val="21"/>
        </w:rPr>
        <w:t xml:space="preserve">Identify Cleaning Requirements — turn every finding above into a concrete, justified cleaning rule.</w:t>
      </w:r>
    </w:p>
    <w:p>
      <w:pPr>
        <w:spacing w:after="160" w:line="276" w:lineRule="auto"/>
      </w:pPr>
      <w:r>
        <w:rPr>
          <w:color w:val="1A1A1A"/>
          <w:sz w:val="21"/>
          <w:szCs w:val="21"/>
        </w:rPr>
        <w:t xml:space="preserve">Generate Clean Dataset — apply the rules and persist a versioned, reproducible clean dataset.</w:t>
      </w:r>
    </w:p>
    <w:p>
      <w:r>
        <w:br w:type="page"/>
      </w:r>
    </w:p>
    <w:p>
      <w:pPr>
        <w:pStyle w:val="Heading1"/>
        <w:pBdr>
          <w:bottom w:val="single" w:color="2E5FA3" w:sz="6" w:space="4"/>
        </w:pBdr>
        <w:spacing w:after="160" w:before="400"/>
      </w:pPr>
      <w:r>
        <w:rPr>
          <w:b/>
          <w:bCs/>
          <w:color w:val="1A1A1A"/>
          <w:sz w:val="30"/>
          <w:szCs w:val="30"/>
        </w:rPr>
        <w:t xml:space="preserve">6. Complete EDA Guide</w:t>
      </w:r>
    </w:p>
    <w:p>
      <w:pPr>
        <w:spacing w:after="160" w:line="276" w:lineRule="auto"/>
      </w:pPr>
      <w:r>
        <w:rPr>
          <w:color w:val="1A1A1A"/>
          <w:sz w:val="21"/>
          <w:szCs w:val="21"/>
        </w:rPr>
        <w:t xml:space="preserve">This section is the reference core of the document. Each topic follows the same four-question structure so you can use it as a checklist while working in the notebook: What is it, why do we do it, how do we do it, and how do the results change the ML pipeline downstream.</w:t>
      </w:r>
    </w:p>
    <w:p>
      <w:pPr>
        <w:pStyle w:val="Heading2"/>
        <w:spacing w:after="120" w:before="280"/>
      </w:pPr>
      <w:r>
        <w:rPr>
          <w:b/>
          <w:bCs/>
          <w:color w:val="2E5FA3"/>
          <w:sz w:val="24"/>
          <w:szCs w:val="24"/>
        </w:rPr>
        <w:t xml:space="preserve">6.1 Dataset Overview</w:t>
      </w:r>
    </w:p>
    <w:p>
      <w:pPr>
        <w:pStyle w:val="Heading3"/>
        <w:spacing w:after="80" w:before="200"/>
      </w:pPr>
      <w:r>
        <w:rPr>
          <w:b/>
          <w:bCs/>
          <w:color w:val="1F4D78"/>
          <w:sz w:val="22"/>
          <w:szCs w:val="22"/>
        </w:rPr>
        <w:t xml:space="preserve">Explain</w:t>
      </w:r>
    </w:p>
    <w:p>
      <w:pPr>
        <w:spacing w:after="160" w:line="276" w:lineRule="auto"/>
      </w:pPr>
      <w:r>
        <w:rPr>
          <w:color w:val="1A1A1A"/>
          <w:sz w:val="21"/>
          <w:szCs w:val="21"/>
        </w:rPr>
        <w:t xml:space="preserve">The first look at a dataset: its shape (rows × columns), the datatype of every column, column names, and how much memory it occupies in its current form.</w:t>
      </w:r>
    </w:p>
    <w:p>
      <w:pPr>
        <w:pStyle w:val="Heading3"/>
        <w:spacing w:after="80" w:before="200"/>
      </w:pPr>
      <w:r>
        <w:rPr>
          <w:b/>
          <w:bCs/>
          <w:color w:val="1F4D78"/>
          <w:sz w:val="22"/>
          <w:szCs w:val="22"/>
        </w:rPr>
        <w:t xml:space="preserve">Why</w:t>
      </w:r>
    </w:p>
    <w:p>
      <w:pPr>
        <w:spacing w:after="160" w:line="276" w:lineRule="auto"/>
      </w:pPr>
      <w:r>
        <w:rPr>
          <w:color w:val="1A1A1A"/>
          <w:sz w:val="21"/>
          <w:szCs w:val="21"/>
        </w:rPr>
        <w:t xml:space="preserve">You cannot reason about a dataset you haven't measured. Shape tells you whether you're working with a sample or the full population; dtypes tell you whether Pandas has misread a column (e.g., a numeric ID read as a string); memory usage tells you whether you need chunked loading before you even start.</w:t>
      </w:r>
    </w:p>
    <w:p>
      <w:pPr>
        <w:pStyle w:val="Heading3"/>
        <w:spacing w:after="80" w:before="200"/>
      </w:pPr>
      <w:r>
        <w:rPr>
          <w:b/>
          <w:bCs/>
          <w:color w:val="1F4D78"/>
          <w:sz w:val="22"/>
          <w:szCs w:val="22"/>
        </w:rPr>
        <w:t xml:space="preserve">How</w:t>
      </w:r>
    </w:p>
    <w:p>
      <w:pPr>
        <w:shd w:fill="F2F2F2" w:color="auto" w:val="clear"/>
        <w:spacing w:after="160" w:before="80"/>
      </w:pPr>
      <w:r>
        <w:rPr>
          <w:rFonts w:ascii="Consolas" w:cs="Consolas" w:eastAsia="Consolas" w:hAnsi="Consolas"/>
          <w:color w:val="1A1A1A"/>
          <w:sz w:val="18"/>
          <w:szCs w:val="18"/>
        </w:rPr>
        <w:t xml:space="preserve">df = pd.read_csv("paysim.csv")</w:t>
      </w:r>
      <w:r>
        <w:rPr>
          <w:rFonts w:ascii="Consolas" w:cs="Consolas" w:eastAsia="Consolas" w:hAnsi="Consolas"/>
          <w:color w:val="1A1A1A"/>
          <w:sz w:val="18"/>
          <w:szCs w:val="18"/>
        </w:rPr>
        <w:br/>
      </w:r>
      <w:r>
        <w:rPr>
          <w:rFonts w:ascii="Consolas" w:cs="Consolas" w:eastAsia="Consolas" w:hAnsi="Consolas"/>
          <w:color w:val="1A1A1A"/>
          <w:sz w:val="18"/>
          <w:szCs w:val="18"/>
        </w:rPr>
        <w:t xml:space="preserve">df.shape</w:t>
      </w:r>
      <w:r>
        <w:rPr>
          <w:rFonts w:ascii="Consolas" w:cs="Consolas" w:eastAsia="Consolas" w:hAnsi="Consolas"/>
          <w:color w:val="1A1A1A"/>
          <w:sz w:val="18"/>
          <w:szCs w:val="18"/>
        </w:rPr>
        <w:br/>
      </w:r>
      <w:r>
        <w:rPr>
          <w:rFonts w:ascii="Consolas" w:cs="Consolas" w:eastAsia="Consolas" w:hAnsi="Consolas"/>
          <w:color w:val="1A1A1A"/>
          <w:sz w:val="18"/>
          <w:szCs w:val="18"/>
        </w:rPr>
        <w:t xml:space="preserve">df.info()</w:t>
      </w:r>
      <w:r>
        <w:rPr>
          <w:rFonts w:ascii="Consolas" w:cs="Consolas" w:eastAsia="Consolas" w:hAnsi="Consolas"/>
          <w:color w:val="1A1A1A"/>
          <w:sz w:val="18"/>
          <w:szCs w:val="18"/>
        </w:rPr>
        <w:br/>
      </w:r>
      <w:r>
        <w:rPr>
          <w:rFonts w:ascii="Consolas" w:cs="Consolas" w:eastAsia="Consolas" w:hAnsi="Consolas"/>
          <w:color w:val="1A1A1A"/>
          <w:sz w:val="18"/>
          <w:szCs w:val="18"/>
        </w:rPr>
        <w:t xml:space="preserve">df.memory_usage(deep=True).sum() / 1e6  # MB</w:t>
      </w:r>
    </w:p>
    <w:p>
      <w:pPr>
        <w:pStyle w:val="Heading3"/>
        <w:spacing w:after="80" w:before="200"/>
      </w:pPr>
      <w:r>
        <w:rPr>
          <w:b/>
          <w:bCs/>
          <w:color w:val="1F4D78"/>
          <w:sz w:val="22"/>
          <w:szCs w:val="22"/>
        </w:rPr>
        <w:t xml:space="preserve">Interpretation</w:t>
      </w:r>
    </w:p>
    <w:p>
      <w:pPr>
        <w:spacing w:after="160" w:line="276" w:lineRule="auto"/>
      </w:pPr>
      <w:r>
        <w:rPr>
          <w:color w:val="1A1A1A"/>
          <w:sz w:val="21"/>
          <w:szCs w:val="21"/>
        </w:rPr>
        <w:t xml:space="preserve">A shape mismatch against the documented dataset size means a truncated download or a bad delimiter. A dtype of object on a column you expect to be numeric almost always means hidden non-numeric values (blank strings, stray text) are present.</w:t>
      </w:r>
    </w:p>
    <w:p>
      <w:pPr>
        <w:pStyle w:val="Heading3"/>
        <w:spacing w:after="80" w:before="200"/>
      </w:pPr>
      <w:r>
        <w:rPr>
          <w:b/>
          <w:bCs/>
          <w:color w:val="1F4D78"/>
          <w:sz w:val="22"/>
          <w:szCs w:val="22"/>
        </w:rPr>
        <w:t xml:space="preserve">Impact on the ML Pipeline</w:t>
      </w:r>
    </w:p>
    <w:p>
      <w:pPr>
        <w:spacing w:after="160" w:line="276" w:lineRule="auto"/>
      </w:pPr>
      <w:r>
        <w:rPr>
          <w:color w:val="1A1A1A"/>
          <w:sz w:val="21"/>
          <w:szCs w:val="21"/>
        </w:rPr>
        <w:t xml:space="preserve">Correct dtypes early — every later groupby, join, and model fit assumes consistent types. Getting this wrong silently breaks aggregations further downstream, often without an error.</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left w:val="single" w:color="2E5FA3" w:sz="24" w:space="8"/>
        </w:pBdr>
        <w:shd w:fill="F2F2F2" w:color="auto" w:val="clear"/>
        <w:spacing w:after="60"/>
        <w:ind w:left="120"/>
      </w:pPr>
      <w:r>
        <w:rPr>
          <w:color w:val="1A1A1A"/>
          <w:sz w:val="21"/>
          <w:szCs w:val="21"/>
        </w:rPr>
        <w:t xml:space="preserve">Always check df.info() before anything else — it is the fastest way to catch a broken load.</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Memory usage on the full PaySim CSV motivates chunked reading, which is why preprocessing/ingest.py in Document 1 reads in 500k-row batches.</w:t>
      </w:r>
    </w:p>
    <w:p>
      <w:pPr>
        <w:pStyle w:val="Heading2"/>
        <w:spacing w:after="120" w:before="280"/>
      </w:pPr>
      <w:r>
        <w:rPr>
          <w:b/>
          <w:bCs/>
          <w:color w:val="2E5FA3"/>
          <w:sz w:val="24"/>
          <w:szCs w:val="24"/>
        </w:rPr>
        <w:t xml:space="preserve">6.2 Descriptive Statistics</w:t>
      </w:r>
    </w:p>
    <w:p>
      <w:pPr>
        <w:pStyle w:val="Heading3"/>
        <w:spacing w:after="80" w:before="200"/>
      </w:pPr>
      <w:r>
        <w:rPr>
          <w:b/>
          <w:bCs/>
          <w:color w:val="1F4D78"/>
          <w:sz w:val="22"/>
          <w:szCs w:val="22"/>
        </w:rPr>
        <w:t xml:space="preserve">Explain</w:t>
      </w:r>
    </w:p>
    <w:p>
      <w:pPr>
        <w:spacing w:after="160" w:line="276" w:lineRule="auto"/>
      </w:pPr>
      <w:r>
        <w:rPr>
          <w:color w:val="1A1A1A"/>
          <w:sz w:val="21"/>
          <w:szCs w:val="21"/>
        </w:rPr>
        <w:t xml:space="preserve">Summary numbers — mean, median, mode, standard deviation, quartiles, skewness, and variance — that condense a column's distribution into a handful of comparable values.</w:t>
      </w:r>
    </w:p>
    <w:p>
      <w:pPr>
        <w:pStyle w:val="Heading3"/>
        <w:spacing w:after="80" w:before="200"/>
      </w:pPr>
      <w:r>
        <w:rPr>
          <w:b/>
          <w:bCs/>
          <w:color w:val="1F4D78"/>
          <w:sz w:val="22"/>
          <w:szCs w:val="22"/>
        </w:rPr>
        <w:t xml:space="preserve">Why</w:t>
      </w:r>
    </w:p>
    <w:p>
      <w:pPr>
        <w:spacing w:after="160" w:line="276" w:lineRule="auto"/>
      </w:pPr>
      <w:r>
        <w:rPr>
          <w:color w:val="1A1A1A"/>
          <w:sz w:val="21"/>
          <w:szCs w:val="21"/>
        </w:rPr>
        <w:t xml:space="preserve">A single number like the mean can be dangerously misleading on its own (a few huge fraud-adjacent transfers can pull the mean of amount far above what a typical transaction looks like). Looking at the full set of summary statistics together reveals the shape a single number would hide.</w:t>
      </w:r>
    </w:p>
    <w:p>
      <w:pPr>
        <w:pStyle w:val="Heading3"/>
        <w:spacing w:after="80" w:before="200"/>
      </w:pPr>
      <w:r>
        <w:rPr>
          <w:b/>
          <w:bCs/>
          <w:color w:val="1F4D78"/>
          <w:sz w:val="22"/>
          <w:szCs w:val="22"/>
        </w:rPr>
        <w:t xml:space="preserve">How</w:t>
      </w:r>
    </w:p>
    <w:p>
      <w:pPr>
        <w:shd w:fill="F2F2F2" w:color="auto" w:val="clear"/>
        <w:spacing w:after="160" w:before="80"/>
      </w:pPr>
      <w:r>
        <w:rPr>
          <w:rFonts w:ascii="Consolas" w:cs="Consolas" w:eastAsia="Consolas" w:hAnsi="Consolas"/>
          <w:color w:val="1A1A1A"/>
          <w:sz w:val="18"/>
          <w:szCs w:val="18"/>
        </w:rPr>
        <w:t xml:space="preserve">df.describe()</w:t>
      </w:r>
      <w:r>
        <w:rPr>
          <w:rFonts w:ascii="Consolas" w:cs="Consolas" w:eastAsia="Consolas" w:hAnsi="Consolas"/>
          <w:color w:val="1A1A1A"/>
          <w:sz w:val="18"/>
          <w:szCs w:val="18"/>
        </w:rPr>
        <w:br/>
      </w:r>
      <w:r>
        <w:rPr>
          <w:rFonts w:ascii="Consolas" w:cs="Consolas" w:eastAsia="Consolas" w:hAnsi="Consolas"/>
          <w:color w:val="1A1A1A"/>
          <w:sz w:val="18"/>
          <w:szCs w:val="18"/>
        </w:rPr>
        <w:t xml:space="preserve">df['amount'].skew()</w:t>
      </w:r>
      <w:r>
        <w:rPr>
          <w:rFonts w:ascii="Consolas" w:cs="Consolas" w:eastAsia="Consolas" w:hAnsi="Consolas"/>
          <w:color w:val="1A1A1A"/>
          <w:sz w:val="18"/>
          <w:szCs w:val="18"/>
        </w:rPr>
        <w:br/>
      </w:r>
      <w:r>
        <w:rPr>
          <w:rFonts w:ascii="Consolas" w:cs="Consolas" w:eastAsia="Consolas" w:hAnsi="Consolas"/>
          <w:color w:val="1A1A1A"/>
          <w:sz w:val="18"/>
          <w:szCs w:val="18"/>
        </w:rPr>
        <w:t xml:space="preserve">df['amount'].std() / df['amount'].mean()  # coefficient of variation</w:t>
      </w:r>
    </w:p>
    <w:p>
      <w:pPr>
        <w:pStyle w:val="Heading3"/>
        <w:spacing w:after="80" w:before="200"/>
      </w:pPr>
      <w:r>
        <w:rPr>
          <w:b/>
          <w:bCs/>
          <w:color w:val="1F4D78"/>
          <w:sz w:val="22"/>
          <w:szCs w:val="22"/>
        </w:rPr>
        <w:t xml:space="preserve">Interpretation</w:t>
      </w:r>
    </w:p>
    <w:p>
      <w:pPr>
        <w:spacing w:after="160" w:line="276" w:lineRule="auto"/>
      </w:pPr>
      <w:r>
        <w:rPr>
          <w:color w:val="1A1A1A"/>
          <w:sz w:val="21"/>
          <w:szCs w:val="21"/>
        </w:rPr>
        <w:t xml:space="preserve">If the mean is far above the median, the distribution is right-skewed — common for financial amounts, and a strong signal that a log transform will help downstream models. A standard deviation larger than the mean usually indicates a long tail or a mixture of very different transaction sizes.</w:t>
      </w:r>
    </w:p>
    <w:p>
      <w:pPr>
        <w:pStyle w:val="Heading3"/>
        <w:spacing w:after="80" w:before="200"/>
      </w:pPr>
      <w:r>
        <w:rPr>
          <w:b/>
          <w:bCs/>
          <w:color w:val="1F4D78"/>
          <w:sz w:val="22"/>
          <w:szCs w:val="22"/>
        </w:rPr>
        <w:t xml:space="preserve">Impact on the ML Pipeline</w:t>
      </w:r>
    </w:p>
    <w:p>
      <w:pPr>
        <w:spacing w:after="160" w:line="276" w:lineRule="auto"/>
      </w:pPr>
      <w:r>
        <w:rPr>
          <w:color w:val="1A1A1A"/>
          <w:sz w:val="21"/>
          <w:szCs w:val="21"/>
        </w:rPr>
        <w:t xml:space="preserve">Skewed features are candidates for log or Box-Cox transforms before they reach the Isolation Forest — tree-based models handle skew better than linear models, but extreme skew can still dominate split decisions and drown out subtler signals.</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left w:val="single" w:color="2E5FA3" w:sz="24" w:space="8"/>
        </w:pBdr>
        <w:shd w:fill="F2F2F2" w:color="auto" w:val="clear"/>
        <w:spacing w:after="60"/>
        <w:ind w:left="120"/>
      </w:pPr>
      <w:r>
        <w:rPr>
          <w:color w:val="1A1A1A"/>
          <w:sz w:val="21"/>
          <w:szCs w:val="21"/>
        </w:rPr>
        <w:t xml:space="preserve">Never trust the mean alone; always view it next to the median and standard deviation.</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High skew on amount is expected for PaySim and directly motivates the logAmount feature from Document 1.</w:t>
      </w:r>
    </w:p>
    <w:p>
      <w:pPr>
        <w:pStyle w:val="Heading2"/>
        <w:spacing w:after="120" w:before="280"/>
      </w:pPr>
      <w:r>
        <w:rPr>
          <w:b/>
          <w:bCs/>
          <w:color w:val="2E5FA3"/>
          <w:sz w:val="24"/>
          <w:szCs w:val="24"/>
        </w:rPr>
        <w:t xml:space="preserve">6.3 Missing Value Analysis</w:t>
      </w:r>
    </w:p>
    <w:p>
      <w:pPr>
        <w:pStyle w:val="Heading3"/>
        <w:spacing w:after="80" w:before="200"/>
      </w:pPr>
      <w:r>
        <w:rPr>
          <w:b/>
          <w:bCs/>
          <w:color w:val="1F4D78"/>
          <w:sz w:val="22"/>
          <w:szCs w:val="22"/>
        </w:rPr>
        <w:t xml:space="preserve">Explain</w:t>
      </w:r>
    </w:p>
    <w:p>
      <w:pPr>
        <w:spacing w:after="160" w:line="276" w:lineRule="auto"/>
      </w:pPr>
      <w:r>
        <w:rPr>
          <w:color w:val="1A1A1A"/>
          <w:sz w:val="21"/>
          <w:szCs w:val="21"/>
        </w:rPr>
        <w:t xml:space="preserve">The systematic search for absent data: true nulls/NaN, but also disguised missingness like empty strings, whitespace-only fields, or sentinel values (e.g., -1 or 0 used to mean "unknown").</w:t>
      </w:r>
    </w:p>
    <w:p>
      <w:pPr>
        <w:pStyle w:val="Heading3"/>
        <w:spacing w:after="80" w:before="200"/>
      </w:pPr>
      <w:r>
        <w:rPr>
          <w:b/>
          <w:bCs/>
          <w:color w:val="1F4D78"/>
          <w:sz w:val="22"/>
          <w:szCs w:val="22"/>
        </w:rPr>
        <w:t xml:space="preserve">Why</w:t>
      </w:r>
    </w:p>
    <w:p>
      <w:pPr>
        <w:spacing w:after="160" w:line="276" w:lineRule="auto"/>
      </w:pPr>
      <w:r>
        <w:rPr>
          <w:color w:val="1A1A1A"/>
          <w:sz w:val="21"/>
          <w:szCs w:val="21"/>
        </w:rPr>
        <w:t xml:space="preserve">Missing data breaks assumptions silently. A model trained on rows with missing values dropped may learn from a biased subset; one trained with naive imputation may learn from fabricated signal. You have to know the missingness exists — and why — before you can decide what to do about it.</w:t>
      </w:r>
    </w:p>
    <w:p>
      <w:pPr>
        <w:pStyle w:val="Heading3"/>
        <w:spacing w:after="80" w:before="200"/>
      </w:pPr>
      <w:r>
        <w:rPr>
          <w:b/>
          <w:bCs/>
          <w:color w:val="1F4D78"/>
          <w:sz w:val="22"/>
          <w:szCs w:val="22"/>
        </w:rPr>
        <w:t xml:space="preserve">How</w:t>
      </w:r>
    </w:p>
    <w:p>
      <w:pPr>
        <w:shd w:fill="F2F2F2" w:color="auto" w:val="clear"/>
        <w:spacing w:after="160" w:before="80"/>
      </w:pPr>
      <w:r>
        <w:rPr>
          <w:rFonts w:ascii="Consolas" w:cs="Consolas" w:eastAsia="Consolas" w:hAnsi="Consolas"/>
          <w:color w:val="1A1A1A"/>
          <w:sz w:val="18"/>
          <w:szCs w:val="18"/>
        </w:rPr>
        <w:t xml:space="preserve">df.isnull().sum()</w:t>
      </w:r>
      <w:r>
        <w:rPr>
          <w:rFonts w:ascii="Consolas" w:cs="Consolas" w:eastAsia="Consolas" w:hAnsi="Consolas"/>
          <w:color w:val="1A1A1A"/>
          <w:sz w:val="18"/>
          <w:szCs w:val="18"/>
        </w:rPr>
        <w:br/>
      </w:r>
      <w:r>
        <w:rPr>
          <w:rFonts w:ascii="Consolas" w:cs="Consolas" w:eastAsia="Consolas" w:hAnsi="Consolas"/>
          <w:color w:val="1A1A1A"/>
          <w:sz w:val="18"/>
          <w:szCs w:val="18"/>
        </w:rPr>
        <w:t xml:space="preserve">(df == '').sum()          # disguised missingness</w:t>
      </w:r>
      <w:r>
        <w:rPr>
          <w:rFonts w:ascii="Consolas" w:cs="Consolas" w:eastAsia="Consolas" w:hAnsi="Consolas"/>
          <w:color w:val="1A1A1A"/>
          <w:sz w:val="18"/>
          <w:szCs w:val="18"/>
        </w:rPr>
        <w:br/>
      </w:r>
      <w:r>
        <w:rPr>
          <w:rFonts w:ascii="Consolas" w:cs="Consolas" w:eastAsia="Consolas" w:hAnsi="Consolas"/>
          <w:color w:val="1A1A1A"/>
          <w:sz w:val="18"/>
          <w:szCs w:val="18"/>
        </w:rPr>
        <w:t xml:space="preserve">(df['oldbalanceOrg'] == 0).mean()  # sentinel-style zeros</w:t>
      </w:r>
    </w:p>
    <w:p>
      <w:pPr>
        <w:pStyle w:val="Heading3"/>
        <w:spacing w:after="80" w:before="200"/>
      </w:pPr>
      <w:r>
        <w:rPr>
          <w:b/>
          <w:bCs/>
          <w:color w:val="1F4D78"/>
          <w:sz w:val="22"/>
          <w:szCs w:val="22"/>
        </w:rPr>
        <w:t xml:space="preserve">Interpretation</w:t>
      </w:r>
    </w:p>
    <w:p>
      <w:pPr>
        <w:spacing w:after="160" w:line="276" w:lineRule="auto"/>
      </w:pPr>
      <w:r>
        <w:rPr>
          <w:color w:val="1A1A1A"/>
          <w:sz w:val="21"/>
          <w:szCs w:val="21"/>
        </w:rPr>
        <w:t xml:space="preserve">PaySim itself is largely complete for its core numeric fields, but derived or joined datasets in later stages (e.g., feature snapshots) can introduce missingness that the raw CSV doesn't have. Distinguish "truly unknown" from "structurally zero" — a merchant's oldbalanceDest of 0 is expected, not missing.</w:t>
      </w:r>
    </w:p>
    <w:p>
      <w:pPr>
        <w:pStyle w:val="Heading3"/>
        <w:spacing w:after="80" w:before="200"/>
      </w:pPr>
      <w:r>
        <w:rPr>
          <w:b/>
          <w:bCs/>
          <w:color w:val="1F4D78"/>
          <w:sz w:val="22"/>
          <w:szCs w:val="22"/>
        </w:rPr>
        <w:t xml:space="preserve">Impact on the ML Pipeline</w:t>
      </w:r>
    </w:p>
    <w:p>
      <w:pPr>
        <w:spacing w:after="160" w:line="276" w:lineRule="auto"/>
      </w:pPr>
      <w:r>
        <w:rPr>
          <w:color w:val="1A1A1A"/>
          <w:sz w:val="21"/>
          <w:szCs w:val="21"/>
        </w:rPr>
        <w:t xml:space="preserve">The chosen strategy changes what the training set actually represents:</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Missingness should be measured and documented per-column, not handled with a single blanket .dropna() or .fillna(0) call.</w:t>
      </w:r>
    </w:p>
    <w:p>
      <w:pPr>
        <w:pStyle w:val="Heading3"/>
        <w:spacing w:after="80" w:before="200"/>
      </w:pPr>
      <w:r>
        <w:rPr>
          <w:b/>
          <w:bCs/>
          <w:color w:val="1F4D78"/>
          <w:sz w:val="22"/>
          <w:szCs w:val="22"/>
        </w:rPr>
        <w:t xml:space="preserve">Strategy Comparison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40"/>
      </w:tblGrid>
      <w:tr>
        <w:trPr>
          <w:tblHeader/>
        </w:trPr>
        <w:tc>
          <w:tcPr>
            <w:tcW w:type="dxa" w:w="2400"/>
            <w:shd w:fill="2E5FA3" w:color="auto" w:val="clear"/>
            <w:tcMar>
              <w:top w:type="dxa" w:w="80"/>
              <w:left w:type="dxa" w:w="120"/>
              <w:bottom w:type="dxa" w:w="80"/>
              <w:right w:type="dxa" w:w="120"/>
            </w:tcMar>
            <w:vAlign w:val="center"/>
          </w:tcPr>
          <w:p>
            <w:r>
              <w:rPr>
                <w:b/>
                <w:bCs/>
                <w:color w:val="FFFFFF"/>
              </w:rPr>
              <w:t xml:space="preserve">Strategy</w:t>
            </w:r>
          </w:p>
        </w:tc>
        <w:tc>
          <w:tcPr>
            <w:tcW w:type="dxa" w:w="3600"/>
            <w:shd w:fill="2E5FA3" w:color="auto" w:val="clear"/>
            <w:tcMar>
              <w:top w:type="dxa" w:w="80"/>
              <w:left w:type="dxa" w:w="120"/>
              <w:bottom w:type="dxa" w:w="80"/>
              <w:right w:type="dxa" w:w="120"/>
            </w:tcMar>
            <w:vAlign w:val="center"/>
          </w:tcPr>
          <w:p>
            <w:r>
              <w:rPr>
                <w:b/>
                <w:bCs/>
                <w:color w:val="FFFFFF"/>
              </w:rPr>
              <w:t xml:space="preserve">When it's appropriate</w:t>
            </w:r>
          </w:p>
        </w:tc>
        <w:tc>
          <w:tcPr>
            <w:tcW w:type="dxa" w:w="3240"/>
            <w:shd w:fill="2E5FA3" w:color="auto" w:val="clear"/>
            <w:tcMar>
              <w:top w:type="dxa" w:w="80"/>
              <w:left w:type="dxa" w:w="120"/>
              <w:bottom w:type="dxa" w:w="80"/>
              <w:right w:type="dxa" w:w="120"/>
            </w:tcMar>
            <w:vAlign w:val="center"/>
          </w:tcPr>
          <w:p>
            <w:r>
              <w:rPr>
                <w:b/>
                <w:bCs/>
                <w:color w:val="FFFFFF"/>
              </w:rPr>
              <w:t xml:space="preserve">Risk if misused</w:t>
            </w:r>
          </w:p>
        </w:tc>
      </w:tr>
      <w:tr>
        <w:tc>
          <w:tcPr>
            <w:tcW w:type="dxa" w:w="2400"/>
            <w:tcMar>
              <w:top w:type="dxa" w:w="80"/>
              <w:left w:type="dxa" w:w="120"/>
              <w:bottom w:type="dxa" w:w="80"/>
              <w:right w:type="dxa" w:w="120"/>
            </w:tcMar>
            <w:vAlign w:val="center"/>
          </w:tcPr>
          <w:p>
            <w:r>
              <w:rPr>
                <w:b w:val="false"/>
                <w:bCs w:val="false"/>
                <w:color w:val="1A1A1A"/>
              </w:rPr>
              <w:t xml:space="preserve">Remove rows</w:t>
            </w:r>
          </w:p>
        </w:tc>
        <w:tc>
          <w:tcPr>
            <w:tcW w:type="dxa" w:w="3600"/>
            <w:tcMar>
              <w:top w:type="dxa" w:w="80"/>
              <w:left w:type="dxa" w:w="120"/>
              <w:bottom w:type="dxa" w:w="80"/>
              <w:right w:type="dxa" w:w="120"/>
            </w:tcMar>
            <w:vAlign w:val="center"/>
          </w:tcPr>
          <w:p>
            <w:r>
              <w:rPr>
                <w:b w:val="false"/>
                <w:bCs w:val="false"/>
                <w:color w:val="1A1A1A"/>
              </w:rPr>
              <w:t xml:space="preserve">Missingness is rare (&lt;1–2%) and appears random.</w:t>
            </w:r>
          </w:p>
        </w:tc>
        <w:tc>
          <w:tcPr>
            <w:tcW w:type="dxa" w:w="3240"/>
            <w:tcMar>
              <w:top w:type="dxa" w:w="80"/>
              <w:left w:type="dxa" w:w="120"/>
              <w:bottom w:type="dxa" w:w="80"/>
              <w:right w:type="dxa" w:w="120"/>
            </w:tcMar>
            <w:vAlign w:val="center"/>
          </w:tcPr>
          <w:p>
            <w:r>
              <w:rPr>
                <w:b w:val="false"/>
                <w:bCs w:val="false"/>
                <w:color w:val="1A1A1A"/>
              </w:rPr>
              <w:t xml:space="preserve">Discards valid records and can bias the sample if missingness is not random.</w:t>
            </w:r>
          </w:p>
        </w:tc>
      </w:tr>
      <w:tr>
        <w:tc>
          <w:tcPr>
            <w:tcW w:type="dxa" w:w="2400"/>
            <w:shd w:fill="F2F2F2" w:color="auto" w:val="clear"/>
            <w:tcMar>
              <w:top w:type="dxa" w:w="80"/>
              <w:left w:type="dxa" w:w="120"/>
              <w:bottom w:type="dxa" w:w="80"/>
              <w:right w:type="dxa" w:w="120"/>
            </w:tcMar>
            <w:vAlign w:val="center"/>
          </w:tcPr>
          <w:p>
            <w:r>
              <w:rPr>
                <w:b w:val="false"/>
                <w:bCs w:val="false"/>
                <w:color w:val="1A1A1A"/>
              </w:rPr>
              <w:t xml:space="preserve">Imputation (mean/median/mode)</w:t>
            </w:r>
          </w:p>
        </w:tc>
        <w:tc>
          <w:tcPr>
            <w:tcW w:type="dxa" w:w="3600"/>
            <w:shd w:fill="F2F2F2" w:color="auto" w:val="clear"/>
            <w:tcMar>
              <w:top w:type="dxa" w:w="80"/>
              <w:left w:type="dxa" w:w="120"/>
              <w:bottom w:type="dxa" w:w="80"/>
              <w:right w:type="dxa" w:w="120"/>
            </w:tcMar>
            <w:vAlign w:val="center"/>
          </w:tcPr>
          <w:p>
            <w:r>
              <w:rPr>
                <w:b w:val="false"/>
                <w:bCs w:val="false"/>
                <w:color w:val="1A1A1A"/>
              </w:rPr>
              <w:t xml:space="preserve">Missingness is moderate and the feature is not the fraud signal itself.</w:t>
            </w:r>
          </w:p>
        </w:tc>
        <w:tc>
          <w:tcPr>
            <w:tcW w:type="dxa" w:w="3240"/>
            <w:shd w:fill="F2F2F2" w:color="auto" w:val="clear"/>
            <w:tcMar>
              <w:top w:type="dxa" w:w="80"/>
              <w:left w:type="dxa" w:w="120"/>
              <w:bottom w:type="dxa" w:w="80"/>
              <w:right w:type="dxa" w:w="120"/>
            </w:tcMar>
            <w:vAlign w:val="center"/>
          </w:tcPr>
          <w:p>
            <w:r>
              <w:rPr>
                <w:b w:val="false"/>
                <w:bCs w:val="false"/>
                <w:color w:val="1A1A1A"/>
              </w:rPr>
              <w:t xml:space="preserve">Can artificially shrink variance and mask real anomalies — dangerous for an anomaly detector.</w:t>
            </w:r>
          </w:p>
        </w:tc>
      </w:tr>
      <w:tr>
        <w:tc>
          <w:tcPr>
            <w:tcW w:type="dxa" w:w="2400"/>
            <w:tcMar>
              <w:top w:type="dxa" w:w="80"/>
              <w:left w:type="dxa" w:w="120"/>
              <w:bottom w:type="dxa" w:w="80"/>
              <w:right w:type="dxa" w:w="120"/>
            </w:tcMar>
            <w:vAlign w:val="center"/>
          </w:tcPr>
          <w:p>
            <w:r>
              <w:rPr>
                <w:b w:val="false"/>
                <w:bCs w:val="false"/>
                <w:color w:val="1A1A1A"/>
              </w:rPr>
              <w:t xml:space="preserve">Leave untouched, flag instead</w:t>
            </w:r>
          </w:p>
        </w:tc>
        <w:tc>
          <w:tcPr>
            <w:tcW w:type="dxa" w:w="3600"/>
            <w:tcMar>
              <w:top w:type="dxa" w:w="80"/>
              <w:left w:type="dxa" w:w="120"/>
              <w:bottom w:type="dxa" w:w="80"/>
              <w:right w:type="dxa" w:w="120"/>
            </w:tcMar>
            <w:vAlign w:val="center"/>
          </w:tcPr>
          <w:p>
            <w:r>
              <w:rPr>
                <w:b w:val="false"/>
                <w:bCs w:val="false"/>
                <w:color w:val="1A1A1A"/>
              </w:rPr>
              <w:t xml:space="preserve">Missingness itself may carry information (e.g., a field that's only null for certain transaction types).</w:t>
            </w:r>
          </w:p>
        </w:tc>
        <w:tc>
          <w:tcPr>
            <w:tcW w:type="dxa" w:w="3240"/>
            <w:tcMar>
              <w:top w:type="dxa" w:w="80"/>
              <w:left w:type="dxa" w:w="120"/>
              <w:bottom w:type="dxa" w:w="80"/>
              <w:right w:type="dxa" w:w="120"/>
            </w:tcMar>
            <w:vAlign w:val="center"/>
          </w:tcPr>
          <w:p>
            <w:r>
              <w:rPr>
                <w:b w:val="false"/>
                <w:bCs w:val="false"/>
                <w:color w:val="1A1A1A"/>
              </w:rPr>
              <w:t xml:space="preserve">Downstream models must explicitly support nulls or the flag; otherwise this defers the problem.</w:t>
            </w:r>
          </w:p>
        </w:tc>
      </w:tr>
    </w:tbl>
    <w:p>
      <w:pPr>
        <w:spacing w:after="200"/>
      </w:pPr>
      <w:r>
        <w:rPr>
          <w:i/>
          <w:iCs/>
          <w:color w:val="595959"/>
          <w:sz w:val="18"/>
          <w:szCs w:val="18"/>
        </w:rPr>
        <w:t xml:space="preserve">Table 3. Missing-value strategies and when to use each.</w:t>
      </w:r>
    </w:p>
    <w:p>
      <w:pPr>
        <w:pStyle w:val="Heading2"/>
        <w:spacing w:after="120" w:before="280"/>
      </w:pPr>
      <w:r>
        <w:rPr>
          <w:b/>
          <w:bCs/>
          <w:color w:val="2E5FA3"/>
          <w:sz w:val="24"/>
          <w:szCs w:val="24"/>
        </w:rPr>
        <w:t xml:space="preserve">6.4 Duplicate Detection</w:t>
      </w:r>
    </w:p>
    <w:p>
      <w:pPr>
        <w:pStyle w:val="Heading3"/>
        <w:spacing w:after="80" w:before="200"/>
      </w:pPr>
      <w:r>
        <w:rPr>
          <w:b/>
          <w:bCs/>
          <w:color w:val="1F4D78"/>
          <w:sz w:val="22"/>
          <w:szCs w:val="22"/>
        </w:rPr>
        <w:t xml:space="preserve">Explain</w:t>
      </w:r>
    </w:p>
    <w:p>
      <w:pPr>
        <w:spacing w:after="160" w:line="276" w:lineRule="auto"/>
      </w:pPr>
      <w:r>
        <w:rPr>
          <w:color w:val="1A1A1A"/>
          <w:sz w:val="21"/>
          <w:szCs w:val="21"/>
        </w:rPr>
        <w:t xml:space="preserve">The search for records that appear more than once — either as exact row-for-row copies, or as logical duplicates (same transaction, represented slightly differently, e.g., due to a retried write).</w:t>
      </w:r>
    </w:p>
    <w:p>
      <w:pPr>
        <w:pStyle w:val="Heading3"/>
        <w:spacing w:after="80" w:before="200"/>
      </w:pPr>
      <w:r>
        <w:rPr>
          <w:b/>
          <w:bCs/>
          <w:color w:val="1F4D78"/>
          <w:sz w:val="22"/>
          <w:szCs w:val="22"/>
        </w:rPr>
        <w:t xml:space="preserve">Why</w:t>
      </w:r>
    </w:p>
    <w:p>
      <w:pPr>
        <w:spacing w:after="160" w:line="276" w:lineRule="auto"/>
      </w:pPr>
      <w:r>
        <w:rPr>
          <w:color w:val="1A1A1A"/>
          <w:sz w:val="21"/>
          <w:szCs w:val="21"/>
        </w:rPr>
        <w:t xml:space="preserve">In a financial dataset, a duplicate transaction is not a harmless annoyance — it double-counts money movement, inflates transaction volume metrics, and can make a normal customer look like they're transacting twice as often as they really are, which would corrupt a velocity-based fraud feature.</w:t>
      </w:r>
    </w:p>
    <w:p>
      <w:pPr>
        <w:pStyle w:val="Heading3"/>
        <w:spacing w:after="80" w:before="200"/>
      </w:pPr>
      <w:r>
        <w:rPr>
          <w:b/>
          <w:bCs/>
          <w:color w:val="1F4D78"/>
          <w:sz w:val="22"/>
          <w:szCs w:val="22"/>
        </w:rPr>
        <w:t xml:space="preserve">How</w:t>
      </w:r>
    </w:p>
    <w:p>
      <w:pPr>
        <w:shd w:fill="F2F2F2" w:color="auto" w:val="clear"/>
        <w:spacing w:after="160" w:before="80"/>
      </w:pPr>
      <w:r>
        <w:rPr>
          <w:rFonts w:ascii="Consolas" w:cs="Consolas" w:eastAsia="Consolas" w:hAnsi="Consolas"/>
          <w:color w:val="1A1A1A"/>
          <w:sz w:val="18"/>
          <w:szCs w:val="18"/>
        </w:rPr>
        <w:t xml:space="preserve">df.duplicated().sum()                          # exact duplicates</w:t>
      </w:r>
      <w:r>
        <w:rPr>
          <w:rFonts w:ascii="Consolas" w:cs="Consolas" w:eastAsia="Consolas" w:hAnsi="Consolas"/>
          <w:color w:val="1A1A1A"/>
          <w:sz w:val="18"/>
          <w:szCs w:val="18"/>
        </w:rPr>
        <w:br/>
      </w:r>
      <w:r>
        <w:rPr>
          <w:rFonts w:ascii="Consolas" w:cs="Consolas" w:eastAsia="Consolas" w:hAnsi="Consolas"/>
          <w:color w:val="1A1A1A"/>
          <w:sz w:val="18"/>
          <w:szCs w:val="18"/>
        </w:rPr>
        <w:t xml:space="preserve">key_cols = ['step','nameOrig','nameDest','amount']</w:t>
      </w:r>
      <w:r>
        <w:rPr>
          <w:rFonts w:ascii="Consolas" w:cs="Consolas" w:eastAsia="Consolas" w:hAnsi="Consolas"/>
          <w:color w:val="1A1A1A"/>
          <w:sz w:val="18"/>
          <w:szCs w:val="18"/>
        </w:rPr>
        <w:br/>
      </w:r>
      <w:r>
        <w:rPr>
          <w:rFonts w:ascii="Consolas" w:cs="Consolas" w:eastAsia="Consolas" w:hAnsi="Consolas"/>
          <w:color w:val="1A1A1A"/>
          <w:sz w:val="18"/>
          <w:szCs w:val="18"/>
        </w:rPr>
        <w:t xml:space="preserve">df.duplicated(subset=key_cols).sum()           # logical duplicates</w:t>
      </w:r>
    </w:p>
    <w:p>
      <w:pPr>
        <w:pStyle w:val="Heading3"/>
        <w:spacing w:after="80" w:before="200"/>
      </w:pPr>
      <w:r>
        <w:rPr>
          <w:b/>
          <w:bCs/>
          <w:color w:val="1F4D78"/>
          <w:sz w:val="22"/>
          <w:szCs w:val="22"/>
        </w:rPr>
        <w:t xml:space="preserve">Interpretation</w:t>
      </w:r>
    </w:p>
    <w:p>
      <w:pPr>
        <w:spacing w:after="160" w:line="276" w:lineRule="auto"/>
      </w:pPr>
      <w:r>
        <w:rPr>
          <w:color w:val="1A1A1A"/>
          <w:sz w:val="21"/>
          <w:szCs w:val="21"/>
        </w:rPr>
        <w:t xml:space="preserve">Exact duplicates usually indicate an ingestion bug (e.g., a retried batch insert). Logical duplicates — same parties, same amount, same step, but perhaps a different row order — need a judgment call on whether they represent two genuinely separate transactions or one transaction recorded twice.</w:t>
      </w:r>
    </w:p>
    <w:p>
      <w:pPr>
        <w:pStyle w:val="Heading3"/>
        <w:spacing w:after="80" w:before="200"/>
      </w:pPr>
      <w:r>
        <w:rPr>
          <w:b/>
          <w:bCs/>
          <w:color w:val="1F4D78"/>
          <w:sz w:val="22"/>
          <w:szCs w:val="22"/>
        </w:rPr>
        <w:t xml:space="preserve">Impact on the ML Pipeline</w:t>
      </w:r>
    </w:p>
    <w:p>
      <w:pPr>
        <w:spacing w:after="160" w:line="276" w:lineRule="auto"/>
      </w:pPr>
      <w:r>
        <w:rPr>
          <w:color w:val="1A1A1A"/>
          <w:sz w:val="21"/>
          <w:szCs w:val="21"/>
        </w:rPr>
        <w:t xml:space="preserve">Undetected duplicates inflate txnVelocity1h/24h features from Document 1, which could make an ordinary customer look artificially anomalous — directly undermining the anomaly detector's precision.</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Always check for logical duplicates using a business key, not just df.duplicated() on the full row — a retried insert can differ in row order or an auto-generated ID.</w:t>
      </w:r>
    </w:p>
    <w:p>
      <w:pPr>
        <w:pStyle w:val="Heading2"/>
        <w:spacing w:after="120" w:before="280"/>
      </w:pPr>
      <w:r>
        <w:rPr>
          <w:b/>
          <w:bCs/>
          <w:color w:val="2E5FA3"/>
          <w:sz w:val="24"/>
          <w:szCs w:val="24"/>
        </w:rPr>
        <w:t xml:space="preserve">6.5 Distribution Analysis</w:t>
      </w:r>
    </w:p>
    <w:p>
      <w:pPr>
        <w:pStyle w:val="Heading3"/>
        <w:spacing w:after="80" w:before="200"/>
      </w:pPr>
      <w:r>
        <w:rPr>
          <w:b/>
          <w:bCs/>
          <w:color w:val="1F4D78"/>
          <w:sz w:val="22"/>
          <w:szCs w:val="22"/>
        </w:rPr>
        <w:t xml:space="preserve">Explain</w:t>
      </w:r>
    </w:p>
    <w:p>
      <w:pPr>
        <w:spacing w:after="160" w:line="276" w:lineRule="auto"/>
      </w:pPr>
      <w:r>
        <w:rPr>
          <w:color w:val="1A1A1A"/>
          <w:sz w:val="21"/>
          <w:szCs w:val="21"/>
        </w:rPr>
        <w:t xml:space="preserve">Visualizing how the values of a numeric feature are spread out, using histograms and KDE (kernel density estimate) plots, and quantifying that shape with skewness.</w:t>
      </w:r>
    </w:p>
    <w:p>
      <w:pPr>
        <w:pStyle w:val="Heading3"/>
        <w:spacing w:after="80" w:before="200"/>
      </w:pPr>
      <w:r>
        <w:rPr>
          <w:b/>
          <w:bCs/>
          <w:color w:val="1F4D78"/>
          <w:sz w:val="22"/>
          <w:szCs w:val="22"/>
        </w:rPr>
        <w:t xml:space="preserve">Why</w:t>
      </w:r>
    </w:p>
    <w:p>
      <w:pPr>
        <w:spacing w:after="160" w:line="276" w:lineRule="auto"/>
      </w:pPr>
      <w:r>
        <w:rPr>
          <w:color w:val="1A1A1A"/>
          <w:sz w:val="21"/>
          <w:szCs w:val="21"/>
        </w:rPr>
        <w:t xml:space="preserve">The shape of a distribution tells you what kind of transform or model assumption is appropriate. A heavily skewed feature fed untransformed into a distance-based or linear model will be dominated by its extreme tail.</w:t>
      </w:r>
    </w:p>
    <w:p>
      <w:pPr>
        <w:pStyle w:val="Heading3"/>
        <w:spacing w:after="80" w:before="200"/>
      </w:pPr>
      <w:r>
        <w:rPr>
          <w:b/>
          <w:bCs/>
          <w:color w:val="1F4D78"/>
          <w:sz w:val="22"/>
          <w:szCs w:val="22"/>
        </w:rPr>
        <w:t xml:space="preserve">How</w:t>
      </w:r>
    </w:p>
    <w:p>
      <w:pPr>
        <w:shd w:fill="F2F2F2" w:color="auto" w:val="clear"/>
        <w:spacing w:after="160" w:before="80"/>
      </w:pPr>
      <w:r>
        <w:rPr>
          <w:rFonts w:ascii="Consolas" w:cs="Consolas" w:eastAsia="Consolas" w:hAnsi="Consolas"/>
          <w:color w:val="1A1A1A"/>
          <w:sz w:val="18"/>
          <w:szCs w:val="18"/>
        </w:rPr>
        <w:t xml:space="preserve">sns.histplot(df['amount'], bins=100, kde=True)</w:t>
      </w:r>
      <w:r>
        <w:rPr>
          <w:rFonts w:ascii="Consolas" w:cs="Consolas" w:eastAsia="Consolas" w:hAnsi="Consolas"/>
          <w:color w:val="1A1A1A"/>
          <w:sz w:val="18"/>
          <w:szCs w:val="18"/>
        </w:rPr>
        <w:br/>
      </w:r>
      <w:r>
        <w:rPr>
          <w:rFonts w:ascii="Consolas" w:cs="Consolas" w:eastAsia="Consolas" w:hAnsi="Consolas"/>
          <w:color w:val="1A1A1A"/>
          <w:sz w:val="18"/>
          <w:szCs w:val="18"/>
        </w:rPr>
        <w:t xml:space="preserve">sns.histplot(np.log1p(df['amount']), bins=100, kde=True)</w:t>
      </w:r>
    </w:p>
    <w:p>
      <w:pPr>
        <w:pStyle w:val="Heading3"/>
        <w:spacing w:after="80" w:before="200"/>
      </w:pPr>
      <w:r>
        <w:rPr>
          <w:b/>
          <w:bCs/>
          <w:color w:val="1F4D78"/>
          <w:sz w:val="22"/>
          <w:szCs w:val="22"/>
        </w:rPr>
        <w:t xml:space="preserve">Interpretation</w:t>
      </w:r>
    </w:p>
    <w:p>
      <w:pPr>
        <w:spacing w:after="160" w:line="276" w:lineRule="auto"/>
      </w:pPr>
      <w:r>
        <w:rPr>
          <w:color w:val="1A1A1A"/>
          <w:sz w:val="21"/>
          <w:szCs w:val="21"/>
        </w:rPr>
        <w:t xml:space="preserve">PaySim's amount is expected to show a long right tail — most transactions are small, a few are very large. After a log1p transform, the distribution should look far closer to symmetric, which is the visual confirmation that the transform is doing its job.</w:t>
      </w:r>
    </w:p>
    <w:p>
      <w:pPr>
        <w:pStyle w:val="Heading3"/>
        <w:spacing w:after="80" w:before="200"/>
      </w:pPr>
      <w:r>
        <w:rPr>
          <w:b/>
          <w:bCs/>
          <w:color w:val="1F4D78"/>
          <w:sz w:val="22"/>
          <w:szCs w:val="22"/>
        </w:rPr>
        <w:t xml:space="preserve">Impact on the ML Pipeline</w:t>
      </w:r>
    </w:p>
    <w:p>
      <w:pPr>
        <w:spacing w:after="160" w:line="276" w:lineRule="auto"/>
      </w:pPr>
      <w:r>
        <w:rPr>
          <w:color w:val="1A1A1A"/>
          <w:sz w:val="21"/>
          <w:szCs w:val="21"/>
        </w:rPr>
        <w:t xml:space="preserve">This is the direct justification for the logAmount = log1p(amount) feature introduced in Document 1 — EDA is where you prove that decision is necessary rather than just assuming it.</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Always look at a feature's distribution before and after a proposed transform, side by side — the visual comparison is the evidence for the decision.</w:t>
      </w:r>
    </w:p>
    <w:p>
      <w:pPr>
        <w:pStyle w:val="Heading2"/>
        <w:spacing w:after="120" w:before="280"/>
      </w:pPr>
      <w:r>
        <w:rPr>
          <w:b/>
          <w:bCs/>
          <w:color w:val="2E5FA3"/>
          <w:sz w:val="24"/>
          <w:szCs w:val="24"/>
        </w:rPr>
        <w:t xml:space="preserve">6.6 Categorical Analysis</w:t>
      </w:r>
    </w:p>
    <w:p>
      <w:pPr>
        <w:pStyle w:val="Heading3"/>
        <w:spacing w:after="80" w:before="200"/>
      </w:pPr>
      <w:r>
        <w:rPr>
          <w:b/>
          <w:bCs/>
          <w:color w:val="1F4D78"/>
          <w:sz w:val="22"/>
          <w:szCs w:val="22"/>
        </w:rPr>
        <w:t xml:space="preserve">Explain</w:t>
      </w:r>
    </w:p>
    <w:p>
      <w:pPr>
        <w:spacing w:after="160" w:line="276" w:lineRule="auto"/>
      </w:pPr>
      <w:r>
        <w:rPr>
          <w:color w:val="1A1A1A"/>
          <w:sz w:val="21"/>
          <w:szCs w:val="21"/>
        </w:rPr>
        <w:t xml:space="preserve">Examining the frequency of each category within a categorical column, typically through frequency tables and bar charts, to understand how balanced or imbalanced the categories are.</w:t>
      </w:r>
    </w:p>
    <w:p>
      <w:pPr>
        <w:pStyle w:val="Heading3"/>
        <w:spacing w:after="80" w:before="200"/>
      </w:pPr>
      <w:r>
        <w:rPr>
          <w:b/>
          <w:bCs/>
          <w:color w:val="1F4D78"/>
          <w:sz w:val="22"/>
          <w:szCs w:val="22"/>
        </w:rPr>
        <w:t xml:space="preserve">Why</w:t>
      </w:r>
    </w:p>
    <w:p>
      <w:pPr>
        <w:spacing w:after="160" w:line="276" w:lineRule="auto"/>
      </w:pPr>
      <w:r>
        <w:rPr>
          <w:color w:val="1A1A1A"/>
          <w:sz w:val="21"/>
          <w:szCs w:val="21"/>
        </w:rPr>
        <w:t xml:space="preserve">Categorical imbalance changes what a model can learn about rare categories, and it can also hide the fraud signal if you don't look at it split by category.</w:t>
      </w:r>
    </w:p>
    <w:p>
      <w:pPr>
        <w:pStyle w:val="Heading3"/>
        <w:spacing w:after="80" w:before="200"/>
      </w:pPr>
      <w:r>
        <w:rPr>
          <w:b/>
          <w:bCs/>
          <w:color w:val="1F4D78"/>
          <w:sz w:val="22"/>
          <w:szCs w:val="22"/>
        </w:rPr>
        <w:t xml:space="preserve">How</w:t>
      </w:r>
    </w:p>
    <w:p>
      <w:pPr>
        <w:shd w:fill="F2F2F2" w:color="auto" w:val="clear"/>
        <w:spacing w:after="160" w:before="80"/>
      </w:pPr>
      <w:r>
        <w:rPr>
          <w:rFonts w:ascii="Consolas" w:cs="Consolas" w:eastAsia="Consolas" w:hAnsi="Consolas"/>
          <w:color w:val="1A1A1A"/>
          <w:sz w:val="18"/>
          <w:szCs w:val="18"/>
        </w:rPr>
        <w:t xml:space="preserve">df['type'].value_counts(normalize=True)</w:t>
      </w:r>
      <w:r>
        <w:rPr>
          <w:rFonts w:ascii="Consolas" w:cs="Consolas" w:eastAsia="Consolas" w:hAnsi="Consolas"/>
          <w:color w:val="1A1A1A"/>
          <w:sz w:val="18"/>
          <w:szCs w:val="18"/>
        </w:rPr>
        <w:br/>
      </w:r>
      <w:r>
        <w:rPr>
          <w:rFonts w:ascii="Consolas" w:cs="Consolas" w:eastAsia="Consolas" w:hAnsi="Consolas"/>
          <w:color w:val="1A1A1A"/>
          <w:sz w:val="18"/>
          <w:szCs w:val="18"/>
        </w:rPr>
        <w:t xml:space="preserve">sns.countplot(data=df, x='type')</w:t>
      </w:r>
    </w:p>
    <w:p>
      <w:pPr>
        <w:pStyle w:val="Heading3"/>
        <w:spacing w:after="80" w:before="200"/>
      </w:pPr>
      <w:r>
        <w:rPr>
          <w:b/>
          <w:bCs/>
          <w:color w:val="1F4D78"/>
          <w:sz w:val="22"/>
          <w:szCs w:val="22"/>
        </w:rPr>
        <w:t xml:space="preserve">Interpretation</w:t>
      </w:r>
    </w:p>
    <w:p>
      <w:pPr>
        <w:spacing w:after="160" w:line="276" w:lineRule="auto"/>
      </w:pPr>
      <w:r>
        <w:rPr>
          <w:color w:val="1A1A1A"/>
          <w:sz w:val="21"/>
          <w:szCs w:val="21"/>
        </w:rPr>
        <w:t xml:space="preserve">Expect CASH_OUT and PAYMENT to dominate by volume, while TRANSFER and CASH_OUT alone account for essentially all fraud cases — this is the single most important categorical finding in the whole dataset.</w:t>
      </w:r>
    </w:p>
    <w:p>
      <w:pPr>
        <w:pStyle w:val="Heading3"/>
        <w:spacing w:after="80" w:before="200"/>
      </w:pPr>
      <w:r>
        <w:rPr>
          <w:b/>
          <w:bCs/>
          <w:color w:val="1F4D78"/>
          <w:sz w:val="22"/>
          <w:szCs w:val="22"/>
        </w:rPr>
        <w:t xml:space="preserve">Impact on the ML Pipeline</w:t>
      </w:r>
    </w:p>
    <w:p>
      <w:pPr>
        <w:spacing w:after="160" w:line="276" w:lineRule="auto"/>
      </w:pPr>
      <w:r>
        <w:rPr>
          <w:color w:val="1A1A1A"/>
          <w:sz w:val="21"/>
          <w:szCs w:val="21"/>
        </w:rPr>
        <w:t xml:space="preserve">This finding directly justifies one-hot encoding type as a feature (typeOneHot in Document 1), and justifies segmenting later fraud-rate analysis by type rather than looking at the dataset as a single pool.</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A frequency table for type is often the fastest way to find the strongest fraud signal in the entire dataset — do this early, not last.</w:t>
      </w:r>
    </w:p>
    <w:p>
      <w:pPr>
        <w:pStyle w:val="Heading2"/>
        <w:spacing w:after="120" w:before="280"/>
      </w:pPr>
      <w:r>
        <w:rPr>
          <w:b/>
          <w:bCs/>
          <w:color w:val="2E5FA3"/>
          <w:sz w:val="24"/>
          <w:szCs w:val="24"/>
        </w:rPr>
        <w:t xml:space="preserve">6.7 Correlation Analysis</w:t>
      </w:r>
    </w:p>
    <w:p>
      <w:pPr>
        <w:pStyle w:val="Heading3"/>
        <w:spacing w:after="80" w:before="200"/>
      </w:pPr>
      <w:r>
        <w:rPr>
          <w:b/>
          <w:bCs/>
          <w:color w:val="1F4D78"/>
          <w:sz w:val="22"/>
          <w:szCs w:val="22"/>
        </w:rPr>
        <w:t xml:space="preserve">Explain</w:t>
      </w:r>
    </w:p>
    <w:p>
      <w:pPr>
        <w:spacing w:after="160" w:line="276" w:lineRule="auto"/>
      </w:pPr>
      <w:r>
        <w:rPr>
          <w:color w:val="1A1A1A"/>
          <w:sz w:val="21"/>
          <w:szCs w:val="21"/>
        </w:rPr>
        <w:t xml:space="preserve">Measuring the strength and direction of linear association between pairs of numeric features, typically with Pearson correlation, visualized as a heatmap.</w:t>
      </w:r>
    </w:p>
    <w:p>
      <w:pPr>
        <w:pStyle w:val="Heading3"/>
        <w:spacing w:after="80" w:before="200"/>
      </w:pPr>
      <w:r>
        <w:rPr>
          <w:b/>
          <w:bCs/>
          <w:color w:val="1F4D78"/>
          <w:sz w:val="22"/>
          <w:szCs w:val="22"/>
        </w:rPr>
        <w:t xml:space="preserve">Why</w:t>
      </w:r>
    </w:p>
    <w:p>
      <w:pPr>
        <w:spacing w:after="160" w:line="276" w:lineRule="auto"/>
      </w:pPr>
      <w:r>
        <w:rPr>
          <w:color w:val="1A1A1A"/>
          <w:sz w:val="21"/>
          <w:szCs w:val="21"/>
        </w:rPr>
        <w:t xml:space="preserve">Correlation reveals redundant features (which can be simplified or dropped) and hints at which features move together in ways that might matter for fraud detection.</w:t>
      </w:r>
    </w:p>
    <w:p>
      <w:pPr>
        <w:pStyle w:val="Heading3"/>
        <w:spacing w:after="80" w:before="200"/>
      </w:pPr>
      <w:r>
        <w:rPr>
          <w:b/>
          <w:bCs/>
          <w:color w:val="1F4D78"/>
          <w:sz w:val="22"/>
          <w:szCs w:val="22"/>
        </w:rPr>
        <w:t xml:space="preserve">How</w:t>
      </w:r>
    </w:p>
    <w:p>
      <w:pPr>
        <w:shd w:fill="F2F2F2" w:color="auto" w:val="clear"/>
        <w:spacing w:after="160" w:before="80"/>
      </w:pPr>
      <w:r>
        <w:rPr>
          <w:rFonts w:ascii="Consolas" w:cs="Consolas" w:eastAsia="Consolas" w:hAnsi="Consolas"/>
          <w:color w:val="1A1A1A"/>
          <w:sz w:val="18"/>
          <w:szCs w:val="18"/>
        </w:rPr>
        <w:t xml:space="preserve">corr = df[numeric_cols].corr()</w:t>
      </w:r>
      <w:r>
        <w:rPr>
          <w:rFonts w:ascii="Consolas" w:cs="Consolas" w:eastAsia="Consolas" w:hAnsi="Consolas"/>
          <w:color w:val="1A1A1A"/>
          <w:sz w:val="18"/>
          <w:szCs w:val="18"/>
        </w:rPr>
        <w:br/>
      </w:r>
      <w:r>
        <w:rPr>
          <w:rFonts w:ascii="Consolas" w:cs="Consolas" w:eastAsia="Consolas" w:hAnsi="Consolas"/>
          <w:color w:val="1A1A1A"/>
          <w:sz w:val="18"/>
          <w:szCs w:val="18"/>
        </w:rPr>
        <w:t xml:space="preserve">sns.heatmap(corr, annot=True, cmap='coolwarm')</w:t>
      </w:r>
    </w:p>
    <w:p>
      <w:pPr>
        <w:pStyle w:val="Heading3"/>
        <w:spacing w:after="80" w:before="200"/>
      </w:pPr>
      <w:r>
        <w:rPr>
          <w:b/>
          <w:bCs/>
          <w:color w:val="1F4D78"/>
          <w:sz w:val="22"/>
          <w:szCs w:val="22"/>
        </w:rPr>
        <w:t xml:space="preserve">Interpretation</w:t>
      </w:r>
    </w:p>
    <w:p>
      <w:pPr>
        <w:spacing w:after="160" w:line="276" w:lineRule="auto"/>
      </w:pPr>
      <w:r>
        <w:rPr>
          <w:color w:val="1A1A1A"/>
          <w:sz w:val="21"/>
          <w:szCs w:val="21"/>
        </w:rPr>
        <w:t xml:space="preserve">Expect a strong correlation between oldbalanceOrg and newbalanceOrig (most transactions don't drain an account), and between oldbalanceDest and newbalanceDest. A weak correlation between a feature and isFraud does not mean the feature is useless — fraud patterns are often non-linear and only show up in interaction terms.</w:t>
      </w:r>
    </w:p>
    <w:p>
      <w:pPr>
        <w:pStyle w:val="Heading3"/>
        <w:spacing w:after="80" w:before="200"/>
      </w:pPr>
      <w:r>
        <w:rPr>
          <w:b/>
          <w:bCs/>
          <w:color w:val="1F4D78"/>
          <w:sz w:val="22"/>
          <w:szCs w:val="22"/>
        </w:rPr>
        <w:t xml:space="preserve">Impact on the ML Pipeline</w:t>
      </w:r>
    </w:p>
    <w:p>
      <w:pPr>
        <w:spacing w:after="160" w:line="276" w:lineRule="auto"/>
      </w:pPr>
      <w:r>
        <w:rPr>
          <w:color w:val="1A1A1A"/>
          <w:sz w:val="21"/>
          <w:szCs w:val="21"/>
        </w:rPr>
        <w:t xml:space="preserve">High pairwise correlation between raw balance columns motivates the balanceDeltaOrig / balanceDeltaDest engineered features from Document 1, which capture the residual (the part balances don't explain) rather than the raw, redundant values.</w:t>
      </w:r>
    </w:p>
    <w:p>
      <w:pPr>
        <w:pBdr>
          <w:left w:val="single" w:color="2E5FA3" w:sz="24" w:space="8"/>
        </w:pBdr>
        <w:shd w:fill="F2F2F2" w:color="auto" w:val="clear"/>
        <w:spacing w:after="160" w:before="120"/>
        <w:ind w:left="120"/>
      </w:pPr>
      <w:r>
        <w:rPr>
          <w:b/>
          <w:bCs/>
          <w:color w:val="2E5FA3"/>
          <w:sz w:val="21"/>
          <w:szCs w:val="21"/>
        </w:rPr>
        <w:t xml:space="preserve">Note:  </w:t>
      </w:r>
      <w:r>
        <w:rPr>
          <w:color w:val="1A1A1A"/>
          <w:sz w:val="21"/>
          <w:szCs w:val="21"/>
        </w:rPr>
        <w:t xml:space="preserve">Correlation does not imply causation. Two features moving together does not mean one causes the other, or that either causes fraud — it may simply mean both are driven by transaction size.</w:t>
      </w:r>
    </w:p>
    <w:p>
      <w:pPr>
        <w:pStyle w:val="Heading2"/>
        <w:spacing w:after="120" w:before="280"/>
      </w:pPr>
      <w:r>
        <w:rPr>
          <w:b/>
          <w:bCs/>
          <w:color w:val="2E5FA3"/>
          <w:sz w:val="24"/>
          <w:szCs w:val="24"/>
        </w:rPr>
        <w:t xml:space="preserve">6.8 Fraud Distribution</w:t>
      </w:r>
    </w:p>
    <w:p>
      <w:pPr>
        <w:pStyle w:val="Heading3"/>
        <w:spacing w:after="80" w:before="200"/>
      </w:pPr>
      <w:r>
        <w:rPr>
          <w:b/>
          <w:bCs/>
          <w:color w:val="1F4D78"/>
          <w:sz w:val="22"/>
          <w:szCs w:val="22"/>
        </w:rPr>
        <w:t xml:space="preserve">Explain</w:t>
      </w:r>
    </w:p>
    <w:p>
      <w:pPr>
        <w:spacing w:after="160" w:line="276" w:lineRule="auto"/>
      </w:pPr>
      <w:r>
        <w:rPr>
          <w:color w:val="1A1A1A"/>
          <w:sz w:val="21"/>
          <w:szCs w:val="21"/>
        </w:rPr>
        <w:t xml:space="preserve">A focused look at how the isFraud label is distributed — overall, and broken down by transaction type, amount range, and time — to characterize the class imbalance precisely.</w:t>
      </w:r>
    </w:p>
    <w:p>
      <w:pPr>
        <w:pStyle w:val="Heading3"/>
        <w:spacing w:after="80" w:before="200"/>
      </w:pPr>
      <w:r>
        <w:rPr>
          <w:b/>
          <w:bCs/>
          <w:color w:val="1F4D78"/>
          <w:sz w:val="22"/>
          <w:szCs w:val="22"/>
        </w:rPr>
        <w:t xml:space="preserve">Why</w:t>
      </w:r>
    </w:p>
    <w:p>
      <w:pPr>
        <w:spacing w:after="160" w:line="276" w:lineRule="auto"/>
      </w:pPr>
      <w:r>
        <w:rPr>
          <w:color w:val="1A1A1A"/>
          <w:sz w:val="21"/>
          <w:szCs w:val="21"/>
        </w:rPr>
        <w:t xml:space="preserve">You cannot design an evaluation strategy, a contamination parameter for Isolation Forest, or a meaningful dashboard metric without first quantifying exactly how rare and how concentrated fraud is.</w:t>
      </w:r>
    </w:p>
    <w:p>
      <w:pPr>
        <w:pStyle w:val="Heading3"/>
        <w:spacing w:after="80" w:before="200"/>
      </w:pPr>
      <w:r>
        <w:rPr>
          <w:b/>
          <w:bCs/>
          <w:color w:val="1F4D78"/>
          <w:sz w:val="22"/>
          <w:szCs w:val="22"/>
        </w:rPr>
        <w:t xml:space="preserve">How</w:t>
      </w:r>
    </w:p>
    <w:p>
      <w:pPr>
        <w:shd w:fill="F2F2F2" w:color="auto" w:val="clear"/>
        <w:spacing w:after="160" w:before="80"/>
      </w:pPr>
      <w:r>
        <w:rPr>
          <w:rFonts w:ascii="Consolas" w:cs="Consolas" w:eastAsia="Consolas" w:hAnsi="Consolas"/>
          <w:color w:val="1A1A1A"/>
          <w:sz w:val="18"/>
          <w:szCs w:val="18"/>
        </w:rPr>
        <w:t xml:space="preserve">df['isFraud'].value_counts(normalize=True)</w:t>
      </w:r>
      <w:r>
        <w:rPr>
          <w:rFonts w:ascii="Consolas" w:cs="Consolas" w:eastAsia="Consolas" w:hAnsi="Consolas"/>
          <w:color w:val="1A1A1A"/>
          <w:sz w:val="18"/>
          <w:szCs w:val="18"/>
        </w:rPr>
        <w:br/>
      </w:r>
      <w:r>
        <w:rPr>
          <w:rFonts w:ascii="Consolas" w:cs="Consolas" w:eastAsia="Consolas" w:hAnsi="Consolas"/>
          <w:color w:val="1A1A1A"/>
          <w:sz w:val="18"/>
          <w:szCs w:val="18"/>
        </w:rPr>
        <w:t xml:space="preserve">df.groupby('type')['isFraud'].mean()</w:t>
      </w:r>
    </w:p>
    <w:p>
      <w:pPr>
        <w:pStyle w:val="Heading3"/>
        <w:spacing w:after="80" w:before="200"/>
      </w:pPr>
      <w:r>
        <w:rPr>
          <w:b/>
          <w:bCs/>
          <w:color w:val="1F4D78"/>
          <w:sz w:val="22"/>
          <w:szCs w:val="22"/>
        </w:rPr>
        <w:t xml:space="preserve">Interpretation</w:t>
      </w:r>
    </w:p>
    <w:p>
      <w:pPr>
        <w:spacing w:after="160" w:line="276" w:lineRule="auto"/>
      </w:pPr>
      <w:r>
        <w:rPr>
          <w:color w:val="1A1A1A"/>
          <w:sz w:val="21"/>
          <w:szCs w:val="21"/>
        </w:rPr>
        <w:t xml:space="preserve">Expect fraud to sit around 0.1–0.2% overall, but climb to a much higher rate within just the TRANSFER and CASH_OUT subsets. This is the concrete number behind the class-imbalance discussion in Document 1.</w:t>
      </w:r>
    </w:p>
    <w:p>
      <w:pPr>
        <w:pStyle w:val="Heading3"/>
        <w:spacing w:after="80" w:before="200"/>
      </w:pPr>
      <w:r>
        <w:rPr>
          <w:b/>
          <w:bCs/>
          <w:color w:val="1F4D78"/>
          <w:sz w:val="22"/>
          <w:szCs w:val="22"/>
        </w:rPr>
        <w:t xml:space="preserve">Impact on the ML Pipeline</w:t>
      </w:r>
    </w:p>
    <w:p>
      <w:pPr>
        <w:spacing w:after="160" w:line="276" w:lineRule="auto"/>
      </w:pPr>
      <w:r>
        <w:rPr>
          <w:color w:val="1A1A1A"/>
          <w:sz w:val="21"/>
          <w:szCs w:val="21"/>
        </w:rPr>
        <w:t xml:space="preserve">This measured fraud rate becomes the starting point for the contamination parameter passed to sklearn's IsolationForest, and it's the reason accuracy is explicitly excluded as an evaluation metric in favor of PR-AUC and precision@k.</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Never report a single overall fraud rate without also reporting it broken down by transaction type — the aggregate number hides where the risk actually concentrates.</w:t>
      </w:r>
    </w:p>
    <w:p>
      <w:pPr>
        <w:pStyle w:val="Heading2"/>
        <w:spacing w:after="120" w:before="280"/>
      </w:pPr>
      <w:r>
        <w:rPr>
          <w:b/>
          <w:bCs/>
          <w:color w:val="2E5FA3"/>
          <w:sz w:val="24"/>
          <w:szCs w:val="24"/>
        </w:rPr>
        <w:t xml:space="preserve">6.9 Feature Relationships</w:t>
      </w:r>
    </w:p>
    <w:p>
      <w:pPr>
        <w:pStyle w:val="Heading3"/>
        <w:spacing w:after="80" w:before="200"/>
      </w:pPr>
      <w:r>
        <w:rPr>
          <w:b/>
          <w:bCs/>
          <w:color w:val="1F4D78"/>
          <w:sz w:val="22"/>
          <w:szCs w:val="22"/>
        </w:rPr>
        <w:t xml:space="preserve">Explain</w:t>
      </w:r>
    </w:p>
    <w:p>
      <w:pPr>
        <w:spacing w:after="160" w:line="276" w:lineRule="auto"/>
      </w:pPr>
      <w:r>
        <w:rPr>
          <w:color w:val="1A1A1A"/>
          <w:sz w:val="21"/>
          <w:szCs w:val="21"/>
        </w:rPr>
        <w:t xml:space="preserve">Examining how individual features relate to the fraud label and to each other — for example, amount vs. fraud, transaction type vs. fraud, balances vs. fraud, and time (step) vs. fraud.</w:t>
      </w:r>
    </w:p>
    <w:p>
      <w:pPr>
        <w:pStyle w:val="Heading3"/>
        <w:spacing w:after="80" w:before="200"/>
      </w:pPr>
      <w:r>
        <w:rPr>
          <w:b/>
          <w:bCs/>
          <w:color w:val="1F4D78"/>
          <w:sz w:val="22"/>
          <w:szCs w:val="22"/>
        </w:rPr>
        <w:t xml:space="preserve">Why</w:t>
      </w:r>
    </w:p>
    <w:p>
      <w:pPr>
        <w:spacing w:after="160" w:line="276" w:lineRule="auto"/>
      </w:pPr>
      <w:r>
        <w:rPr>
          <w:color w:val="1A1A1A"/>
          <w:sz w:val="21"/>
          <w:szCs w:val="21"/>
        </w:rPr>
        <w:t xml:space="preserve">A feature that looks unremarkable in isolation can become highly informative once viewed against the label — this is where you build intuition for which engineered features are worth the effort.</w:t>
      </w:r>
    </w:p>
    <w:p>
      <w:pPr>
        <w:pStyle w:val="Heading3"/>
        <w:spacing w:after="80" w:before="200"/>
      </w:pPr>
      <w:r>
        <w:rPr>
          <w:b/>
          <w:bCs/>
          <w:color w:val="1F4D78"/>
          <w:sz w:val="22"/>
          <w:szCs w:val="22"/>
        </w:rPr>
        <w:t xml:space="preserve">How</w:t>
      </w:r>
    </w:p>
    <w:p>
      <w:pPr>
        <w:shd w:fill="F2F2F2" w:color="auto" w:val="clear"/>
        <w:spacing w:after="160" w:before="80"/>
      </w:pPr>
      <w:r>
        <w:rPr>
          <w:rFonts w:ascii="Consolas" w:cs="Consolas" w:eastAsia="Consolas" w:hAnsi="Consolas"/>
          <w:color w:val="1A1A1A"/>
          <w:sz w:val="18"/>
          <w:szCs w:val="18"/>
        </w:rPr>
        <w:t xml:space="preserve">sns.boxplot(data=df, x='isFraud', y='amount')</w:t>
      </w:r>
      <w:r>
        <w:rPr>
          <w:rFonts w:ascii="Consolas" w:cs="Consolas" w:eastAsia="Consolas" w:hAnsi="Consolas"/>
          <w:color w:val="1A1A1A"/>
          <w:sz w:val="18"/>
          <w:szCs w:val="18"/>
        </w:rPr>
        <w:br/>
      </w:r>
      <w:r>
        <w:rPr>
          <w:rFonts w:ascii="Consolas" w:cs="Consolas" w:eastAsia="Consolas" w:hAnsi="Consolas"/>
          <w:color w:val="1A1A1A"/>
          <w:sz w:val="18"/>
          <w:szCs w:val="18"/>
        </w:rPr>
        <w:t xml:space="preserve">df.groupby('isFraud')['balanceDeltaOrig'].describe()</w:t>
      </w:r>
    </w:p>
    <w:p>
      <w:pPr>
        <w:pStyle w:val="Heading3"/>
        <w:spacing w:after="80" w:before="200"/>
      </w:pPr>
      <w:r>
        <w:rPr>
          <w:b/>
          <w:bCs/>
          <w:color w:val="1F4D78"/>
          <w:sz w:val="22"/>
          <w:szCs w:val="22"/>
        </w:rPr>
        <w:t xml:space="preserve">Interpretation</w:t>
      </w:r>
    </w:p>
    <w:p>
      <w:pPr>
        <w:spacing w:after="160" w:line="276" w:lineRule="auto"/>
      </w:pPr>
      <w:r>
        <w:rPr>
          <w:color w:val="1A1A1A"/>
          <w:sz w:val="21"/>
          <w:szCs w:val="21"/>
        </w:rPr>
        <w:t xml:space="preserve">Expect fraudulent TRANSFER/CASH_OUT transactions to often fully drain the originating account (newbalanceOrig near zero) — a pattern normal transactions rarely show. Time-based patterns may be weaker in PaySim than in real data, since the simulator does not always model daily/weekly cycles.</w:t>
      </w:r>
    </w:p>
    <w:p>
      <w:pPr>
        <w:pStyle w:val="Heading3"/>
        <w:spacing w:after="80" w:before="200"/>
      </w:pPr>
      <w:r>
        <w:rPr>
          <w:b/>
          <w:bCs/>
          <w:color w:val="1F4D78"/>
          <w:sz w:val="22"/>
          <w:szCs w:val="22"/>
        </w:rPr>
        <w:t xml:space="preserve">Impact on the ML Pipeline</w:t>
      </w:r>
    </w:p>
    <w:p>
      <w:pPr>
        <w:spacing w:after="160" w:line="276" w:lineRule="auto"/>
      </w:pPr>
      <w:r>
        <w:rPr>
          <w:color w:val="1A1A1A"/>
          <w:sz w:val="21"/>
          <w:szCs w:val="21"/>
        </w:rPr>
        <w:t xml:space="preserve">Relationships found here are the evidence base for every engineered feature in Document 1 — origZeroedOut, balanceDeltaOrig/Dest, and the velocity features all originate from a relationship spotted at this stage.</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Treat every engineered feature as a claim that needs evidence — this section is where you go find (or fail to find) that evidence.</w:t>
      </w:r>
    </w:p>
    <w:p>
      <w:pPr>
        <w:pStyle w:val="Heading2"/>
        <w:spacing w:after="120" w:before="280"/>
      </w:pPr>
      <w:r>
        <w:rPr>
          <w:b/>
          <w:bCs/>
          <w:color w:val="2E5FA3"/>
          <w:sz w:val="24"/>
          <w:szCs w:val="24"/>
        </w:rPr>
        <w:t xml:space="preserve">6.10 Outlier Detection</w:t>
      </w:r>
    </w:p>
    <w:p>
      <w:pPr>
        <w:pStyle w:val="Heading3"/>
        <w:spacing w:after="80" w:before="200"/>
      </w:pPr>
      <w:r>
        <w:rPr>
          <w:b/>
          <w:bCs/>
          <w:color w:val="1F4D78"/>
          <w:sz w:val="22"/>
          <w:szCs w:val="22"/>
        </w:rPr>
        <w:t xml:space="preserve">Explain</w:t>
      </w:r>
    </w:p>
    <w:p>
      <w:pPr>
        <w:spacing w:after="160" w:line="276" w:lineRule="auto"/>
      </w:pPr>
      <w:r>
        <w:rPr>
          <w:color w:val="1A1A1A"/>
          <w:sz w:val="21"/>
          <w:szCs w:val="21"/>
        </w:rPr>
        <w:t xml:space="preserve">Identifying values that lie far outside the typical range of a feature, using methods such as the IQR (interquartile range) rule, boxplots, or z-scores.</w:t>
      </w:r>
    </w:p>
    <w:p>
      <w:pPr>
        <w:pStyle w:val="Heading3"/>
        <w:spacing w:after="80" w:before="200"/>
      </w:pPr>
      <w:r>
        <w:rPr>
          <w:b/>
          <w:bCs/>
          <w:color w:val="1F4D78"/>
          <w:sz w:val="22"/>
          <w:szCs w:val="22"/>
        </w:rPr>
        <w:t xml:space="preserve">Why</w:t>
      </w:r>
    </w:p>
    <w:p>
      <w:pPr>
        <w:spacing w:after="160" w:line="276" w:lineRule="auto"/>
      </w:pPr>
      <w:r>
        <w:rPr>
          <w:color w:val="1A1A1A"/>
          <w:sz w:val="21"/>
          <w:szCs w:val="21"/>
        </w:rPr>
        <w:t xml:space="preserve">Outliers can be either the most important rows in the dataset (a fraud case) or the most damaging (a data entry error) — the entire challenge is telling the two apart.</w:t>
      </w:r>
    </w:p>
    <w:p>
      <w:pPr>
        <w:pStyle w:val="Heading3"/>
        <w:spacing w:after="80" w:before="200"/>
      </w:pPr>
      <w:r>
        <w:rPr>
          <w:b/>
          <w:bCs/>
          <w:color w:val="1F4D78"/>
          <w:sz w:val="22"/>
          <w:szCs w:val="22"/>
        </w:rPr>
        <w:t xml:space="preserve">How</w:t>
      </w:r>
    </w:p>
    <w:p>
      <w:pPr>
        <w:shd w:fill="F2F2F2" w:color="auto" w:val="clear"/>
        <w:spacing w:after="160" w:before="80"/>
      </w:pPr>
      <w:r>
        <w:rPr>
          <w:rFonts w:ascii="Consolas" w:cs="Consolas" w:eastAsia="Consolas" w:hAnsi="Consolas"/>
          <w:color w:val="1A1A1A"/>
          <w:sz w:val="18"/>
          <w:szCs w:val="18"/>
        </w:rPr>
        <w:t xml:space="preserve">q1, q3 = df['amount'].quantile([0.25, 0.75])</w:t>
      </w:r>
      <w:r>
        <w:rPr>
          <w:rFonts w:ascii="Consolas" w:cs="Consolas" w:eastAsia="Consolas" w:hAnsi="Consolas"/>
          <w:color w:val="1A1A1A"/>
          <w:sz w:val="18"/>
          <w:szCs w:val="18"/>
        </w:rPr>
        <w:br/>
      </w:r>
      <w:r>
        <w:rPr>
          <w:rFonts w:ascii="Consolas" w:cs="Consolas" w:eastAsia="Consolas" w:hAnsi="Consolas"/>
          <w:color w:val="1A1A1A"/>
          <w:sz w:val="18"/>
          <w:szCs w:val="18"/>
        </w:rPr>
        <w:t xml:space="preserve">iqr = q3 - q1</w:t>
      </w:r>
      <w:r>
        <w:rPr>
          <w:rFonts w:ascii="Consolas" w:cs="Consolas" w:eastAsia="Consolas" w:hAnsi="Consolas"/>
          <w:color w:val="1A1A1A"/>
          <w:sz w:val="18"/>
          <w:szCs w:val="18"/>
        </w:rPr>
        <w:br/>
      </w:r>
      <w:r>
        <w:rPr>
          <w:rFonts w:ascii="Consolas" w:cs="Consolas" w:eastAsia="Consolas" w:hAnsi="Consolas"/>
          <w:color w:val="1A1A1A"/>
          <w:sz w:val="18"/>
          <w:szCs w:val="18"/>
        </w:rPr>
        <w:t xml:space="preserve">outliers = df[(df['amount'] &lt; q1 - 1.5*iqr) | (df['amount'] &gt; q3 + 1.5*iqr)]</w:t>
      </w:r>
    </w:p>
    <w:p>
      <w:pPr>
        <w:pStyle w:val="Heading3"/>
        <w:spacing w:after="80" w:before="200"/>
      </w:pPr>
      <w:r>
        <w:rPr>
          <w:b/>
          <w:bCs/>
          <w:color w:val="1F4D78"/>
          <w:sz w:val="22"/>
          <w:szCs w:val="22"/>
        </w:rPr>
        <w:t xml:space="preserve">Interpretation</w:t>
      </w:r>
    </w:p>
    <w:p>
      <w:pPr>
        <w:spacing w:after="160" w:line="276" w:lineRule="auto"/>
      </w:pPr>
      <w:r>
        <w:rPr>
          <w:color w:val="1A1A1A"/>
          <w:sz w:val="21"/>
          <w:szCs w:val="21"/>
        </w:rPr>
        <w:t xml:space="preserve">An extreme amount paired with a plausible balance trail (old/new balances that are internally consistent) is more likely a legitimate large transaction. An extreme amount paired with an impossible balance trail is more likely an error — or a fraud case constructed by the simulator.</w:t>
      </w:r>
    </w:p>
    <w:p>
      <w:pPr>
        <w:pStyle w:val="Heading3"/>
        <w:spacing w:after="80" w:before="200"/>
      </w:pPr>
      <w:r>
        <w:rPr>
          <w:b/>
          <w:bCs/>
          <w:color w:val="1F4D78"/>
          <w:sz w:val="22"/>
          <w:szCs w:val="22"/>
        </w:rPr>
        <w:t xml:space="preserve">Impact on the ML Pipeline</w:t>
      </w:r>
    </w:p>
    <w:p>
      <w:pPr>
        <w:spacing w:after="160" w:line="276" w:lineRule="auto"/>
      </w:pPr>
      <w:r>
        <w:rPr>
          <w:color w:val="1A1A1A"/>
          <w:sz w:val="21"/>
          <w:szCs w:val="21"/>
        </w:rPr>
        <w:t xml:space="preserve">Because the project's core model is an anomaly detector, the goal is not to remove all outliers — some outliers are exactly what the model is meant to find. EDA's job here is to separate "valuable outlier" from "data error," and only the latter should be cleaned away.</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Never apply a blanket outlier-removal rule to an anomaly detection project — you may be deleting the very cases the model exists to catch.</w:t>
      </w:r>
    </w:p>
    <w:p>
      <w:pPr>
        <w:pStyle w:val="Heading2"/>
        <w:spacing w:after="120" w:before="280"/>
      </w:pPr>
      <w:r>
        <w:rPr>
          <w:b/>
          <w:bCs/>
          <w:color w:val="2E5FA3"/>
          <w:sz w:val="24"/>
          <w:szCs w:val="24"/>
        </w:rPr>
        <w:t xml:space="preserve">6.11 Data Quality Assessment</w:t>
      </w:r>
    </w:p>
    <w:p>
      <w:pPr>
        <w:pStyle w:val="Heading3"/>
        <w:spacing w:after="80" w:before="200"/>
      </w:pPr>
      <w:r>
        <w:rPr>
          <w:b/>
          <w:bCs/>
          <w:color w:val="1F4D78"/>
          <w:sz w:val="22"/>
          <w:szCs w:val="22"/>
        </w:rPr>
        <w:t xml:space="preserve">Explain</w:t>
      </w:r>
    </w:p>
    <w:p>
      <w:pPr>
        <w:spacing w:after="160" w:line="276" w:lineRule="auto"/>
      </w:pPr>
      <w:r>
        <w:rPr>
          <w:color w:val="1A1A1A"/>
          <w:sz w:val="21"/>
          <w:szCs w:val="21"/>
        </w:rPr>
        <w:t xml:space="preserve">A structural review of the dataset for problems that go beyond individual outliers: invalid balances, impossible values, incorrect data types, inconsistent records, and transactions that look suspicious for reasons other than their size.</w:t>
      </w:r>
    </w:p>
    <w:p>
      <w:pPr>
        <w:pStyle w:val="Heading3"/>
        <w:spacing w:after="80" w:before="200"/>
      </w:pPr>
      <w:r>
        <w:rPr>
          <w:b/>
          <w:bCs/>
          <w:color w:val="1F4D78"/>
          <w:sz w:val="22"/>
          <w:szCs w:val="22"/>
        </w:rPr>
        <w:t xml:space="preserve">Why</w:t>
      </w:r>
    </w:p>
    <w:p>
      <w:pPr>
        <w:spacing w:after="160" w:line="276" w:lineRule="auto"/>
      </w:pPr>
      <w:r>
        <w:rPr>
          <w:color w:val="1A1A1A"/>
          <w:sz w:val="21"/>
          <w:szCs w:val="21"/>
        </w:rPr>
        <w:t xml:space="preserve">This is the stage where you build the actual list of defects that data cleaning will need to fix — it turns vague unease ("something about this dataset feels off") into a specific, actionable checklist.</w:t>
      </w:r>
    </w:p>
    <w:p>
      <w:pPr>
        <w:pStyle w:val="Heading3"/>
        <w:spacing w:after="80" w:before="200"/>
      </w:pPr>
      <w:r>
        <w:rPr>
          <w:b/>
          <w:bCs/>
          <w:color w:val="1F4D78"/>
          <w:sz w:val="22"/>
          <w:szCs w:val="22"/>
        </w:rPr>
        <w:t xml:space="preserve">How</w:t>
      </w:r>
    </w:p>
    <w:p>
      <w:pPr>
        <w:shd w:fill="F2F2F2" w:color="auto" w:val="clear"/>
        <w:spacing w:after="160" w:before="80"/>
      </w:pPr>
      <w:r>
        <w:rPr>
          <w:rFonts w:ascii="Consolas" w:cs="Consolas" w:eastAsia="Consolas" w:hAnsi="Consolas"/>
          <w:color w:val="1A1A1A"/>
          <w:sz w:val="18"/>
          <w:szCs w:val="18"/>
        </w:rPr>
        <w:t xml:space="preserve">invalid = df[df['oldbalanceOrg'] &lt; 0]</w:t>
      </w:r>
      <w:r>
        <w:rPr>
          <w:rFonts w:ascii="Consolas" w:cs="Consolas" w:eastAsia="Consolas" w:hAnsi="Consolas"/>
          <w:color w:val="1A1A1A"/>
          <w:sz w:val="18"/>
          <w:szCs w:val="18"/>
        </w:rPr>
        <w:br/>
      </w:r>
      <w:r>
        <w:rPr>
          <w:rFonts w:ascii="Consolas" w:cs="Consolas" w:eastAsia="Consolas" w:hAnsi="Consolas"/>
          <w:color w:val="1A1A1A"/>
          <w:sz w:val="18"/>
          <w:szCs w:val="18"/>
        </w:rPr>
        <w:t xml:space="preserve">residual = df['oldbalanceOrg'] - df['amount'] - df['newbalanceOrig']</w:t>
      </w:r>
      <w:r>
        <w:rPr>
          <w:rFonts w:ascii="Consolas" w:cs="Consolas" w:eastAsia="Consolas" w:hAnsi="Consolas"/>
          <w:color w:val="1A1A1A"/>
          <w:sz w:val="18"/>
          <w:szCs w:val="18"/>
        </w:rPr>
        <w:br/>
      </w:r>
      <w:r>
        <w:rPr>
          <w:rFonts w:ascii="Consolas" w:cs="Consolas" w:eastAsia="Consolas" w:hAnsi="Consolas"/>
          <w:color w:val="1A1A1A"/>
          <w:sz w:val="18"/>
          <w:szCs w:val="18"/>
        </w:rPr>
        <w:t xml:space="preserve">inconsistent = df[residual.abs() &gt; 0.01]</w:t>
      </w:r>
    </w:p>
    <w:p>
      <w:pPr>
        <w:pStyle w:val="Heading3"/>
        <w:spacing w:after="80" w:before="200"/>
      </w:pPr>
      <w:r>
        <w:rPr>
          <w:b/>
          <w:bCs/>
          <w:color w:val="1F4D78"/>
          <w:sz w:val="22"/>
          <w:szCs w:val="22"/>
        </w:rPr>
        <w:t xml:space="preserve">Interpretation</w:t>
      </w:r>
    </w:p>
    <w:p>
      <w:pPr>
        <w:spacing w:after="160" w:line="276" w:lineRule="auto"/>
      </w:pPr>
      <w:r>
        <w:rPr>
          <w:color w:val="1A1A1A"/>
          <w:sz w:val="21"/>
          <w:szCs w:val="21"/>
        </w:rPr>
        <w:t xml:space="preserve">A non-zero balance residual for a large share of records is a known property of PaySim's simulator, not a data corruption bug — but it must still be documented, since it directly becomes the balanceDeltaOrig/Dest features rather than being treated as noise to remove.</w:t>
      </w:r>
    </w:p>
    <w:p>
      <w:pPr>
        <w:pStyle w:val="Heading3"/>
        <w:spacing w:after="80" w:before="200"/>
      </w:pPr>
      <w:r>
        <w:rPr>
          <w:b/>
          <w:bCs/>
          <w:color w:val="1F4D78"/>
          <w:sz w:val="22"/>
          <w:szCs w:val="22"/>
        </w:rPr>
        <w:t xml:space="preserve">Impact on the ML Pipeline</w:t>
      </w:r>
    </w:p>
    <w:p>
      <w:pPr>
        <w:spacing w:after="160" w:line="276" w:lineRule="auto"/>
      </w:pPr>
      <w:r>
        <w:rPr>
          <w:color w:val="1A1A1A"/>
          <w:sz w:val="21"/>
          <w:szCs w:val="21"/>
        </w:rPr>
        <w:t xml:space="preserve">This assessment produces the definitive list that Section 9 (Data Cleaning) works from — every cleaning action in this project should trace back to a specific, named finding from this checklist.</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Write the data quality checklist down explicitly in the notebook — it becomes both your cleaning plan and your documentation for why each cleaning step exists.</w:t>
      </w:r>
    </w:p>
    <w:p>
      <w:r>
        <w:br w:type="page"/>
      </w:r>
    </w:p>
    <w:p>
      <w:pPr>
        <w:pStyle w:val="Heading1"/>
        <w:pBdr>
          <w:bottom w:val="single" w:color="2E5FA3" w:sz="6" w:space="4"/>
        </w:pBdr>
        <w:spacing w:after="160" w:before="400"/>
      </w:pPr>
      <w:r>
        <w:rPr>
          <w:b/>
          <w:bCs/>
          <w:color w:val="1A1A1A"/>
          <w:sz w:val="30"/>
          <w:szCs w:val="30"/>
        </w:rPr>
        <w:t xml:space="preserve">7. Applying EDA to PaySim</w:t>
      </w:r>
    </w:p>
    <w:p>
      <w:pPr>
        <w:spacing w:after="160" w:line="276" w:lineRule="auto"/>
      </w:pPr>
      <w:r>
        <w:rPr>
          <w:color w:val="1A1A1A"/>
          <w:sz w:val="21"/>
          <w:szCs w:val="21"/>
        </w:rPr>
        <w:t xml:space="preserve">This section is a working guide, not a results dump. It tells you what to look for and why, for each analysis — the actual numbers, plots, and conclusions belong in your own EDA.ipynb, since generating those findings yourself is the point of the exercise.</w:t>
      </w:r>
    </w:p>
    <w:p>
      <w:pPr>
        <w:pStyle w:val="Heading2"/>
        <w:spacing w:after="120" w:before="280"/>
      </w:pPr>
      <w:r>
        <w:rPr>
          <w:b/>
          <w:bCs/>
          <w:color w:val="2E5FA3"/>
          <w:sz w:val="24"/>
          <w:szCs w:val="24"/>
        </w:rPr>
        <w:t xml:space="preserve">7.1 Transaction Amount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7040"/>
      </w:tblGrid>
      <w:tr>
        <w:trPr>
          <w:tblHeader/>
        </w:trPr>
        <w:tc>
          <w:tcPr>
            <w:tcW w:type="dxa" w:w="2200"/>
            <w:shd w:fill="2E5FA3" w:color="auto" w:val="clear"/>
            <w:tcMar>
              <w:top w:type="dxa" w:w="80"/>
              <w:left w:type="dxa" w:w="120"/>
              <w:bottom w:type="dxa" w:w="80"/>
              <w:right w:type="dxa" w:w="120"/>
            </w:tcMar>
            <w:vAlign w:val="center"/>
          </w:tcPr>
          <w:p>
            <w:r>
              <w:rPr>
                <w:b/>
                <w:bCs/>
                <w:color w:val="FFFFFF"/>
              </w:rPr>
              <w:t xml:space="preserve">Aspect</w:t>
            </w:r>
          </w:p>
        </w:tc>
        <w:tc>
          <w:tcPr>
            <w:tcW w:type="dxa" w:w="7040"/>
            <w:shd w:fill="2E5FA3" w:color="auto" w:val="clear"/>
            <w:tcMar>
              <w:top w:type="dxa" w:w="80"/>
              <w:left w:type="dxa" w:w="120"/>
              <w:bottom w:type="dxa" w:w="80"/>
              <w:right w:type="dxa" w:w="120"/>
            </w:tcMar>
            <w:vAlign w:val="center"/>
          </w:tcPr>
          <w:p>
            <w:r>
              <w:rPr>
                <w:b/>
                <w:bCs/>
                <w:color w:val="FFFFFF"/>
              </w:rPr>
              <w:t xml:space="preserve">What to do</w:t>
            </w:r>
          </w:p>
        </w:tc>
      </w:tr>
      <w:tr>
        <w:tc>
          <w:tcPr>
            <w:tcW w:type="dxa" w:w="2200"/>
            <w:tcMar>
              <w:top w:type="dxa" w:w="80"/>
              <w:left w:type="dxa" w:w="120"/>
              <w:bottom w:type="dxa" w:w="80"/>
              <w:right w:type="dxa" w:w="120"/>
            </w:tcMar>
            <w:vAlign w:val="center"/>
          </w:tcPr>
          <w:p>
            <w:r>
              <w:rPr>
                <w:b w:val="false"/>
                <w:bCs w:val="false"/>
                <w:color w:val="1A1A1A"/>
              </w:rPr>
              <w:t xml:space="preserve">Purpose</w:t>
            </w:r>
          </w:p>
        </w:tc>
        <w:tc>
          <w:tcPr>
            <w:tcW w:type="dxa" w:w="7040"/>
            <w:tcMar>
              <w:top w:type="dxa" w:w="80"/>
              <w:left w:type="dxa" w:w="120"/>
              <w:bottom w:type="dxa" w:w="80"/>
              <w:right w:type="dxa" w:w="120"/>
            </w:tcMar>
            <w:vAlign w:val="center"/>
          </w:tcPr>
          <w:p>
            <w:r>
              <w:rPr>
                <w:b w:val="false"/>
                <w:bCs w:val="false"/>
                <w:color w:val="1A1A1A"/>
              </w:rPr>
              <w:t xml:space="preserve">Understand the scale and shape of transaction values across the dataset.</w:t>
            </w:r>
          </w:p>
        </w:tc>
      </w:tr>
      <w:tr>
        <w:tc>
          <w:tcPr>
            <w:tcW w:type="dxa" w:w="2200"/>
            <w:shd w:fill="F2F2F2" w:color="auto" w:val="clear"/>
            <w:tcMar>
              <w:top w:type="dxa" w:w="80"/>
              <w:left w:type="dxa" w:w="120"/>
              <w:bottom w:type="dxa" w:w="80"/>
              <w:right w:type="dxa" w:w="120"/>
            </w:tcMar>
            <w:vAlign w:val="center"/>
          </w:tcPr>
          <w:p>
            <w:r>
              <w:rPr>
                <w:b w:val="false"/>
                <w:bCs w:val="false"/>
                <w:color w:val="1A1A1A"/>
              </w:rPr>
              <w:t xml:space="preserve">Expected Visualization</w:t>
            </w:r>
          </w:p>
        </w:tc>
        <w:tc>
          <w:tcPr>
            <w:tcW w:type="dxa" w:w="7040"/>
            <w:shd w:fill="F2F2F2" w:color="auto" w:val="clear"/>
            <w:tcMar>
              <w:top w:type="dxa" w:w="80"/>
              <w:left w:type="dxa" w:w="120"/>
              <w:bottom w:type="dxa" w:w="80"/>
              <w:right w:type="dxa" w:w="120"/>
            </w:tcMar>
            <w:vAlign w:val="center"/>
          </w:tcPr>
          <w:p>
            <w:r>
              <w:rPr>
                <w:b w:val="false"/>
                <w:bCs w:val="false"/>
                <w:color w:val="1A1A1A"/>
              </w:rPr>
              <w:t xml:space="preserve">Histogram of amount (raw and log-transformed), side by side.</w:t>
            </w:r>
          </w:p>
        </w:tc>
      </w:tr>
      <w:tr>
        <w:tc>
          <w:tcPr>
            <w:tcW w:type="dxa" w:w="2200"/>
            <w:tcMar>
              <w:top w:type="dxa" w:w="80"/>
              <w:left w:type="dxa" w:w="120"/>
              <w:bottom w:type="dxa" w:w="80"/>
              <w:right w:type="dxa" w:w="120"/>
            </w:tcMar>
            <w:vAlign w:val="center"/>
          </w:tcPr>
          <w:p>
            <w:r>
              <w:rPr>
                <w:b w:val="false"/>
                <w:bCs w:val="false"/>
                <w:color w:val="1A1A1A"/>
              </w:rPr>
              <w:t xml:space="preserve">Possible Observation</w:t>
            </w:r>
          </w:p>
        </w:tc>
        <w:tc>
          <w:tcPr>
            <w:tcW w:type="dxa" w:w="7040"/>
            <w:tcMar>
              <w:top w:type="dxa" w:w="80"/>
              <w:left w:type="dxa" w:w="120"/>
              <w:bottom w:type="dxa" w:w="80"/>
              <w:right w:type="dxa" w:w="120"/>
            </w:tcMar>
            <w:vAlign w:val="center"/>
          </w:tcPr>
          <w:p>
            <w:r>
              <w:rPr>
                <w:b w:val="false"/>
                <w:bCs w:val="false"/>
                <w:color w:val="1A1A1A"/>
              </w:rPr>
              <w:t xml:space="preserve">A long right tail with a small number of very large transfers.</w:t>
            </w:r>
          </w:p>
        </w:tc>
      </w:tr>
      <w:tr>
        <w:tc>
          <w:tcPr>
            <w:tcW w:type="dxa" w:w="2200"/>
            <w:shd w:fill="F2F2F2" w:color="auto" w:val="clear"/>
            <w:tcMar>
              <w:top w:type="dxa" w:w="80"/>
              <w:left w:type="dxa" w:w="120"/>
              <w:bottom w:type="dxa" w:w="80"/>
              <w:right w:type="dxa" w:w="120"/>
            </w:tcMar>
            <w:vAlign w:val="center"/>
          </w:tcPr>
          <w:p>
            <w:r>
              <w:rPr>
                <w:b w:val="false"/>
                <w:bCs w:val="false"/>
                <w:color w:val="1A1A1A"/>
              </w:rPr>
              <w:t xml:space="preserve">Possible Interpretation</w:t>
            </w:r>
          </w:p>
        </w:tc>
        <w:tc>
          <w:tcPr>
            <w:tcW w:type="dxa" w:w="7040"/>
            <w:shd w:fill="F2F2F2" w:color="auto" w:val="clear"/>
            <w:tcMar>
              <w:top w:type="dxa" w:w="80"/>
              <w:left w:type="dxa" w:w="120"/>
              <w:bottom w:type="dxa" w:w="80"/>
              <w:right w:type="dxa" w:w="120"/>
            </w:tcMar>
            <w:vAlign w:val="center"/>
          </w:tcPr>
          <w:p>
            <w:r>
              <w:rPr>
                <w:b w:val="false"/>
                <w:bCs w:val="false"/>
                <w:color w:val="1A1A1A"/>
              </w:rPr>
              <w:t xml:space="preserve">Most transactions are small routine payments; a handful of large transfers dominate the raw scale.</w:t>
            </w:r>
          </w:p>
        </w:tc>
      </w:tr>
      <w:tr>
        <w:tc>
          <w:tcPr>
            <w:tcW w:type="dxa" w:w="2200"/>
            <w:tcMar>
              <w:top w:type="dxa" w:w="80"/>
              <w:left w:type="dxa" w:w="120"/>
              <w:bottom w:type="dxa" w:w="80"/>
              <w:right w:type="dxa" w:w="120"/>
            </w:tcMar>
            <w:vAlign w:val="center"/>
          </w:tcPr>
          <w:p>
            <w:r>
              <w:rPr>
                <w:b w:val="false"/>
                <w:bCs w:val="false"/>
                <w:color w:val="1A1A1A"/>
              </w:rPr>
              <w:t xml:space="preserve">Possible Cleaning Decision</w:t>
            </w:r>
          </w:p>
        </w:tc>
        <w:tc>
          <w:tcPr>
            <w:tcW w:type="dxa" w:w="7040"/>
            <w:tcMar>
              <w:top w:type="dxa" w:w="80"/>
              <w:left w:type="dxa" w:w="120"/>
              <w:bottom w:type="dxa" w:w="80"/>
              <w:right w:type="dxa" w:w="120"/>
            </w:tcMar>
            <w:vAlign w:val="center"/>
          </w:tcPr>
          <w:p>
            <w:r>
              <w:rPr>
                <w:b w:val="false"/>
                <w:bCs w:val="false"/>
                <w:color w:val="1A1A1A"/>
              </w:rPr>
              <w:t xml:space="preserve">Apply a log1p transform for modeling; retain the raw amount for reporting and dashboards.</w:t>
            </w:r>
          </w:p>
        </w:tc>
      </w:tr>
    </w:tbl>
    <w:p>
      <w:pPr>
        <w:pStyle w:val="Heading2"/>
        <w:spacing w:after="120" w:before="280"/>
      </w:pPr>
      <w:r>
        <w:rPr>
          <w:b/>
          <w:bCs/>
          <w:color w:val="2E5FA3"/>
          <w:sz w:val="24"/>
          <w:szCs w:val="24"/>
        </w:rPr>
        <w:t xml:space="preserve">7.2 Transaction Type vs. Fraud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7040"/>
      </w:tblGrid>
      <w:tr>
        <w:trPr>
          <w:tblHeader/>
        </w:trPr>
        <w:tc>
          <w:tcPr>
            <w:tcW w:type="dxa" w:w="2200"/>
            <w:shd w:fill="2E5FA3" w:color="auto" w:val="clear"/>
            <w:tcMar>
              <w:top w:type="dxa" w:w="80"/>
              <w:left w:type="dxa" w:w="120"/>
              <w:bottom w:type="dxa" w:w="80"/>
              <w:right w:type="dxa" w:w="120"/>
            </w:tcMar>
            <w:vAlign w:val="center"/>
          </w:tcPr>
          <w:p>
            <w:r>
              <w:rPr>
                <w:b/>
                <w:bCs/>
                <w:color w:val="FFFFFF"/>
              </w:rPr>
              <w:t xml:space="preserve">Aspect</w:t>
            </w:r>
          </w:p>
        </w:tc>
        <w:tc>
          <w:tcPr>
            <w:tcW w:type="dxa" w:w="7040"/>
            <w:shd w:fill="2E5FA3" w:color="auto" w:val="clear"/>
            <w:tcMar>
              <w:top w:type="dxa" w:w="80"/>
              <w:left w:type="dxa" w:w="120"/>
              <w:bottom w:type="dxa" w:w="80"/>
              <w:right w:type="dxa" w:w="120"/>
            </w:tcMar>
            <w:vAlign w:val="center"/>
          </w:tcPr>
          <w:p>
            <w:r>
              <w:rPr>
                <w:b/>
                <w:bCs/>
                <w:color w:val="FFFFFF"/>
              </w:rPr>
              <w:t xml:space="preserve">What to do</w:t>
            </w:r>
          </w:p>
        </w:tc>
      </w:tr>
      <w:tr>
        <w:tc>
          <w:tcPr>
            <w:tcW w:type="dxa" w:w="2200"/>
            <w:tcMar>
              <w:top w:type="dxa" w:w="80"/>
              <w:left w:type="dxa" w:w="120"/>
              <w:bottom w:type="dxa" w:w="80"/>
              <w:right w:type="dxa" w:w="120"/>
            </w:tcMar>
            <w:vAlign w:val="center"/>
          </w:tcPr>
          <w:p>
            <w:r>
              <w:rPr>
                <w:b w:val="false"/>
                <w:bCs w:val="false"/>
                <w:color w:val="1A1A1A"/>
              </w:rPr>
              <w:t xml:space="preserve">Purpose</w:t>
            </w:r>
          </w:p>
        </w:tc>
        <w:tc>
          <w:tcPr>
            <w:tcW w:type="dxa" w:w="7040"/>
            <w:tcMar>
              <w:top w:type="dxa" w:w="80"/>
              <w:left w:type="dxa" w:w="120"/>
              <w:bottom w:type="dxa" w:w="80"/>
              <w:right w:type="dxa" w:w="120"/>
            </w:tcMar>
            <w:vAlign w:val="center"/>
          </w:tcPr>
          <w:p>
            <w:r>
              <w:rPr>
                <w:b w:val="false"/>
                <w:bCs w:val="false"/>
                <w:color w:val="1A1A1A"/>
              </w:rPr>
              <w:t xml:space="preserve">Identify which transaction types carry fraud risk.</w:t>
            </w:r>
          </w:p>
        </w:tc>
      </w:tr>
      <w:tr>
        <w:tc>
          <w:tcPr>
            <w:tcW w:type="dxa" w:w="2200"/>
            <w:shd w:fill="F2F2F2" w:color="auto" w:val="clear"/>
            <w:tcMar>
              <w:top w:type="dxa" w:w="80"/>
              <w:left w:type="dxa" w:w="120"/>
              <w:bottom w:type="dxa" w:w="80"/>
              <w:right w:type="dxa" w:w="120"/>
            </w:tcMar>
            <w:vAlign w:val="center"/>
          </w:tcPr>
          <w:p>
            <w:r>
              <w:rPr>
                <w:b w:val="false"/>
                <w:bCs w:val="false"/>
                <w:color w:val="1A1A1A"/>
              </w:rPr>
              <w:t xml:space="preserve">Expected Visualization</w:t>
            </w:r>
          </w:p>
        </w:tc>
        <w:tc>
          <w:tcPr>
            <w:tcW w:type="dxa" w:w="7040"/>
            <w:shd w:fill="F2F2F2" w:color="auto" w:val="clear"/>
            <w:tcMar>
              <w:top w:type="dxa" w:w="80"/>
              <w:left w:type="dxa" w:w="120"/>
              <w:bottom w:type="dxa" w:w="80"/>
              <w:right w:type="dxa" w:w="120"/>
            </w:tcMar>
            <w:vAlign w:val="center"/>
          </w:tcPr>
          <w:p>
            <w:r>
              <w:rPr>
                <w:b w:val="false"/>
                <w:bCs w:val="false"/>
                <w:color w:val="1A1A1A"/>
              </w:rPr>
              <w:t xml:space="preserve">Bar chart of fraud rate per type, on a log y-axis.</w:t>
            </w:r>
          </w:p>
        </w:tc>
      </w:tr>
      <w:tr>
        <w:tc>
          <w:tcPr>
            <w:tcW w:type="dxa" w:w="2200"/>
            <w:tcMar>
              <w:top w:type="dxa" w:w="80"/>
              <w:left w:type="dxa" w:w="120"/>
              <w:bottom w:type="dxa" w:w="80"/>
              <w:right w:type="dxa" w:w="120"/>
            </w:tcMar>
            <w:vAlign w:val="center"/>
          </w:tcPr>
          <w:p>
            <w:r>
              <w:rPr>
                <w:b w:val="false"/>
                <w:bCs w:val="false"/>
                <w:color w:val="1A1A1A"/>
              </w:rPr>
              <w:t xml:space="preserve">Possible Observation</w:t>
            </w:r>
          </w:p>
        </w:tc>
        <w:tc>
          <w:tcPr>
            <w:tcW w:type="dxa" w:w="7040"/>
            <w:tcMar>
              <w:top w:type="dxa" w:w="80"/>
              <w:left w:type="dxa" w:w="120"/>
              <w:bottom w:type="dxa" w:w="80"/>
              <w:right w:type="dxa" w:w="120"/>
            </w:tcMar>
            <w:vAlign w:val="center"/>
          </w:tcPr>
          <w:p>
            <w:r>
              <w:rPr>
                <w:b w:val="false"/>
                <w:bCs w:val="false"/>
                <w:color w:val="1A1A1A"/>
              </w:rPr>
              <w:t xml:space="preserve">Fraud concentrated almost entirely in TRANSFER and CASH_OUT.</w:t>
            </w:r>
          </w:p>
        </w:tc>
      </w:tr>
      <w:tr>
        <w:tc>
          <w:tcPr>
            <w:tcW w:type="dxa" w:w="2200"/>
            <w:shd w:fill="F2F2F2" w:color="auto" w:val="clear"/>
            <w:tcMar>
              <w:top w:type="dxa" w:w="80"/>
              <w:left w:type="dxa" w:w="120"/>
              <w:bottom w:type="dxa" w:w="80"/>
              <w:right w:type="dxa" w:w="120"/>
            </w:tcMar>
            <w:vAlign w:val="center"/>
          </w:tcPr>
          <w:p>
            <w:r>
              <w:rPr>
                <w:b w:val="false"/>
                <w:bCs w:val="false"/>
                <w:color w:val="1A1A1A"/>
              </w:rPr>
              <w:t xml:space="preserve">Possible Interpretation</w:t>
            </w:r>
          </w:p>
        </w:tc>
        <w:tc>
          <w:tcPr>
            <w:tcW w:type="dxa" w:w="7040"/>
            <w:shd w:fill="F2F2F2" w:color="auto" w:val="clear"/>
            <w:tcMar>
              <w:top w:type="dxa" w:w="80"/>
              <w:left w:type="dxa" w:w="120"/>
              <w:bottom w:type="dxa" w:w="80"/>
              <w:right w:type="dxa" w:w="120"/>
            </w:tcMar>
            <w:vAlign w:val="center"/>
          </w:tcPr>
          <w:p>
            <w:r>
              <w:rPr>
                <w:b w:val="false"/>
                <w:bCs w:val="false"/>
                <w:color w:val="1A1A1A"/>
              </w:rPr>
              <w:t xml:space="preserve">The other three types (CASH_IN, DEBIT, PAYMENT) may be near-zero risk in this simulation.</w:t>
            </w:r>
          </w:p>
        </w:tc>
      </w:tr>
      <w:tr>
        <w:tc>
          <w:tcPr>
            <w:tcW w:type="dxa" w:w="2200"/>
            <w:tcMar>
              <w:top w:type="dxa" w:w="80"/>
              <w:left w:type="dxa" w:w="120"/>
              <w:bottom w:type="dxa" w:w="80"/>
              <w:right w:type="dxa" w:w="120"/>
            </w:tcMar>
            <w:vAlign w:val="center"/>
          </w:tcPr>
          <w:p>
            <w:r>
              <w:rPr>
                <w:b w:val="false"/>
                <w:bCs w:val="false"/>
                <w:color w:val="1A1A1A"/>
              </w:rPr>
              <w:t xml:space="preserve">Possible Cleaning Decision</w:t>
            </w:r>
          </w:p>
        </w:tc>
        <w:tc>
          <w:tcPr>
            <w:tcW w:type="dxa" w:w="7040"/>
            <w:tcMar>
              <w:top w:type="dxa" w:w="80"/>
              <w:left w:type="dxa" w:w="120"/>
              <w:bottom w:type="dxa" w:w="80"/>
              <w:right w:type="dxa" w:w="120"/>
            </w:tcMar>
            <w:vAlign w:val="center"/>
          </w:tcPr>
          <w:p>
            <w:r>
              <w:rPr>
                <w:b w:val="false"/>
                <w:bCs w:val="false"/>
                <w:color w:val="1A1A1A"/>
              </w:rPr>
              <w:t xml:space="preserve">Consider whether to model all types together or restrict the anomaly detector's primary focus to TRANSFER/CASH_OUT — document the reasoning either way.</w:t>
            </w:r>
          </w:p>
        </w:tc>
      </w:tr>
    </w:tbl>
    <w:p>
      <w:pPr>
        <w:pStyle w:val="Heading2"/>
        <w:spacing w:after="120" w:before="280"/>
      </w:pPr>
      <w:r>
        <w:rPr>
          <w:b/>
          <w:bCs/>
          <w:color w:val="2E5FA3"/>
          <w:sz w:val="24"/>
          <w:szCs w:val="24"/>
        </w:rPr>
        <w:t xml:space="preserve">7.3 Balance Consistency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7040"/>
      </w:tblGrid>
      <w:tr>
        <w:trPr>
          <w:tblHeader/>
        </w:trPr>
        <w:tc>
          <w:tcPr>
            <w:tcW w:type="dxa" w:w="2200"/>
            <w:shd w:fill="2E5FA3" w:color="auto" w:val="clear"/>
            <w:tcMar>
              <w:top w:type="dxa" w:w="80"/>
              <w:left w:type="dxa" w:w="120"/>
              <w:bottom w:type="dxa" w:w="80"/>
              <w:right w:type="dxa" w:w="120"/>
            </w:tcMar>
            <w:vAlign w:val="center"/>
          </w:tcPr>
          <w:p>
            <w:r>
              <w:rPr>
                <w:b/>
                <w:bCs/>
                <w:color w:val="FFFFFF"/>
              </w:rPr>
              <w:t xml:space="preserve">Aspect</w:t>
            </w:r>
          </w:p>
        </w:tc>
        <w:tc>
          <w:tcPr>
            <w:tcW w:type="dxa" w:w="7040"/>
            <w:shd w:fill="2E5FA3" w:color="auto" w:val="clear"/>
            <w:tcMar>
              <w:top w:type="dxa" w:w="80"/>
              <w:left w:type="dxa" w:w="120"/>
              <w:bottom w:type="dxa" w:w="80"/>
              <w:right w:type="dxa" w:w="120"/>
            </w:tcMar>
            <w:vAlign w:val="center"/>
          </w:tcPr>
          <w:p>
            <w:r>
              <w:rPr>
                <w:b/>
                <w:bCs/>
                <w:color w:val="FFFFFF"/>
              </w:rPr>
              <w:t xml:space="preserve">What to do</w:t>
            </w:r>
          </w:p>
        </w:tc>
      </w:tr>
      <w:tr>
        <w:tc>
          <w:tcPr>
            <w:tcW w:type="dxa" w:w="2200"/>
            <w:tcMar>
              <w:top w:type="dxa" w:w="80"/>
              <w:left w:type="dxa" w:w="120"/>
              <w:bottom w:type="dxa" w:w="80"/>
              <w:right w:type="dxa" w:w="120"/>
            </w:tcMar>
            <w:vAlign w:val="center"/>
          </w:tcPr>
          <w:p>
            <w:r>
              <w:rPr>
                <w:b w:val="false"/>
                <w:bCs w:val="false"/>
                <w:color w:val="1A1A1A"/>
              </w:rPr>
              <w:t xml:space="preserve">Purpose</w:t>
            </w:r>
          </w:p>
        </w:tc>
        <w:tc>
          <w:tcPr>
            <w:tcW w:type="dxa" w:w="7040"/>
            <w:tcMar>
              <w:top w:type="dxa" w:w="80"/>
              <w:left w:type="dxa" w:w="120"/>
              <w:bottom w:type="dxa" w:w="80"/>
              <w:right w:type="dxa" w:w="120"/>
            </w:tcMar>
            <w:vAlign w:val="center"/>
          </w:tcPr>
          <w:p>
            <w:r>
              <w:rPr>
                <w:b w:val="false"/>
                <w:bCs w:val="false"/>
                <w:color w:val="1A1A1A"/>
              </w:rPr>
              <w:t xml:space="preserve">Check whether account balances update the way the transaction amount implies they should.</w:t>
            </w:r>
          </w:p>
        </w:tc>
      </w:tr>
      <w:tr>
        <w:tc>
          <w:tcPr>
            <w:tcW w:type="dxa" w:w="2200"/>
            <w:shd w:fill="F2F2F2" w:color="auto" w:val="clear"/>
            <w:tcMar>
              <w:top w:type="dxa" w:w="80"/>
              <w:left w:type="dxa" w:w="120"/>
              <w:bottom w:type="dxa" w:w="80"/>
              <w:right w:type="dxa" w:w="120"/>
            </w:tcMar>
            <w:vAlign w:val="center"/>
          </w:tcPr>
          <w:p>
            <w:r>
              <w:rPr>
                <w:b w:val="false"/>
                <w:bCs w:val="false"/>
                <w:color w:val="1A1A1A"/>
              </w:rPr>
              <w:t xml:space="preserve">Expected Visualization</w:t>
            </w:r>
          </w:p>
        </w:tc>
        <w:tc>
          <w:tcPr>
            <w:tcW w:type="dxa" w:w="7040"/>
            <w:shd w:fill="F2F2F2" w:color="auto" w:val="clear"/>
            <w:tcMar>
              <w:top w:type="dxa" w:w="80"/>
              <w:left w:type="dxa" w:w="120"/>
              <w:bottom w:type="dxa" w:w="80"/>
              <w:right w:type="dxa" w:w="120"/>
            </w:tcMar>
            <w:vAlign w:val="center"/>
          </w:tcPr>
          <w:p>
            <w:r>
              <w:rPr>
                <w:b w:val="false"/>
                <w:bCs w:val="false"/>
                <w:color w:val="1A1A1A"/>
              </w:rPr>
              <w:t xml:space="preserve">Histogram of the balance residual (oldbalance − amount − newbalance).</w:t>
            </w:r>
          </w:p>
        </w:tc>
      </w:tr>
      <w:tr>
        <w:tc>
          <w:tcPr>
            <w:tcW w:type="dxa" w:w="2200"/>
            <w:tcMar>
              <w:top w:type="dxa" w:w="80"/>
              <w:left w:type="dxa" w:w="120"/>
              <w:bottom w:type="dxa" w:w="80"/>
              <w:right w:type="dxa" w:w="120"/>
            </w:tcMar>
            <w:vAlign w:val="center"/>
          </w:tcPr>
          <w:p>
            <w:r>
              <w:rPr>
                <w:b w:val="false"/>
                <w:bCs w:val="false"/>
                <w:color w:val="1A1A1A"/>
              </w:rPr>
              <w:t xml:space="preserve">Possible Observation</w:t>
            </w:r>
          </w:p>
        </w:tc>
        <w:tc>
          <w:tcPr>
            <w:tcW w:type="dxa" w:w="7040"/>
            <w:tcMar>
              <w:top w:type="dxa" w:w="80"/>
              <w:left w:type="dxa" w:w="120"/>
              <w:bottom w:type="dxa" w:w="80"/>
              <w:right w:type="dxa" w:w="120"/>
            </w:tcMar>
            <w:vAlign w:val="center"/>
          </w:tcPr>
          <w:p>
            <w:r>
              <w:rPr>
                <w:b w:val="false"/>
                <w:bCs w:val="false"/>
                <w:color w:val="1A1A1A"/>
              </w:rPr>
              <w:t xml:space="preserve">A cluster of transactions with a large, non-zero residual.</w:t>
            </w:r>
          </w:p>
        </w:tc>
      </w:tr>
      <w:tr>
        <w:tc>
          <w:tcPr>
            <w:tcW w:type="dxa" w:w="2200"/>
            <w:shd w:fill="F2F2F2" w:color="auto" w:val="clear"/>
            <w:tcMar>
              <w:top w:type="dxa" w:w="80"/>
              <w:left w:type="dxa" w:w="120"/>
              <w:bottom w:type="dxa" w:w="80"/>
              <w:right w:type="dxa" w:w="120"/>
            </w:tcMar>
            <w:vAlign w:val="center"/>
          </w:tcPr>
          <w:p>
            <w:r>
              <w:rPr>
                <w:b w:val="false"/>
                <w:bCs w:val="false"/>
                <w:color w:val="1A1A1A"/>
              </w:rPr>
              <w:t xml:space="preserve">Possible Interpretation</w:t>
            </w:r>
          </w:p>
        </w:tc>
        <w:tc>
          <w:tcPr>
            <w:tcW w:type="dxa" w:w="7040"/>
            <w:shd w:fill="F2F2F2" w:color="auto" w:val="clear"/>
            <w:tcMar>
              <w:top w:type="dxa" w:w="80"/>
              <w:left w:type="dxa" w:w="120"/>
              <w:bottom w:type="dxa" w:w="80"/>
              <w:right w:type="dxa" w:w="120"/>
            </w:tcMar>
            <w:vAlign w:val="center"/>
          </w:tcPr>
          <w:p>
            <w:r>
              <w:rPr>
                <w:b w:val="false"/>
                <w:bCs w:val="false"/>
                <w:color w:val="1A1A1A"/>
              </w:rPr>
              <w:t xml:space="preserve">The residual is likely a structural feature of the simulator's fraud-generation logic, not random noise.</w:t>
            </w:r>
          </w:p>
        </w:tc>
      </w:tr>
      <w:tr>
        <w:tc>
          <w:tcPr>
            <w:tcW w:type="dxa" w:w="2200"/>
            <w:tcMar>
              <w:top w:type="dxa" w:w="80"/>
              <w:left w:type="dxa" w:w="120"/>
              <w:bottom w:type="dxa" w:w="80"/>
              <w:right w:type="dxa" w:w="120"/>
            </w:tcMar>
            <w:vAlign w:val="center"/>
          </w:tcPr>
          <w:p>
            <w:r>
              <w:rPr>
                <w:b w:val="false"/>
                <w:bCs w:val="false"/>
                <w:color w:val="1A1A1A"/>
              </w:rPr>
              <w:t xml:space="preserve">Possible Cleaning Decision</w:t>
            </w:r>
          </w:p>
        </w:tc>
        <w:tc>
          <w:tcPr>
            <w:tcW w:type="dxa" w:w="7040"/>
            <w:tcMar>
              <w:top w:type="dxa" w:w="80"/>
              <w:left w:type="dxa" w:w="120"/>
              <w:bottom w:type="dxa" w:w="80"/>
              <w:right w:type="dxa" w:w="120"/>
            </w:tcMar>
            <w:vAlign w:val="center"/>
          </w:tcPr>
          <w:p>
            <w:r>
              <w:rPr>
                <w:b w:val="false"/>
                <w:bCs w:val="false"/>
                <w:color w:val="1A1A1A"/>
              </w:rPr>
              <w:t xml:space="preserve">Do not discard these rows — engineer the residual into a feature rather than treating it as an error to clean away.</w:t>
            </w:r>
          </w:p>
        </w:tc>
      </w:tr>
    </w:tbl>
    <w:p>
      <w:pPr>
        <w:pStyle w:val="Heading2"/>
        <w:spacing w:after="120" w:before="280"/>
      </w:pPr>
      <w:r>
        <w:rPr>
          <w:b/>
          <w:bCs/>
          <w:color w:val="2E5FA3"/>
          <w:sz w:val="24"/>
          <w:szCs w:val="24"/>
        </w:rPr>
        <w:t xml:space="preserve">7.4 Time (step) Patterns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7040"/>
      </w:tblGrid>
      <w:tr>
        <w:trPr>
          <w:tblHeader/>
        </w:trPr>
        <w:tc>
          <w:tcPr>
            <w:tcW w:type="dxa" w:w="2200"/>
            <w:shd w:fill="2E5FA3" w:color="auto" w:val="clear"/>
            <w:tcMar>
              <w:top w:type="dxa" w:w="80"/>
              <w:left w:type="dxa" w:w="120"/>
              <w:bottom w:type="dxa" w:w="80"/>
              <w:right w:type="dxa" w:w="120"/>
            </w:tcMar>
            <w:vAlign w:val="center"/>
          </w:tcPr>
          <w:p>
            <w:r>
              <w:rPr>
                <w:b/>
                <w:bCs/>
                <w:color w:val="FFFFFF"/>
              </w:rPr>
              <w:t xml:space="preserve">Aspect</w:t>
            </w:r>
          </w:p>
        </w:tc>
        <w:tc>
          <w:tcPr>
            <w:tcW w:type="dxa" w:w="7040"/>
            <w:shd w:fill="2E5FA3" w:color="auto" w:val="clear"/>
            <w:tcMar>
              <w:top w:type="dxa" w:w="80"/>
              <w:left w:type="dxa" w:w="120"/>
              <w:bottom w:type="dxa" w:w="80"/>
              <w:right w:type="dxa" w:w="120"/>
            </w:tcMar>
            <w:vAlign w:val="center"/>
          </w:tcPr>
          <w:p>
            <w:r>
              <w:rPr>
                <w:b/>
                <w:bCs/>
                <w:color w:val="FFFFFF"/>
              </w:rPr>
              <w:t xml:space="preserve">What to do</w:t>
            </w:r>
          </w:p>
        </w:tc>
      </w:tr>
      <w:tr>
        <w:tc>
          <w:tcPr>
            <w:tcW w:type="dxa" w:w="2200"/>
            <w:tcMar>
              <w:top w:type="dxa" w:w="80"/>
              <w:left w:type="dxa" w:w="120"/>
              <w:bottom w:type="dxa" w:w="80"/>
              <w:right w:type="dxa" w:w="120"/>
            </w:tcMar>
            <w:vAlign w:val="center"/>
          </w:tcPr>
          <w:p>
            <w:r>
              <w:rPr>
                <w:b w:val="false"/>
                <w:bCs w:val="false"/>
                <w:color w:val="1A1A1A"/>
              </w:rPr>
              <w:t xml:space="preserve">Purpose</w:t>
            </w:r>
          </w:p>
        </w:tc>
        <w:tc>
          <w:tcPr>
            <w:tcW w:type="dxa" w:w="7040"/>
            <w:tcMar>
              <w:top w:type="dxa" w:w="80"/>
              <w:left w:type="dxa" w:w="120"/>
              <w:bottom w:type="dxa" w:w="80"/>
              <w:right w:type="dxa" w:w="120"/>
            </w:tcMar>
            <w:vAlign w:val="center"/>
          </w:tcPr>
          <w:p>
            <w:r>
              <w:rPr>
                <w:b w:val="false"/>
                <w:bCs w:val="false"/>
                <w:color w:val="1A1A1A"/>
              </w:rPr>
              <w:t xml:space="preserve">Check whether transaction volume or fraud rate varies meaningfully over the simulated 30-day period.</w:t>
            </w:r>
          </w:p>
        </w:tc>
      </w:tr>
      <w:tr>
        <w:tc>
          <w:tcPr>
            <w:tcW w:type="dxa" w:w="2200"/>
            <w:shd w:fill="F2F2F2" w:color="auto" w:val="clear"/>
            <w:tcMar>
              <w:top w:type="dxa" w:w="80"/>
              <w:left w:type="dxa" w:w="120"/>
              <w:bottom w:type="dxa" w:w="80"/>
              <w:right w:type="dxa" w:w="120"/>
            </w:tcMar>
            <w:vAlign w:val="center"/>
          </w:tcPr>
          <w:p>
            <w:r>
              <w:rPr>
                <w:b w:val="false"/>
                <w:bCs w:val="false"/>
                <w:color w:val="1A1A1A"/>
              </w:rPr>
              <w:t xml:space="preserve">Expected Visualization</w:t>
            </w:r>
          </w:p>
        </w:tc>
        <w:tc>
          <w:tcPr>
            <w:tcW w:type="dxa" w:w="7040"/>
            <w:shd w:fill="F2F2F2" w:color="auto" w:val="clear"/>
            <w:tcMar>
              <w:top w:type="dxa" w:w="80"/>
              <w:left w:type="dxa" w:w="120"/>
              <w:bottom w:type="dxa" w:w="80"/>
              <w:right w:type="dxa" w:w="120"/>
            </w:tcMar>
            <w:vAlign w:val="center"/>
          </w:tcPr>
          <w:p>
            <w:r>
              <w:rPr>
                <w:b w:val="false"/>
                <w:bCs w:val="false"/>
                <w:color w:val="1A1A1A"/>
              </w:rPr>
              <w:t xml:space="preserve">Line chart of transaction count and fraud count per step.</w:t>
            </w:r>
          </w:p>
        </w:tc>
      </w:tr>
      <w:tr>
        <w:tc>
          <w:tcPr>
            <w:tcW w:type="dxa" w:w="2200"/>
            <w:tcMar>
              <w:top w:type="dxa" w:w="80"/>
              <w:left w:type="dxa" w:w="120"/>
              <w:bottom w:type="dxa" w:w="80"/>
              <w:right w:type="dxa" w:w="120"/>
            </w:tcMar>
            <w:vAlign w:val="center"/>
          </w:tcPr>
          <w:p>
            <w:r>
              <w:rPr>
                <w:b w:val="false"/>
                <w:bCs w:val="false"/>
                <w:color w:val="1A1A1A"/>
              </w:rPr>
              <w:t xml:space="preserve">Possible Observation</w:t>
            </w:r>
          </w:p>
        </w:tc>
        <w:tc>
          <w:tcPr>
            <w:tcW w:type="dxa" w:w="7040"/>
            <w:tcMar>
              <w:top w:type="dxa" w:w="80"/>
              <w:left w:type="dxa" w:w="120"/>
              <w:bottom w:type="dxa" w:w="80"/>
              <w:right w:type="dxa" w:w="120"/>
            </w:tcMar>
            <w:vAlign w:val="center"/>
          </w:tcPr>
          <w:p>
            <w:r>
              <w:rPr>
                <w:b w:val="false"/>
                <w:bCs w:val="false"/>
                <w:color w:val="1A1A1A"/>
              </w:rPr>
              <w:t xml:space="preserve">Possible mild periodicity, or a relatively flat pattern depending on the simulator's design.</w:t>
            </w:r>
          </w:p>
        </w:tc>
      </w:tr>
      <w:tr>
        <w:tc>
          <w:tcPr>
            <w:tcW w:type="dxa" w:w="2200"/>
            <w:shd w:fill="F2F2F2" w:color="auto" w:val="clear"/>
            <w:tcMar>
              <w:top w:type="dxa" w:w="80"/>
              <w:left w:type="dxa" w:w="120"/>
              <w:bottom w:type="dxa" w:w="80"/>
              <w:right w:type="dxa" w:w="120"/>
            </w:tcMar>
            <w:vAlign w:val="center"/>
          </w:tcPr>
          <w:p>
            <w:r>
              <w:rPr>
                <w:b w:val="false"/>
                <w:bCs w:val="false"/>
                <w:color w:val="1A1A1A"/>
              </w:rPr>
              <w:t xml:space="preserve">Possible Interpretation</w:t>
            </w:r>
          </w:p>
        </w:tc>
        <w:tc>
          <w:tcPr>
            <w:tcW w:type="dxa" w:w="7040"/>
            <w:shd w:fill="F2F2F2" w:color="auto" w:val="clear"/>
            <w:tcMar>
              <w:top w:type="dxa" w:w="80"/>
              <w:left w:type="dxa" w:w="120"/>
              <w:bottom w:type="dxa" w:w="80"/>
              <w:right w:type="dxa" w:w="120"/>
            </w:tcMar>
            <w:vAlign w:val="center"/>
          </w:tcPr>
          <w:p>
            <w:r>
              <w:rPr>
                <w:b w:val="false"/>
                <w:bCs w:val="false"/>
                <w:color w:val="1A1A1A"/>
              </w:rPr>
              <w:t xml:space="preserve">Weak time signal in a simulated dataset is expected and should not be over-interpreted as a real-world pattern.</w:t>
            </w:r>
          </w:p>
        </w:tc>
      </w:tr>
      <w:tr>
        <w:tc>
          <w:tcPr>
            <w:tcW w:type="dxa" w:w="2200"/>
            <w:tcMar>
              <w:top w:type="dxa" w:w="80"/>
              <w:left w:type="dxa" w:w="120"/>
              <w:bottom w:type="dxa" w:w="80"/>
              <w:right w:type="dxa" w:w="120"/>
            </w:tcMar>
            <w:vAlign w:val="center"/>
          </w:tcPr>
          <w:p>
            <w:r>
              <w:rPr>
                <w:b w:val="false"/>
                <w:bCs w:val="false"/>
                <w:color w:val="1A1A1A"/>
              </w:rPr>
              <w:t xml:space="preserve">Possible Cleaning Decision</w:t>
            </w:r>
          </w:p>
        </w:tc>
        <w:tc>
          <w:tcPr>
            <w:tcW w:type="dxa" w:w="7040"/>
            <w:tcMar>
              <w:top w:type="dxa" w:w="80"/>
              <w:left w:type="dxa" w:w="120"/>
              <w:bottom w:type="dxa" w:w="80"/>
              <w:right w:type="dxa" w:w="120"/>
            </w:tcMar>
            <w:vAlign w:val="center"/>
          </w:tcPr>
          <w:p>
            <w:r>
              <w:rPr>
                <w:b w:val="false"/>
                <w:bCs w:val="false"/>
                <w:color w:val="1A1A1A"/>
              </w:rPr>
              <w:t xml:space="preserve">Keep step available for velocity features and drift-window definition, but do not force a strong time-of-day feature if the data doesn't support one.</w:t>
            </w:r>
          </w:p>
        </w:tc>
      </w:tr>
    </w:tbl>
    <w:p>
      <w:pPr>
        <w:pStyle w:val="Heading2"/>
        <w:spacing w:after="120" w:before="280"/>
      </w:pPr>
      <w:r>
        <w:rPr>
          <w:b/>
          <w:bCs/>
          <w:color w:val="2E5FA3"/>
          <w:sz w:val="24"/>
          <w:szCs w:val="24"/>
        </w:rPr>
        <w:t xml:space="preserve">7.5 Zero-Balance / Drained Accounts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7040"/>
      </w:tblGrid>
      <w:tr>
        <w:trPr>
          <w:tblHeader/>
        </w:trPr>
        <w:tc>
          <w:tcPr>
            <w:tcW w:type="dxa" w:w="2200"/>
            <w:shd w:fill="2E5FA3" w:color="auto" w:val="clear"/>
            <w:tcMar>
              <w:top w:type="dxa" w:w="80"/>
              <w:left w:type="dxa" w:w="120"/>
              <w:bottom w:type="dxa" w:w="80"/>
              <w:right w:type="dxa" w:w="120"/>
            </w:tcMar>
            <w:vAlign w:val="center"/>
          </w:tcPr>
          <w:p>
            <w:r>
              <w:rPr>
                <w:b/>
                <w:bCs/>
                <w:color w:val="FFFFFF"/>
              </w:rPr>
              <w:t xml:space="preserve">Aspect</w:t>
            </w:r>
          </w:p>
        </w:tc>
        <w:tc>
          <w:tcPr>
            <w:tcW w:type="dxa" w:w="7040"/>
            <w:shd w:fill="2E5FA3" w:color="auto" w:val="clear"/>
            <w:tcMar>
              <w:top w:type="dxa" w:w="80"/>
              <w:left w:type="dxa" w:w="120"/>
              <w:bottom w:type="dxa" w:w="80"/>
              <w:right w:type="dxa" w:w="120"/>
            </w:tcMar>
            <w:vAlign w:val="center"/>
          </w:tcPr>
          <w:p>
            <w:r>
              <w:rPr>
                <w:b/>
                <w:bCs/>
                <w:color w:val="FFFFFF"/>
              </w:rPr>
              <w:t xml:space="preserve">What to do</w:t>
            </w:r>
          </w:p>
        </w:tc>
      </w:tr>
      <w:tr>
        <w:tc>
          <w:tcPr>
            <w:tcW w:type="dxa" w:w="2200"/>
            <w:tcMar>
              <w:top w:type="dxa" w:w="80"/>
              <w:left w:type="dxa" w:w="120"/>
              <w:bottom w:type="dxa" w:w="80"/>
              <w:right w:type="dxa" w:w="120"/>
            </w:tcMar>
            <w:vAlign w:val="center"/>
          </w:tcPr>
          <w:p>
            <w:r>
              <w:rPr>
                <w:b w:val="false"/>
                <w:bCs w:val="false"/>
                <w:color w:val="1A1A1A"/>
              </w:rPr>
              <w:t xml:space="preserve">Purpose</w:t>
            </w:r>
          </w:p>
        </w:tc>
        <w:tc>
          <w:tcPr>
            <w:tcW w:type="dxa" w:w="7040"/>
            <w:tcMar>
              <w:top w:type="dxa" w:w="80"/>
              <w:left w:type="dxa" w:w="120"/>
              <w:bottom w:type="dxa" w:w="80"/>
              <w:right w:type="dxa" w:w="120"/>
            </w:tcMar>
            <w:vAlign w:val="center"/>
          </w:tcPr>
          <w:p>
            <w:r>
              <w:rPr>
                <w:b w:val="false"/>
                <w:bCs w:val="false"/>
                <w:color w:val="1A1A1A"/>
              </w:rPr>
              <w:t xml:space="preserve">Identify the account-takeover-style pattern where an originating account is fully emptied.</w:t>
            </w:r>
          </w:p>
        </w:tc>
      </w:tr>
      <w:tr>
        <w:tc>
          <w:tcPr>
            <w:tcW w:type="dxa" w:w="2200"/>
            <w:shd w:fill="F2F2F2" w:color="auto" w:val="clear"/>
            <w:tcMar>
              <w:top w:type="dxa" w:w="80"/>
              <w:left w:type="dxa" w:w="120"/>
              <w:bottom w:type="dxa" w:w="80"/>
              <w:right w:type="dxa" w:w="120"/>
            </w:tcMar>
            <w:vAlign w:val="center"/>
          </w:tcPr>
          <w:p>
            <w:r>
              <w:rPr>
                <w:b w:val="false"/>
                <w:bCs w:val="false"/>
                <w:color w:val="1A1A1A"/>
              </w:rPr>
              <w:t xml:space="preserve">Expected Visualization</w:t>
            </w:r>
          </w:p>
        </w:tc>
        <w:tc>
          <w:tcPr>
            <w:tcW w:type="dxa" w:w="7040"/>
            <w:shd w:fill="F2F2F2" w:color="auto" w:val="clear"/>
            <w:tcMar>
              <w:top w:type="dxa" w:w="80"/>
              <w:left w:type="dxa" w:w="120"/>
              <w:bottom w:type="dxa" w:w="80"/>
              <w:right w:type="dxa" w:w="120"/>
            </w:tcMar>
            <w:vAlign w:val="center"/>
          </w:tcPr>
          <w:p>
            <w:r>
              <w:rPr>
                <w:b w:val="false"/>
                <w:bCs w:val="false"/>
                <w:color w:val="1A1A1A"/>
              </w:rPr>
              <w:t xml:space="preserve">Count and rate of oldbalanceOrg &gt; 0 and newbalanceOrig == 0, split by isFraud.</w:t>
            </w:r>
          </w:p>
        </w:tc>
      </w:tr>
      <w:tr>
        <w:tc>
          <w:tcPr>
            <w:tcW w:type="dxa" w:w="2200"/>
            <w:tcMar>
              <w:top w:type="dxa" w:w="80"/>
              <w:left w:type="dxa" w:w="120"/>
              <w:bottom w:type="dxa" w:w="80"/>
              <w:right w:type="dxa" w:w="120"/>
            </w:tcMar>
            <w:vAlign w:val="center"/>
          </w:tcPr>
          <w:p>
            <w:r>
              <w:rPr>
                <w:b w:val="false"/>
                <w:bCs w:val="false"/>
                <w:color w:val="1A1A1A"/>
              </w:rPr>
              <w:t xml:space="preserve">Possible Observation</w:t>
            </w:r>
          </w:p>
        </w:tc>
        <w:tc>
          <w:tcPr>
            <w:tcW w:type="dxa" w:w="7040"/>
            <w:tcMar>
              <w:top w:type="dxa" w:w="80"/>
              <w:left w:type="dxa" w:w="120"/>
              <w:bottom w:type="dxa" w:w="80"/>
              <w:right w:type="dxa" w:w="120"/>
            </w:tcMar>
            <w:vAlign w:val="center"/>
          </w:tcPr>
          <w:p>
            <w:r>
              <w:rPr>
                <w:b w:val="false"/>
                <w:bCs w:val="false"/>
                <w:color w:val="1A1A1A"/>
              </w:rPr>
              <w:t xml:space="preserve">A much higher rate of full drains among fraudulent transactions than legitimate ones.</w:t>
            </w:r>
          </w:p>
        </w:tc>
      </w:tr>
      <w:tr>
        <w:tc>
          <w:tcPr>
            <w:tcW w:type="dxa" w:w="2200"/>
            <w:shd w:fill="F2F2F2" w:color="auto" w:val="clear"/>
            <w:tcMar>
              <w:top w:type="dxa" w:w="80"/>
              <w:left w:type="dxa" w:w="120"/>
              <w:bottom w:type="dxa" w:w="80"/>
              <w:right w:type="dxa" w:w="120"/>
            </w:tcMar>
            <w:vAlign w:val="center"/>
          </w:tcPr>
          <w:p>
            <w:r>
              <w:rPr>
                <w:b w:val="false"/>
                <w:bCs w:val="false"/>
                <w:color w:val="1A1A1A"/>
              </w:rPr>
              <w:t xml:space="preserve">Possible Interpretation</w:t>
            </w:r>
          </w:p>
        </w:tc>
        <w:tc>
          <w:tcPr>
            <w:tcW w:type="dxa" w:w="7040"/>
            <w:shd w:fill="F2F2F2" w:color="auto" w:val="clear"/>
            <w:tcMar>
              <w:top w:type="dxa" w:w="80"/>
              <w:left w:type="dxa" w:w="120"/>
              <w:bottom w:type="dxa" w:w="80"/>
              <w:right w:type="dxa" w:w="120"/>
            </w:tcMar>
            <w:vAlign w:val="center"/>
          </w:tcPr>
          <w:p>
            <w:r>
              <w:rPr>
                <w:b w:val="false"/>
                <w:bCs w:val="false"/>
                <w:color w:val="1A1A1A"/>
              </w:rPr>
              <w:t xml:space="preserve">This single binary condition may be one of the most discriminative signals in the whole dataset.</w:t>
            </w:r>
          </w:p>
        </w:tc>
      </w:tr>
      <w:tr>
        <w:tc>
          <w:tcPr>
            <w:tcW w:type="dxa" w:w="2200"/>
            <w:tcMar>
              <w:top w:type="dxa" w:w="80"/>
              <w:left w:type="dxa" w:w="120"/>
              <w:bottom w:type="dxa" w:w="80"/>
              <w:right w:type="dxa" w:w="120"/>
            </w:tcMar>
            <w:vAlign w:val="center"/>
          </w:tcPr>
          <w:p>
            <w:r>
              <w:rPr>
                <w:b w:val="false"/>
                <w:bCs w:val="false"/>
                <w:color w:val="1A1A1A"/>
              </w:rPr>
              <w:t xml:space="preserve">Possible Cleaning Decision</w:t>
            </w:r>
          </w:p>
        </w:tc>
        <w:tc>
          <w:tcPr>
            <w:tcW w:type="dxa" w:w="7040"/>
            <w:tcMar>
              <w:top w:type="dxa" w:w="80"/>
              <w:left w:type="dxa" w:w="120"/>
              <w:bottom w:type="dxa" w:w="80"/>
              <w:right w:type="dxa" w:w="120"/>
            </w:tcMar>
            <w:vAlign w:val="center"/>
          </w:tcPr>
          <w:p>
            <w:r>
              <w:rPr>
                <w:b w:val="false"/>
                <w:bCs w:val="false"/>
                <w:color w:val="1A1A1A"/>
              </w:rPr>
              <w:t xml:space="preserve">Encode as the explicit origZeroedOut binary feature rather than relying on the model to rediscover it from raw balances.</w:t>
            </w:r>
          </w:p>
        </w:tc>
      </w:tr>
    </w:tbl>
    <w:p>
      <w:r>
        <w:br w:type="page"/>
      </w:r>
    </w:p>
    <w:p>
      <w:pPr>
        <w:pStyle w:val="Heading1"/>
        <w:pBdr>
          <w:bottom w:val="single" w:color="2E5FA3" w:sz="6" w:space="4"/>
        </w:pBdr>
        <w:spacing w:after="160" w:before="400"/>
      </w:pPr>
      <w:r>
        <w:rPr>
          <w:b/>
          <w:bCs/>
          <w:color w:val="1A1A1A"/>
          <w:sz w:val="30"/>
          <w:szCs w:val="30"/>
        </w:rPr>
        <w:t xml:space="preserve">8. Jupyter Notebook Guidelines</w:t>
      </w:r>
    </w:p>
    <w:p>
      <w:pPr>
        <w:spacing w:after="160" w:line="276" w:lineRule="auto"/>
      </w:pPr>
      <w:r>
        <w:rPr>
          <w:color w:val="1A1A1A"/>
          <w:sz w:val="21"/>
          <w:szCs w:val="21"/>
        </w:rPr>
        <w:t xml:space="preserve">All EDA work happens inside a single, well-organized notebook: EDA.ipynb. A notebook is the right tool for this stage because it keeps code, output, and reasoning next to each other — you can run a cell, see the plot immediately, and write down what it means before moving to the next question. That tight feedback loop is exactly what exploratory work needs and what a plain script cannot give you.</w:t>
      </w:r>
    </w:p>
    <w:p>
      <w:pPr>
        <w:spacing w:after="160" w:line="276" w:lineRule="auto"/>
      </w:pPr>
      <w:r>
        <w:rPr>
          <w:color w:val="1A1A1A"/>
          <w:sz w:val="21"/>
          <w:szCs w:val="21"/>
        </w:rPr>
        <w:t xml:space="preserve">Every section of the notebook should contain, in order:</w:t>
      </w:r>
    </w:p>
    <w:p>
      <w:pPr>
        <w:pStyle w:val="ListParagraph"/>
        <w:numPr>
          <w:ilvl w:val="0"/>
          <w:numId w:val="3"/>
        </w:numPr>
        <w:spacing w:after="80" w:line="264" w:lineRule="auto"/>
      </w:pPr>
      <w:r>
        <w:rPr>
          <w:color w:val="1A1A1A"/>
          <w:sz w:val="21"/>
          <w:szCs w:val="21"/>
        </w:rPr>
        <w:t xml:space="preserve">Markdown explanation — state the question this section answers, before writing any code.</w:t>
      </w:r>
    </w:p>
    <w:p>
      <w:pPr>
        <w:pStyle w:val="ListParagraph"/>
        <w:numPr>
          <w:ilvl w:val="0"/>
          <w:numId w:val="3"/>
        </w:numPr>
        <w:spacing w:after="80" w:line="264" w:lineRule="auto"/>
      </w:pPr>
      <w:r>
        <w:rPr>
          <w:color w:val="1A1A1A"/>
          <w:sz w:val="21"/>
          <w:szCs w:val="21"/>
        </w:rPr>
        <w:t xml:space="preserve">Code — the minimum code needed to answer that question.</w:t>
      </w:r>
    </w:p>
    <w:p>
      <w:pPr>
        <w:pStyle w:val="ListParagraph"/>
        <w:numPr>
          <w:ilvl w:val="0"/>
          <w:numId w:val="3"/>
        </w:numPr>
        <w:spacing w:after="80" w:line="264" w:lineRule="auto"/>
      </w:pPr>
      <w:r>
        <w:rPr>
          <w:color w:val="1A1A1A"/>
          <w:sz w:val="21"/>
          <w:szCs w:val="21"/>
        </w:rPr>
        <w:t xml:space="preserve">Visualization — a chart or table that makes the answer visible at a glance.</w:t>
      </w:r>
    </w:p>
    <w:p>
      <w:pPr>
        <w:pStyle w:val="ListParagraph"/>
        <w:numPr>
          <w:ilvl w:val="0"/>
          <w:numId w:val="3"/>
        </w:numPr>
        <w:spacing w:after="80" w:line="264" w:lineRule="auto"/>
      </w:pPr>
      <w:r>
        <w:rPr>
          <w:color w:val="1A1A1A"/>
          <w:sz w:val="21"/>
          <w:szCs w:val="21"/>
        </w:rPr>
        <w:t xml:space="preserve">Observation — what you actually see, stated plainly and without interpretation yet.</w:t>
      </w:r>
    </w:p>
    <w:p>
      <w:pPr>
        <w:pStyle w:val="ListParagraph"/>
        <w:numPr>
          <w:ilvl w:val="0"/>
          <w:numId w:val="3"/>
        </w:numPr>
        <w:spacing w:after="80" w:line="264" w:lineRule="auto"/>
      </w:pPr>
      <w:r>
        <w:rPr>
          <w:color w:val="1A1A1A"/>
          <w:sz w:val="21"/>
          <w:szCs w:val="21"/>
        </w:rPr>
        <w:t xml:space="preserve">Interpretation — what that observation means for the dataset or the project.</w:t>
      </w:r>
    </w:p>
    <w:p>
      <w:pPr>
        <w:pStyle w:val="ListParagraph"/>
        <w:numPr>
          <w:ilvl w:val="0"/>
          <w:numId w:val="3"/>
        </w:numPr>
        <w:spacing w:after="80" w:line="264" w:lineRule="auto"/>
      </w:pPr>
      <w:r>
        <w:rPr>
          <w:color w:val="1A1A1A"/>
          <w:sz w:val="21"/>
          <w:szCs w:val="21"/>
        </w:rPr>
        <w:t xml:space="preserve">Conclusion — the specific decision or action this section leads to.</w:t>
      </w:r>
    </w:p>
    <w:p>
      <w:pPr>
        <w:pBdr>
          <w:left w:val="single" w:color="2E5FA3" w:sz="24" w:space="8"/>
        </w:pBdr>
        <w:shd w:fill="F2F2F2" w:color="auto" w:val="clear"/>
        <w:spacing w:after="160" w:before="120"/>
        <w:ind w:left="120"/>
      </w:pPr>
      <w:r>
        <w:rPr>
          <w:b/>
          <w:bCs/>
          <w:color w:val="2E5FA3"/>
          <w:sz w:val="21"/>
          <w:szCs w:val="21"/>
        </w:rPr>
        <w:t xml:space="preserve">Best Practice:  </w:t>
      </w:r>
      <w:r>
        <w:rPr>
          <w:color w:val="1A1A1A"/>
          <w:sz w:val="21"/>
          <w:szCs w:val="21"/>
        </w:rPr>
        <w:t xml:space="preserve">Write the Markdown question before writing the code. If you can't state the question in one sentence, you're not ready to write the cell yet.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rPr>
          <w:tblHeader/>
        </w:trPr>
        <w:tc>
          <w:tcPr>
            <w:tcW w:type="dxa" w:w="4620"/>
            <w:shd w:fill="2E5FA3" w:color="auto" w:val="clear"/>
            <w:tcMar>
              <w:top w:type="dxa" w:w="80"/>
              <w:left w:type="dxa" w:w="120"/>
              <w:bottom w:type="dxa" w:w="80"/>
              <w:right w:type="dxa" w:w="120"/>
            </w:tcMar>
          </w:tcPr>
          <w:p>
            <w:r>
              <w:rPr>
                <w:b/>
                <w:bCs/>
                <w:color w:val="FFFFFF"/>
              </w:rPr>
              <w:t xml:space="preserve">Do</w:t>
            </w:r>
          </w:p>
        </w:tc>
        <w:tc>
          <w:tcPr>
            <w:tcW w:type="dxa" w:w="4620"/>
            <w:shd w:fill="A6A6A6" w:color="auto" w:val="clear"/>
            <w:tcMar>
              <w:top w:type="dxa" w:w="80"/>
              <w:left w:type="dxa" w:w="120"/>
              <w:bottom w:type="dxa" w:w="80"/>
              <w:right w:type="dxa" w:w="120"/>
            </w:tcMar>
          </w:tcPr>
          <w:p>
            <w:r>
              <w:rPr>
                <w:b/>
                <w:bCs/>
                <w:color w:val="FFFFFF"/>
              </w:rPr>
              <w:t xml:space="preserve">Don't</w:t>
            </w:r>
          </w:p>
        </w:tc>
      </w:tr>
      <w:tr>
        <w:tc>
          <w:tcPr>
            <w:tcW w:type="dxa" w:w="4620"/>
            <w:tcMar>
              <w:top w:type="dxa" w:w="80"/>
              <w:left w:type="dxa" w:w="120"/>
              <w:bottom w:type="dxa" w:w="80"/>
              <w:right w:type="dxa" w:w="120"/>
            </w:tcMar>
          </w:tcPr>
          <w:p>
            <w:pPr>
              <w:pStyle w:val="ListParagraph"/>
              <w:numPr>
                <w:ilvl w:val="0"/>
                <w:numId w:val="2"/>
              </w:numPr>
              <w:spacing w:after="60"/>
            </w:pPr>
            <w:r>
              <w:rPr>
                <w:color w:val="1A1A1A"/>
                <w:sz w:val="21"/>
                <w:szCs w:val="21"/>
              </w:rPr>
              <w:t xml:space="preserve">Write a one-sentence question in Markdown before each code cell.</w:t>
            </w:r>
          </w:p>
          <w:p>
            <w:pPr>
              <w:pStyle w:val="ListParagraph"/>
              <w:numPr>
                <w:ilvl w:val="0"/>
                <w:numId w:val="2"/>
              </w:numPr>
              <w:spacing w:after="60"/>
            </w:pPr>
            <w:r>
              <w:rPr>
                <w:color w:val="1A1A1A"/>
                <w:sz w:val="21"/>
                <w:szCs w:val="21"/>
              </w:rPr>
              <w:t xml:space="preserve">Re-run the notebook top-to-bottom before treating a finding as final.</w:t>
            </w:r>
          </w:p>
          <w:p>
            <w:pPr>
              <w:pStyle w:val="ListParagraph"/>
              <w:numPr>
                <w:ilvl w:val="0"/>
                <w:numId w:val="2"/>
              </w:numPr>
              <w:spacing w:after="60"/>
            </w:pPr>
            <w:r>
              <w:rPr>
                <w:color w:val="1A1A1A"/>
                <w:sz w:val="21"/>
                <w:szCs w:val="21"/>
              </w:rPr>
              <w:t xml:space="preserve">Keep plots small and focused — one question per chart.</w:t>
            </w:r>
          </w:p>
        </w:tc>
        <w:tc>
          <w:tcPr>
            <w:tcW w:type="dxa" w:w="4620"/>
            <w:tcMar>
              <w:top w:type="dxa" w:w="80"/>
              <w:left w:type="dxa" w:w="120"/>
              <w:bottom w:type="dxa" w:w="80"/>
              <w:right w:type="dxa" w:w="120"/>
            </w:tcMar>
          </w:tcPr>
          <w:p>
            <w:pPr>
              <w:pStyle w:val="ListParagraph"/>
              <w:numPr>
                <w:ilvl w:val="0"/>
                <w:numId w:val="2"/>
              </w:numPr>
              <w:spacing w:after="60"/>
            </w:pPr>
            <w:r>
              <w:rPr>
                <w:color w:val="1A1A1A"/>
                <w:sz w:val="21"/>
                <w:szCs w:val="21"/>
              </w:rPr>
              <w:t xml:space="preserve">Leave unexplained code cells with no surrounding Markdown.</w:t>
            </w:r>
          </w:p>
          <w:p>
            <w:pPr>
              <w:pStyle w:val="ListParagraph"/>
              <w:numPr>
                <w:ilvl w:val="0"/>
                <w:numId w:val="2"/>
              </w:numPr>
              <w:spacing w:after="60"/>
            </w:pPr>
            <w:r>
              <w:rPr>
                <w:color w:val="1A1A1A"/>
                <w:sz w:val="21"/>
                <w:szCs w:val="21"/>
              </w:rPr>
              <w:t xml:space="preserve">Let cell execution order drift out of sequence (Restart &amp; Run All catches this).</w:t>
            </w:r>
          </w:p>
          <w:p>
            <w:pPr>
              <w:pStyle w:val="ListParagraph"/>
              <w:numPr>
                <w:ilvl w:val="0"/>
                <w:numId w:val="2"/>
              </w:numPr>
              <w:spacing w:after="60"/>
            </w:pPr>
            <w:r>
              <w:rPr>
                <w:color w:val="1A1A1A"/>
                <w:sz w:val="21"/>
                <w:szCs w:val="21"/>
              </w:rPr>
              <w:t xml:space="preserve">Cram five unrelated metrics into a single dense plot.</w:t>
            </w:r>
          </w:p>
        </w:tc>
      </w:tr>
    </w:tbl>
    <w:p>
      <w:r>
        <w:br w:type="page"/>
      </w:r>
    </w:p>
    <w:p>
      <w:pPr>
        <w:pStyle w:val="Heading1"/>
        <w:pBdr>
          <w:bottom w:val="single" w:color="2E5FA3" w:sz="6" w:space="4"/>
        </w:pBdr>
        <w:spacing w:after="160" w:before="400"/>
      </w:pPr>
      <w:r>
        <w:rPr>
          <w:b/>
          <w:bCs/>
          <w:color w:val="1A1A1A"/>
          <w:sz w:val="30"/>
          <w:szCs w:val="30"/>
        </w:rPr>
        <w:t xml:space="preserve">9. Data Cleaning</w:t>
      </w:r>
    </w:p>
    <w:p>
      <w:pPr>
        <w:spacing w:after="160" w:line="276" w:lineRule="auto"/>
      </w:pPr>
      <w:r>
        <w:rPr>
          <w:color w:val="1A1A1A"/>
          <w:sz w:val="21"/>
          <w:szCs w:val="21"/>
        </w:rPr>
        <w:t xml:space="preserve">Every cleaning action in this project should be traceable to a specific finding from Section 6 or Section 7 — cleaning is the applied output of EDA, not a separate, generic checklist run out of habit.</w:t>
      </w:r>
    </w:p>
    <w:p>
      <w:pPr>
        <w:pStyle w:val="Heading2"/>
        <w:spacing w:after="120" w:before="280"/>
      </w:pPr>
      <w:r>
        <w:rPr>
          <w:b/>
          <w:bCs/>
          <w:color w:val="2E5FA3"/>
          <w:sz w:val="24"/>
          <w:szCs w:val="24"/>
        </w:rPr>
        <w:t xml:space="preserve">9.1 Removing Duplicates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7440"/>
      </w:tblGrid>
      <w:tr>
        <w:trPr>
          <w:tblHeader/>
        </w:trPr>
        <w:tc>
          <w:tcPr>
            <w:tcW w:type="dxa" w:w="1800"/>
            <w:shd w:fill="2E5FA3" w:color="auto" w:val="clear"/>
            <w:tcMar>
              <w:top w:type="dxa" w:w="80"/>
              <w:left w:type="dxa" w:w="120"/>
              <w:bottom w:type="dxa" w:w="80"/>
              <w:right w:type="dxa" w:w="120"/>
            </w:tcMar>
            <w:vAlign w:val="center"/>
          </w:tcPr>
          <w:p>
            <w:r>
              <w:rPr>
                <w:b/>
                <w:bCs/>
                <w:color w:val="FFFFFF"/>
              </w:rPr>
              <w:t xml:space="preserve">Question</w:t>
            </w:r>
          </w:p>
        </w:tc>
        <w:tc>
          <w:tcPr>
            <w:tcW w:type="dxa" w:w="7440"/>
            <w:shd w:fill="2E5FA3" w:color="auto" w:val="clear"/>
            <w:tcMar>
              <w:top w:type="dxa" w:w="80"/>
              <w:left w:type="dxa" w:w="120"/>
              <w:bottom w:type="dxa" w:w="80"/>
              <w:right w:type="dxa" w:w="120"/>
            </w:tcMar>
            <w:vAlign w:val="center"/>
          </w:tcPr>
          <w:p>
            <w:r>
              <w:rPr>
                <w:b/>
                <w:bCs/>
                <w:color w:val="FFFFFF"/>
              </w:rPr>
              <w:t xml:space="preserve">Answer</w:t>
            </w:r>
          </w:p>
        </w:tc>
      </w:tr>
      <w:tr>
        <w:tc>
          <w:tcPr>
            <w:tcW w:type="dxa" w:w="1800"/>
            <w:tcMar>
              <w:top w:type="dxa" w:w="80"/>
              <w:left w:type="dxa" w:w="120"/>
              <w:bottom w:type="dxa" w:w="80"/>
              <w:right w:type="dxa" w:w="120"/>
            </w:tcMar>
            <w:vAlign w:val="center"/>
          </w:tcPr>
          <w:p>
            <w:r>
              <w:rPr>
                <w:b w:val="false"/>
                <w:bCs w:val="false"/>
                <w:color w:val="1A1A1A"/>
              </w:rPr>
              <w:t xml:space="preserve">Why</w:t>
            </w:r>
          </w:p>
        </w:tc>
        <w:tc>
          <w:tcPr>
            <w:tcW w:type="dxa" w:w="7440"/>
            <w:tcMar>
              <w:top w:type="dxa" w:w="80"/>
              <w:left w:type="dxa" w:w="120"/>
              <w:bottom w:type="dxa" w:w="80"/>
              <w:right w:type="dxa" w:w="120"/>
            </w:tcMar>
            <w:vAlign w:val="center"/>
          </w:tcPr>
          <w:p>
            <w:r>
              <w:rPr>
                <w:b w:val="false"/>
                <w:bCs w:val="false"/>
                <w:color w:val="1A1A1A"/>
              </w:rPr>
              <w:t xml:space="preserve">Duplicate rows double-count transaction volume and can corrupt velocity-based features.</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When</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After confirming duplicates via a business key (Section 6.4), not just an exact row match.</w:t>
            </w:r>
          </w:p>
        </w:tc>
      </w:tr>
      <w:tr>
        <w:tc>
          <w:tcPr>
            <w:tcW w:type="dxa" w:w="1800"/>
            <w:tcMar>
              <w:top w:type="dxa" w:w="80"/>
              <w:left w:type="dxa" w:w="120"/>
              <w:bottom w:type="dxa" w:w="80"/>
              <w:right w:type="dxa" w:w="120"/>
            </w:tcMar>
            <w:vAlign w:val="center"/>
          </w:tcPr>
          <w:p>
            <w:r>
              <w:rPr>
                <w:b w:val="false"/>
                <w:bCs w:val="false"/>
                <w:color w:val="1A1A1A"/>
              </w:rPr>
              <w:t xml:space="preserve">Advantages</w:t>
            </w:r>
          </w:p>
        </w:tc>
        <w:tc>
          <w:tcPr>
            <w:tcW w:type="dxa" w:w="7440"/>
            <w:tcMar>
              <w:top w:type="dxa" w:w="80"/>
              <w:left w:type="dxa" w:w="120"/>
              <w:bottom w:type="dxa" w:w="80"/>
              <w:right w:type="dxa" w:w="120"/>
            </w:tcMar>
            <w:vAlign w:val="center"/>
          </w:tcPr>
          <w:p>
            <w:r>
              <w:rPr>
                <w:b w:val="false"/>
                <w:bCs w:val="false"/>
                <w:color w:val="1A1A1A"/>
              </w:rPr>
              <w:t xml:space="preserve">Simple, low-risk once duplicates are confirmed to be true duplicates rather than legitimate repeat transactions.</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Disadvantages</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Overly aggressive matching keys can incorrectly merge two genuinely separate transactions.</w:t>
            </w:r>
          </w:p>
        </w:tc>
      </w:tr>
      <w:tr>
        <w:tc>
          <w:tcPr>
            <w:tcW w:type="dxa" w:w="1800"/>
            <w:tcMar>
              <w:top w:type="dxa" w:w="80"/>
              <w:left w:type="dxa" w:w="120"/>
              <w:bottom w:type="dxa" w:w="80"/>
              <w:right w:type="dxa" w:w="120"/>
            </w:tcMar>
            <w:vAlign w:val="center"/>
          </w:tcPr>
          <w:p>
            <w:r>
              <w:rPr>
                <w:b w:val="false"/>
                <w:bCs w:val="false"/>
                <w:color w:val="1A1A1A"/>
              </w:rPr>
              <w:t xml:space="preserve">Impact on ML</w:t>
            </w:r>
          </w:p>
        </w:tc>
        <w:tc>
          <w:tcPr>
            <w:tcW w:type="dxa" w:w="7440"/>
            <w:tcMar>
              <w:top w:type="dxa" w:w="80"/>
              <w:left w:type="dxa" w:w="120"/>
              <w:bottom w:type="dxa" w:w="80"/>
              <w:right w:type="dxa" w:w="120"/>
            </w:tcMar>
            <w:vAlign w:val="center"/>
          </w:tcPr>
          <w:p>
            <w:r>
              <w:rPr>
                <w:b w:val="false"/>
                <w:bCs w:val="false"/>
                <w:color w:val="1A1A1A"/>
              </w:rPr>
              <w:t xml:space="preserve">Prevents artificial inflation of transaction counts and velocity features fed into the model.</w:t>
            </w:r>
          </w:p>
        </w:tc>
      </w:tr>
    </w:tbl>
    <w:p>
      <w:pPr>
        <w:pStyle w:val="Heading2"/>
        <w:spacing w:after="120" w:before="280"/>
      </w:pPr>
      <w:r>
        <w:rPr>
          <w:b/>
          <w:bCs/>
          <w:color w:val="2E5FA3"/>
          <w:sz w:val="24"/>
          <w:szCs w:val="24"/>
        </w:rPr>
        <w:t xml:space="preserve">9.2 Correcting Data Types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7440"/>
      </w:tblGrid>
      <w:tr>
        <w:trPr>
          <w:tblHeader/>
        </w:trPr>
        <w:tc>
          <w:tcPr>
            <w:tcW w:type="dxa" w:w="1800"/>
            <w:shd w:fill="2E5FA3" w:color="auto" w:val="clear"/>
            <w:tcMar>
              <w:top w:type="dxa" w:w="80"/>
              <w:left w:type="dxa" w:w="120"/>
              <w:bottom w:type="dxa" w:w="80"/>
              <w:right w:type="dxa" w:w="120"/>
            </w:tcMar>
            <w:vAlign w:val="center"/>
          </w:tcPr>
          <w:p>
            <w:r>
              <w:rPr>
                <w:b/>
                <w:bCs/>
                <w:color w:val="FFFFFF"/>
              </w:rPr>
              <w:t xml:space="preserve">Question</w:t>
            </w:r>
          </w:p>
        </w:tc>
        <w:tc>
          <w:tcPr>
            <w:tcW w:type="dxa" w:w="7440"/>
            <w:shd w:fill="2E5FA3" w:color="auto" w:val="clear"/>
            <w:tcMar>
              <w:top w:type="dxa" w:w="80"/>
              <w:left w:type="dxa" w:w="120"/>
              <w:bottom w:type="dxa" w:w="80"/>
              <w:right w:type="dxa" w:w="120"/>
            </w:tcMar>
            <w:vAlign w:val="center"/>
          </w:tcPr>
          <w:p>
            <w:r>
              <w:rPr>
                <w:b/>
                <w:bCs/>
                <w:color w:val="FFFFFF"/>
              </w:rPr>
              <w:t xml:space="preserve">Answer</w:t>
            </w:r>
          </w:p>
        </w:tc>
      </w:tr>
      <w:tr>
        <w:tc>
          <w:tcPr>
            <w:tcW w:type="dxa" w:w="1800"/>
            <w:tcMar>
              <w:top w:type="dxa" w:w="80"/>
              <w:left w:type="dxa" w:w="120"/>
              <w:bottom w:type="dxa" w:w="80"/>
              <w:right w:type="dxa" w:w="120"/>
            </w:tcMar>
            <w:vAlign w:val="center"/>
          </w:tcPr>
          <w:p>
            <w:r>
              <w:rPr>
                <w:b w:val="false"/>
                <w:bCs w:val="false"/>
                <w:color w:val="1A1A1A"/>
              </w:rPr>
              <w:t xml:space="preserve">Why</w:t>
            </w:r>
          </w:p>
        </w:tc>
        <w:tc>
          <w:tcPr>
            <w:tcW w:type="dxa" w:w="7440"/>
            <w:tcMar>
              <w:top w:type="dxa" w:w="80"/>
              <w:left w:type="dxa" w:w="120"/>
              <w:bottom w:type="dxa" w:w="80"/>
              <w:right w:type="dxa" w:w="120"/>
            </w:tcMar>
            <w:vAlign w:val="center"/>
          </w:tcPr>
          <w:p>
            <w:r>
              <w:rPr>
                <w:b w:val="false"/>
                <w:bCs w:val="false"/>
                <w:color w:val="1A1A1A"/>
              </w:rPr>
              <w:t xml:space="preserve">Wrong dtypes (e.g., numeric IDs read as floats, categorical columns read as generic objects) break downstream joins and aggregations silently.</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When</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Immediately after the initial load, before any analysis that depends on type-specific behavior.</w:t>
            </w:r>
          </w:p>
        </w:tc>
      </w:tr>
      <w:tr>
        <w:tc>
          <w:tcPr>
            <w:tcW w:type="dxa" w:w="1800"/>
            <w:tcMar>
              <w:top w:type="dxa" w:w="80"/>
              <w:left w:type="dxa" w:w="120"/>
              <w:bottom w:type="dxa" w:w="80"/>
              <w:right w:type="dxa" w:w="120"/>
            </w:tcMar>
            <w:vAlign w:val="center"/>
          </w:tcPr>
          <w:p>
            <w:r>
              <w:rPr>
                <w:b w:val="false"/>
                <w:bCs w:val="false"/>
                <w:color w:val="1A1A1A"/>
              </w:rPr>
              <w:t xml:space="preserve">Advantages</w:t>
            </w:r>
          </w:p>
        </w:tc>
        <w:tc>
          <w:tcPr>
            <w:tcW w:type="dxa" w:w="7440"/>
            <w:tcMar>
              <w:top w:type="dxa" w:w="80"/>
              <w:left w:type="dxa" w:w="120"/>
              <w:bottom w:type="dxa" w:w="80"/>
              <w:right w:type="dxa" w:w="120"/>
            </w:tcMar>
            <w:vAlign w:val="center"/>
          </w:tcPr>
          <w:p>
            <w:r>
              <w:rPr>
                <w:b w:val="false"/>
                <w:bCs w:val="false"/>
                <w:color w:val="1A1A1A"/>
              </w:rPr>
              <w:t xml:space="preserve">Cheap to do, prevents an entire category of downstream bugs.</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Disadvantages</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None significant if done early; expensive to fix later once dependent code assumes the wrong type.</w:t>
            </w:r>
          </w:p>
        </w:tc>
      </w:tr>
      <w:tr>
        <w:tc>
          <w:tcPr>
            <w:tcW w:type="dxa" w:w="1800"/>
            <w:tcMar>
              <w:top w:type="dxa" w:w="80"/>
              <w:left w:type="dxa" w:w="120"/>
              <w:bottom w:type="dxa" w:w="80"/>
              <w:right w:type="dxa" w:w="120"/>
            </w:tcMar>
            <w:vAlign w:val="center"/>
          </w:tcPr>
          <w:p>
            <w:r>
              <w:rPr>
                <w:b w:val="false"/>
                <w:bCs w:val="false"/>
                <w:color w:val="1A1A1A"/>
              </w:rPr>
              <w:t xml:space="preserve">Impact on ML</w:t>
            </w:r>
          </w:p>
        </w:tc>
        <w:tc>
          <w:tcPr>
            <w:tcW w:type="dxa" w:w="7440"/>
            <w:tcMar>
              <w:top w:type="dxa" w:w="80"/>
              <w:left w:type="dxa" w:w="120"/>
              <w:bottom w:type="dxa" w:w="80"/>
              <w:right w:type="dxa" w:w="120"/>
            </w:tcMar>
            <w:vAlign w:val="center"/>
          </w:tcPr>
          <w:p>
            <w:r>
              <w:rPr>
                <w:b w:val="false"/>
                <w:bCs w:val="false"/>
                <w:color w:val="1A1A1A"/>
              </w:rPr>
              <w:t xml:space="preserve">Ensures SQL schema types (database/schema.sql) and Python dtypes stay consistent end-to-end.</w:t>
            </w:r>
          </w:p>
        </w:tc>
      </w:tr>
    </w:tbl>
    <w:p>
      <w:pPr>
        <w:pStyle w:val="Heading2"/>
        <w:spacing w:after="120" w:before="280"/>
      </w:pPr>
      <w:r>
        <w:rPr>
          <w:b/>
          <w:bCs/>
          <w:color w:val="2E5FA3"/>
          <w:sz w:val="24"/>
          <w:szCs w:val="24"/>
        </w:rPr>
        <w:t xml:space="preserve">9.3 Handling Missing Values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7440"/>
      </w:tblGrid>
      <w:tr>
        <w:trPr>
          <w:tblHeader/>
        </w:trPr>
        <w:tc>
          <w:tcPr>
            <w:tcW w:type="dxa" w:w="1800"/>
            <w:shd w:fill="2E5FA3" w:color="auto" w:val="clear"/>
            <w:tcMar>
              <w:top w:type="dxa" w:w="80"/>
              <w:left w:type="dxa" w:w="120"/>
              <w:bottom w:type="dxa" w:w="80"/>
              <w:right w:type="dxa" w:w="120"/>
            </w:tcMar>
            <w:vAlign w:val="center"/>
          </w:tcPr>
          <w:p>
            <w:r>
              <w:rPr>
                <w:b/>
                <w:bCs/>
                <w:color w:val="FFFFFF"/>
              </w:rPr>
              <w:t xml:space="preserve">Question</w:t>
            </w:r>
          </w:p>
        </w:tc>
        <w:tc>
          <w:tcPr>
            <w:tcW w:type="dxa" w:w="7440"/>
            <w:shd w:fill="2E5FA3" w:color="auto" w:val="clear"/>
            <w:tcMar>
              <w:top w:type="dxa" w:w="80"/>
              <w:left w:type="dxa" w:w="120"/>
              <w:bottom w:type="dxa" w:w="80"/>
              <w:right w:type="dxa" w:w="120"/>
            </w:tcMar>
            <w:vAlign w:val="center"/>
          </w:tcPr>
          <w:p>
            <w:r>
              <w:rPr>
                <w:b/>
                <w:bCs/>
                <w:color w:val="FFFFFF"/>
              </w:rPr>
              <w:t xml:space="preserve">Answer</w:t>
            </w:r>
          </w:p>
        </w:tc>
      </w:tr>
      <w:tr>
        <w:tc>
          <w:tcPr>
            <w:tcW w:type="dxa" w:w="1800"/>
            <w:tcMar>
              <w:top w:type="dxa" w:w="80"/>
              <w:left w:type="dxa" w:w="120"/>
              <w:bottom w:type="dxa" w:w="80"/>
              <w:right w:type="dxa" w:w="120"/>
            </w:tcMar>
            <w:vAlign w:val="center"/>
          </w:tcPr>
          <w:p>
            <w:r>
              <w:rPr>
                <w:b w:val="false"/>
                <w:bCs w:val="false"/>
                <w:color w:val="1A1A1A"/>
              </w:rPr>
              <w:t xml:space="preserve">Why</w:t>
            </w:r>
          </w:p>
        </w:tc>
        <w:tc>
          <w:tcPr>
            <w:tcW w:type="dxa" w:w="7440"/>
            <w:tcMar>
              <w:top w:type="dxa" w:w="80"/>
              <w:left w:type="dxa" w:w="120"/>
              <w:bottom w:type="dxa" w:w="80"/>
              <w:right w:type="dxa" w:w="120"/>
            </w:tcMar>
            <w:vAlign w:val="center"/>
          </w:tcPr>
          <w:p>
            <w:r>
              <w:rPr>
                <w:b w:val="false"/>
                <w:bCs w:val="false"/>
                <w:color w:val="1A1A1A"/>
              </w:rPr>
              <w:t xml:space="preserve">Unaddressed missingness can silently bias training or crash downstream feature computation.</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When</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After quantifying missingness per column (Section 6.3) and choosing a strategy per column, not globally.</w:t>
            </w:r>
          </w:p>
        </w:tc>
      </w:tr>
      <w:tr>
        <w:tc>
          <w:tcPr>
            <w:tcW w:type="dxa" w:w="1800"/>
            <w:tcMar>
              <w:top w:type="dxa" w:w="80"/>
              <w:left w:type="dxa" w:w="120"/>
              <w:bottom w:type="dxa" w:w="80"/>
              <w:right w:type="dxa" w:w="120"/>
            </w:tcMar>
            <w:vAlign w:val="center"/>
          </w:tcPr>
          <w:p>
            <w:r>
              <w:rPr>
                <w:b w:val="false"/>
                <w:bCs w:val="false"/>
                <w:color w:val="1A1A1A"/>
              </w:rPr>
              <w:t xml:space="preserve">Advantages</w:t>
            </w:r>
          </w:p>
        </w:tc>
        <w:tc>
          <w:tcPr>
            <w:tcW w:type="dxa" w:w="7440"/>
            <w:tcMar>
              <w:top w:type="dxa" w:w="80"/>
              <w:left w:type="dxa" w:w="120"/>
              <w:bottom w:type="dxa" w:w="80"/>
              <w:right w:type="dxa" w:w="120"/>
            </w:tcMar>
            <w:vAlign w:val="center"/>
          </w:tcPr>
          <w:p>
            <w:r>
              <w:rPr>
                <w:b w:val="false"/>
                <w:bCs w:val="false"/>
                <w:color w:val="1A1A1A"/>
              </w:rPr>
              <w:t xml:space="preserve">Produces a complete, model-ready dataset.</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Disadvantages</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Naive imputation can suppress genuine variance that an anomaly detector relies on.</w:t>
            </w:r>
          </w:p>
        </w:tc>
      </w:tr>
      <w:tr>
        <w:tc>
          <w:tcPr>
            <w:tcW w:type="dxa" w:w="1800"/>
            <w:tcMar>
              <w:top w:type="dxa" w:w="80"/>
              <w:left w:type="dxa" w:w="120"/>
              <w:bottom w:type="dxa" w:w="80"/>
              <w:right w:type="dxa" w:w="120"/>
            </w:tcMar>
            <w:vAlign w:val="center"/>
          </w:tcPr>
          <w:p>
            <w:r>
              <w:rPr>
                <w:b w:val="false"/>
                <w:bCs w:val="false"/>
                <w:color w:val="1A1A1A"/>
              </w:rPr>
              <w:t xml:space="preserve">Impact on ML</w:t>
            </w:r>
          </w:p>
        </w:tc>
        <w:tc>
          <w:tcPr>
            <w:tcW w:type="dxa" w:w="7440"/>
            <w:tcMar>
              <w:top w:type="dxa" w:w="80"/>
              <w:left w:type="dxa" w:w="120"/>
              <w:bottom w:type="dxa" w:w="80"/>
              <w:right w:type="dxa" w:w="120"/>
            </w:tcMar>
            <w:vAlign w:val="center"/>
          </w:tcPr>
          <w:p>
            <w:r>
              <w:rPr>
                <w:b w:val="false"/>
                <w:bCs w:val="false"/>
                <w:color w:val="1A1A1A"/>
              </w:rPr>
              <w:t xml:space="preserve">The choice directly affects what "normal" looks like to the Isolation Forest — over-imputation can smooth away real anomalies.</w:t>
            </w:r>
          </w:p>
        </w:tc>
      </w:tr>
    </w:tbl>
    <w:p>
      <w:pPr>
        <w:pStyle w:val="Heading2"/>
        <w:spacing w:after="120" w:before="280"/>
      </w:pPr>
      <w:r>
        <w:rPr>
          <w:b/>
          <w:bCs/>
          <w:color w:val="2E5FA3"/>
          <w:sz w:val="24"/>
          <w:szCs w:val="24"/>
        </w:rPr>
        <w:t xml:space="preserve">9.4 Validating Balances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7440"/>
      </w:tblGrid>
      <w:tr>
        <w:trPr>
          <w:tblHeader/>
        </w:trPr>
        <w:tc>
          <w:tcPr>
            <w:tcW w:type="dxa" w:w="1800"/>
            <w:shd w:fill="2E5FA3" w:color="auto" w:val="clear"/>
            <w:tcMar>
              <w:top w:type="dxa" w:w="80"/>
              <w:left w:type="dxa" w:w="120"/>
              <w:bottom w:type="dxa" w:w="80"/>
              <w:right w:type="dxa" w:w="120"/>
            </w:tcMar>
            <w:vAlign w:val="center"/>
          </w:tcPr>
          <w:p>
            <w:r>
              <w:rPr>
                <w:b/>
                <w:bCs/>
                <w:color w:val="FFFFFF"/>
              </w:rPr>
              <w:t xml:space="preserve">Question</w:t>
            </w:r>
          </w:p>
        </w:tc>
        <w:tc>
          <w:tcPr>
            <w:tcW w:type="dxa" w:w="7440"/>
            <w:shd w:fill="2E5FA3" w:color="auto" w:val="clear"/>
            <w:tcMar>
              <w:top w:type="dxa" w:w="80"/>
              <w:left w:type="dxa" w:w="120"/>
              <w:bottom w:type="dxa" w:w="80"/>
              <w:right w:type="dxa" w:w="120"/>
            </w:tcMar>
            <w:vAlign w:val="center"/>
          </w:tcPr>
          <w:p>
            <w:r>
              <w:rPr>
                <w:b/>
                <w:bCs/>
                <w:color w:val="FFFFFF"/>
              </w:rPr>
              <w:t xml:space="preserve">Answer</w:t>
            </w:r>
          </w:p>
        </w:tc>
      </w:tr>
      <w:tr>
        <w:tc>
          <w:tcPr>
            <w:tcW w:type="dxa" w:w="1800"/>
            <w:tcMar>
              <w:top w:type="dxa" w:w="80"/>
              <w:left w:type="dxa" w:w="120"/>
              <w:bottom w:type="dxa" w:w="80"/>
              <w:right w:type="dxa" w:w="120"/>
            </w:tcMar>
            <w:vAlign w:val="center"/>
          </w:tcPr>
          <w:p>
            <w:r>
              <w:rPr>
                <w:b w:val="false"/>
                <w:bCs w:val="false"/>
                <w:color w:val="1A1A1A"/>
              </w:rPr>
              <w:t xml:space="preserve">Why</w:t>
            </w:r>
          </w:p>
        </w:tc>
        <w:tc>
          <w:tcPr>
            <w:tcW w:type="dxa" w:w="7440"/>
            <w:tcMar>
              <w:top w:type="dxa" w:w="80"/>
              <w:left w:type="dxa" w:w="120"/>
              <w:bottom w:type="dxa" w:w="80"/>
              <w:right w:type="dxa" w:w="120"/>
            </w:tcMar>
            <w:vAlign w:val="center"/>
          </w:tcPr>
          <w:p>
            <w:r>
              <w:rPr>
                <w:b w:val="false"/>
                <w:bCs w:val="false"/>
                <w:color w:val="1A1A1A"/>
              </w:rPr>
              <w:t xml:space="preserve">Confirms which balance residuals are simulator artifacts (keep, engineer as a feature) versus genuine corruption (fix or drop).</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When</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After the residual analysis in Section 6.11, using a documented threshold rather than a guess.</w:t>
            </w:r>
          </w:p>
        </w:tc>
      </w:tr>
      <w:tr>
        <w:tc>
          <w:tcPr>
            <w:tcW w:type="dxa" w:w="1800"/>
            <w:tcMar>
              <w:top w:type="dxa" w:w="80"/>
              <w:left w:type="dxa" w:w="120"/>
              <w:bottom w:type="dxa" w:w="80"/>
              <w:right w:type="dxa" w:w="120"/>
            </w:tcMar>
            <w:vAlign w:val="center"/>
          </w:tcPr>
          <w:p>
            <w:r>
              <w:rPr>
                <w:b w:val="false"/>
                <w:bCs w:val="false"/>
                <w:color w:val="1A1A1A"/>
              </w:rPr>
              <w:t xml:space="preserve">Advantages</w:t>
            </w:r>
          </w:p>
        </w:tc>
        <w:tc>
          <w:tcPr>
            <w:tcW w:type="dxa" w:w="7440"/>
            <w:tcMar>
              <w:top w:type="dxa" w:w="80"/>
              <w:left w:type="dxa" w:w="120"/>
              <w:bottom w:type="dxa" w:w="80"/>
              <w:right w:type="dxa" w:w="120"/>
            </w:tcMar>
            <w:vAlign w:val="center"/>
          </w:tcPr>
          <w:p>
            <w:r>
              <w:rPr>
                <w:b w:val="false"/>
                <w:bCs w:val="false"/>
                <w:color w:val="1A1A1A"/>
              </w:rPr>
              <w:t xml:space="preserve">Turns a vague quality concern into a precise, reproducible rule.</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Disadvantages</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An overly strict threshold risks reclassifying legitimate simulator behavior as an error.</w:t>
            </w:r>
          </w:p>
        </w:tc>
      </w:tr>
      <w:tr>
        <w:tc>
          <w:tcPr>
            <w:tcW w:type="dxa" w:w="1800"/>
            <w:tcMar>
              <w:top w:type="dxa" w:w="80"/>
              <w:left w:type="dxa" w:w="120"/>
              <w:bottom w:type="dxa" w:w="80"/>
              <w:right w:type="dxa" w:w="120"/>
            </w:tcMar>
            <w:vAlign w:val="center"/>
          </w:tcPr>
          <w:p>
            <w:r>
              <w:rPr>
                <w:b w:val="false"/>
                <w:bCs w:val="false"/>
                <w:color w:val="1A1A1A"/>
              </w:rPr>
              <w:t xml:space="preserve">Impact on ML</w:t>
            </w:r>
          </w:p>
        </w:tc>
        <w:tc>
          <w:tcPr>
            <w:tcW w:type="dxa" w:w="7440"/>
            <w:tcMar>
              <w:top w:type="dxa" w:w="80"/>
              <w:left w:type="dxa" w:w="120"/>
              <w:bottom w:type="dxa" w:w="80"/>
              <w:right w:type="dxa" w:w="120"/>
            </w:tcMar>
            <w:vAlign w:val="center"/>
          </w:tcPr>
          <w:p>
            <w:r>
              <w:rPr>
                <w:b w:val="false"/>
                <w:bCs w:val="false"/>
                <w:color w:val="1A1A1A"/>
              </w:rPr>
              <w:t xml:space="preserve">Directly produces the balanceDeltaOrig / balanceDeltaDest features used in modeling.</w:t>
            </w:r>
          </w:p>
        </w:tc>
      </w:tr>
    </w:tbl>
    <w:p>
      <w:pPr>
        <w:pStyle w:val="Heading2"/>
        <w:spacing w:after="120" w:before="280"/>
      </w:pPr>
      <w:r>
        <w:rPr>
          <w:b/>
          <w:bCs/>
          <w:color w:val="2E5FA3"/>
          <w:sz w:val="24"/>
          <w:szCs w:val="24"/>
        </w:rPr>
        <w:t xml:space="preserve">9.5 Validating Transaction Amounts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7440"/>
      </w:tblGrid>
      <w:tr>
        <w:trPr>
          <w:tblHeader/>
        </w:trPr>
        <w:tc>
          <w:tcPr>
            <w:tcW w:type="dxa" w:w="1800"/>
            <w:shd w:fill="2E5FA3" w:color="auto" w:val="clear"/>
            <w:tcMar>
              <w:top w:type="dxa" w:w="80"/>
              <w:left w:type="dxa" w:w="120"/>
              <w:bottom w:type="dxa" w:w="80"/>
              <w:right w:type="dxa" w:w="120"/>
            </w:tcMar>
            <w:vAlign w:val="center"/>
          </w:tcPr>
          <w:p>
            <w:r>
              <w:rPr>
                <w:b/>
                <w:bCs/>
                <w:color w:val="FFFFFF"/>
              </w:rPr>
              <w:t xml:space="preserve">Question</w:t>
            </w:r>
          </w:p>
        </w:tc>
        <w:tc>
          <w:tcPr>
            <w:tcW w:type="dxa" w:w="7440"/>
            <w:shd w:fill="2E5FA3" w:color="auto" w:val="clear"/>
            <w:tcMar>
              <w:top w:type="dxa" w:w="80"/>
              <w:left w:type="dxa" w:w="120"/>
              <w:bottom w:type="dxa" w:w="80"/>
              <w:right w:type="dxa" w:w="120"/>
            </w:tcMar>
            <w:vAlign w:val="center"/>
          </w:tcPr>
          <w:p>
            <w:r>
              <w:rPr>
                <w:b/>
                <w:bCs/>
                <w:color w:val="FFFFFF"/>
              </w:rPr>
              <w:t xml:space="preserve">Answer</w:t>
            </w:r>
          </w:p>
        </w:tc>
      </w:tr>
      <w:tr>
        <w:tc>
          <w:tcPr>
            <w:tcW w:type="dxa" w:w="1800"/>
            <w:tcMar>
              <w:top w:type="dxa" w:w="80"/>
              <w:left w:type="dxa" w:w="120"/>
              <w:bottom w:type="dxa" w:w="80"/>
              <w:right w:type="dxa" w:w="120"/>
            </w:tcMar>
            <w:vAlign w:val="center"/>
          </w:tcPr>
          <w:p>
            <w:r>
              <w:rPr>
                <w:b w:val="false"/>
                <w:bCs w:val="false"/>
                <w:color w:val="1A1A1A"/>
              </w:rPr>
              <w:t xml:space="preserve">Why</w:t>
            </w:r>
          </w:p>
        </w:tc>
        <w:tc>
          <w:tcPr>
            <w:tcW w:type="dxa" w:w="7440"/>
            <w:tcMar>
              <w:top w:type="dxa" w:w="80"/>
              <w:left w:type="dxa" w:w="120"/>
              <w:bottom w:type="dxa" w:w="80"/>
              <w:right w:type="dxa" w:w="120"/>
            </w:tcMar>
            <w:vAlign w:val="center"/>
          </w:tcPr>
          <w:p>
            <w:r>
              <w:rPr>
                <w:b w:val="false"/>
                <w:bCs w:val="false"/>
                <w:color w:val="1A1A1A"/>
              </w:rPr>
              <w:t xml:space="preserve">Zero or negative amounts are not valid financial transactions and likely indicate ingestion or simulation errors.</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When</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As a hard validation rule applied to every row during preprocessing.</w:t>
            </w:r>
          </w:p>
        </w:tc>
      </w:tr>
      <w:tr>
        <w:tc>
          <w:tcPr>
            <w:tcW w:type="dxa" w:w="1800"/>
            <w:tcMar>
              <w:top w:type="dxa" w:w="80"/>
              <w:left w:type="dxa" w:w="120"/>
              <w:bottom w:type="dxa" w:w="80"/>
              <w:right w:type="dxa" w:w="120"/>
            </w:tcMar>
            <w:vAlign w:val="center"/>
          </w:tcPr>
          <w:p>
            <w:r>
              <w:rPr>
                <w:b w:val="false"/>
                <w:bCs w:val="false"/>
                <w:color w:val="1A1A1A"/>
              </w:rPr>
              <w:t xml:space="preserve">Advantages</w:t>
            </w:r>
          </w:p>
        </w:tc>
        <w:tc>
          <w:tcPr>
            <w:tcW w:type="dxa" w:w="7440"/>
            <w:tcMar>
              <w:top w:type="dxa" w:w="80"/>
              <w:left w:type="dxa" w:w="120"/>
              <w:bottom w:type="dxa" w:w="80"/>
              <w:right w:type="dxa" w:w="120"/>
            </w:tcMar>
            <w:vAlign w:val="center"/>
          </w:tcPr>
          <w:p>
            <w:r>
              <w:rPr>
                <w:b w:val="false"/>
                <w:bCs w:val="false"/>
                <w:color w:val="1A1A1A"/>
              </w:rPr>
              <w:t xml:space="preserve">Simple, deterministic, catches an entire class of invalid records in one pass.</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Disadvantages</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None, provided the domain rule (amount must be positive) is actually always true for this dataset.</w:t>
            </w:r>
          </w:p>
        </w:tc>
      </w:tr>
      <w:tr>
        <w:tc>
          <w:tcPr>
            <w:tcW w:type="dxa" w:w="1800"/>
            <w:tcMar>
              <w:top w:type="dxa" w:w="80"/>
              <w:left w:type="dxa" w:w="120"/>
              <w:bottom w:type="dxa" w:w="80"/>
              <w:right w:type="dxa" w:w="120"/>
            </w:tcMar>
            <w:vAlign w:val="center"/>
          </w:tcPr>
          <w:p>
            <w:r>
              <w:rPr>
                <w:b w:val="false"/>
                <w:bCs w:val="false"/>
                <w:color w:val="1A1A1A"/>
              </w:rPr>
              <w:t xml:space="preserve">Impact on ML</w:t>
            </w:r>
          </w:p>
        </w:tc>
        <w:tc>
          <w:tcPr>
            <w:tcW w:type="dxa" w:w="7440"/>
            <w:tcMar>
              <w:top w:type="dxa" w:w="80"/>
              <w:left w:type="dxa" w:w="120"/>
              <w:bottom w:type="dxa" w:w="80"/>
              <w:right w:type="dxa" w:w="120"/>
            </w:tcMar>
            <w:vAlign w:val="center"/>
          </w:tcPr>
          <w:p>
            <w:r>
              <w:rPr>
                <w:b w:val="false"/>
                <w:bCs w:val="false"/>
                <w:color w:val="1A1A1A"/>
              </w:rPr>
              <w:t xml:space="preserve">Prevents impossible values from silently propagating into logAmount and downstream scoring.</w:t>
            </w:r>
          </w:p>
        </w:tc>
      </w:tr>
    </w:tbl>
    <w:p>
      <w:pPr>
        <w:pStyle w:val="Heading2"/>
        <w:spacing w:after="120" w:before="280"/>
      </w:pPr>
      <w:r>
        <w:rPr>
          <w:b/>
          <w:bCs/>
          <w:color w:val="2E5FA3"/>
          <w:sz w:val="24"/>
          <w:szCs w:val="24"/>
        </w:rPr>
        <w:t xml:space="preserve">9.6 Removing Invalid Records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7440"/>
      </w:tblGrid>
      <w:tr>
        <w:trPr>
          <w:tblHeader/>
        </w:trPr>
        <w:tc>
          <w:tcPr>
            <w:tcW w:type="dxa" w:w="1800"/>
            <w:shd w:fill="2E5FA3" w:color="auto" w:val="clear"/>
            <w:tcMar>
              <w:top w:type="dxa" w:w="80"/>
              <w:left w:type="dxa" w:w="120"/>
              <w:bottom w:type="dxa" w:w="80"/>
              <w:right w:type="dxa" w:w="120"/>
            </w:tcMar>
            <w:vAlign w:val="center"/>
          </w:tcPr>
          <w:p>
            <w:r>
              <w:rPr>
                <w:b/>
                <w:bCs/>
                <w:color w:val="FFFFFF"/>
              </w:rPr>
              <w:t xml:space="preserve">Question</w:t>
            </w:r>
          </w:p>
        </w:tc>
        <w:tc>
          <w:tcPr>
            <w:tcW w:type="dxa" w:w="7440"/>
            <w:shd w:fill="2E5FA3" w:color="auto" w:val="clear"/>
            <w:tcMar>
              <w:top w:type="dxa" w:w="80"/>
              <w:left w:type="dxa" w:w="120"/>
              <w:bottom w:type="dxa" w:w="80"/>
              <w:right w:type="dxa" w:w="120"/>
            </w:tcMar>
            <w:vAlign w:val="center"/>
          </w:tcPr>
          <w:p>
            <w:r>
              <w:rPr>
                <w:b/>
                <w:bCs/>
                <w:color w:val="FFFFFF"/>
              </w:rPr>
              <w:t xml:space="preserve">Answer</w:t>
            </w:r>
          </w:p>
        </w:tc>
      </w:tr>
      <w:tr>
        <w:tc>
          <w:tcPr>
            <w:tcW w:type="dxa" w:w="1800"/>
            <w:tcMar>
              <w:top w:type="dxa" w:w="80"/>
              <w:left w:type="dxa" w:w="120"/>
              <w:bottom w:type="dxa" w:w="80"/>
              <w:right w:type="dxa" w:w="120"/>
            </w:tcMar>
            <w:vAlign w:val="center"/>
          </w:tcPr>
          <w:p>
            <w:r>
              <w:rPr>
                <w:b w:val="false"/>
                <w:bCs w:val="false"/>
                <w:color w:val="1A1A1A"/>
              </w:rPr>
              <w:t xml:space="preserve">Why</w:t>
            </w:r>
          </w:p>
        </w:tc>
        <w:tc>
          <w:tcPr>
            <w:tcW w:type="dxa" w:w="7440"/>
            <w:tcMar>
              <w:top w:type="dxa" w:w="80"/>
              <w:left w:type="dxa" w:w="120"/>
              <w:bottom w:type="dxa" w:w="80"/>
              <w:right w:type="dxa" w:w="120"/>
            </w:tcMar>
            <w:vAlign w:val="center"/>
          </w:tcPr>
          <w:p>
            <w:r>
              <w:rPr>
                <w:b w:val="false"/>
                <w:bCs w:val="false"/>
                <w:color w:val="1A1A1A"/>
              </w:rPr>
              <w:t xml:space="preserve">Some rows fail multiple validation rules simultaneously and cannot be repaired with confidence.</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When</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Only after milder strategies (imputation, correction) have been considered and rejected for that specific case.</w:t>
            </w:r>
          </w:p>
        </w:tc>
      </w:tr>
      <w:tr>
        <w:tc>
          <w:tcPr>
            <w:tcW w:type="dxa" w:w="1800"/>
            <w:tcMar>
              <w:top w:type="dxa" w:w="80"/>
              <w:left w:type="dxa" w:w="120"/>
              <w:bottom w:type="dxa" w:w="80"/>
              <w:right w:type="dxa" w:w="120"/>
            </w:tcMar>
            <w:vAlign w:val="center"/>
          </w:tcPr>
          <w:p>
            <w:r>
              <w:rPr>
                <w:b w:val="false"/>
                <w:bCs w:val="false"/>
                <w:color w:val="1A1A1A"/>
              </w:rPr>
              <w:t xml:space="preserve">Advantages</w:t>
            </w:r>
          </w:p>
        </w:tc>
        <w:tc>
          <w:tcPr>
            <w:tcW w:type="dxa" w:w="7440"/>
            <w:tcMar>
              <w:top w:type="dxa" w:w="80"/>
              <w:left w:type="dxa" w:w="120"/>
              <w:bottom w:type="dxa" w:w="80"/>
              <w:right w:type="dxa" w:w="120"/>
            </w:tcMar>
            <w:vAlign w:val="center"/>
          </w:tcPr>
          <w:p>
            <w:r>
              <w:rPr>
                <w:b w:val="false"/>
                <w:bCs w:val="false"/>
                <w:color w:val="1A1A1A"/>
              </w:rPr>
              <w:t xml:space="preserve">Guarantees the remaining dataset meets a documented quality bar.</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Disadvantages</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Every removed row is lost information; over-removal shrinks an already-rare fraud class further.</w:t>
            </w:r>
          </w:p>
        </w:tc>
      </w:tr>
      <w:tr>
        <w:tc>
          <w:tcPr>
            <w:tcW w:type="dxa" w:w="1800"/>
            <w:tcMar>
              <w:top w:type="dxa" w:w="80"/>
              <w:left w:type="dxa" w:w="120"/>
              <w:bottom w:type="dxa" w:w="80"/>
              <w:right w:type="dxa" w:w="120"/>
            </w:tcMar>
            <w:vAlign w:val="center"/>
          </w:tcPr>
          <w:p>
            <w:r>
              <w:rPr>
                <w:b w:val="false"/>
                <w:bCs w:val="false"/>
                <w:color w:val="1A1A1A"/>
              </w:rPr>
              <w:t xml:space="preserve">Impact on ML</w:t>
            </w:r>
          </w:p>
        </w:tc>
        <w:tc>
          <w:tcPr>
            <w:tcW w:type="dxa" w:w="7440"/>
            <w:tcMar>
              <w:top w:type="dxa" w:w="80"/>
              <w:left w:type="dxa" w:w="120"/>
              <w:bottom w:type="dxa" w:w="80"/>
              <w:right w:type="dxa" w:w="120"/>
            </w:tcMar>
            <w:vAlign w:val="center"/>
          </w:tcPr>
          <w:p>
            <w:r>
              <w:rPr>
                <w:b w:val="false"/>
                <w:bCs w:val="false"/>
                <w:color w:val="1A1A1A"/>
              </w:rPr>
              <w:t xml:space="preserve">Should be the last resort specifically because the fraud class is so small — deleting rows carelessly can delete fraud cases.</w:t>
            </w:r>
          </w:p>
        </w:tc>
      </w:tr>
    </w:tbl>
    <w:p>
      <w:pPr>
        <w:pStyle w:val="Heading2"/>
        <w:spacing w:after="120" w:before="280"/>
      </w:pPr>
      <w:r>
        <w:rPr>
          <w:b/>
          <w:bCs/>
          <w:color w:val="2E5FA3"/>
          <w:sz w:val="24"/>
          <w:szCs w:val="24"/>
        </w:rPr>
        <w:t xml:space="preserve">9.7 Standardizing Categorical Values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7440"/>
      </w:tblGrid>
      <w:tr>
        <w:trPr>
          <w:tblHeader/>
        </w:trPr>
        <w:tc>
          <w:tcPr>
            <w:tcW w:type="dxa" w:w="1800"/>
            <w:shd w:fill="2E5FA3" w:color="auto" w:val="clear"/>
            <w:tcMar>
              <w:top w:type="dxa" w:w="80"/>
              <w:left w:type="dxa" w:w="120"/>
              <w:bottom w:type="dxa" w:w="80"/>
              <w:right w:type="dxa" w:w="120"/>
            </w:tcMar>
            <w:vAlign w:val="center"/>
          </w:tcPr>
          <w:p>
            <w:r>
              <w:rPr>
                <w:b/>
                <w:bCs/>
                <w:color w:val="FFFFFF"/>
              </w:rPr>
              <w:t xml:space="preserve">Question</w:t>
            </w:r>
          </w:p>
        </w:tc>
        <w:tc>
          <w:tcPr>
            <w:tcW w:type="dxa" w:w="7440"/>
            <w:shd w:fill="2E5FA3" w:color="auto" w:val="clear"/>
            <w:tcMar>
              <w:top w:type="dxa" w:w="80"/>
              <w:left w:type="dxa" w:w="120"/>
              <w:bottom w:type="dxa" w:w="80"/>
              <w:right w:type="dxa" w:w="120"/>
            </w:tcMar>
            <w:vAlign w:val="center"/>
          </w:tcPr>
          <w:p>
            <w:r>
              <w:rPr>
                <w:b/>
                <w:bCs/>
                <w:color w:val="FFFFFF"/>
              </w:rPr>
              <w:t xml:space="preserve">Answer</w:t>
            </w:r>
          </w:p>
        </w:tc>
      </w:tr>
      <w:tr>
        <w:tc>
          <w:tcPr>
            <w:tcW w:type="dxa" w:w="1800"/>
            <w:tcMar>
              <w:top w:type="dxa" w:w="80"/>
              <w:left w:type="dxa" w:w="120"/>
              <w:bottom w:type="dxa" w:w="80"/>
              <w:right w:type="dxa" w:w="120"/>
            </w:tcMar>
            <w:vAlign w:val="center"/>
          </w:tcPr>
          <w:p>
            <w:r>
              <w:rPr>
                <w:b w:val="false"/>
                <w:bCs w:val="false"/>
                <w:color w:val="1A1A1A"/>
              </w:rPr>
              <w:t xml:space="preserve">Why</w:t>
            </w:r>
          </w:p>
        </w:tc>
        <w:tc>
          <w:tcPr>
            <w:tcW w:type="dxa" w:w="7440"/>
            <w:tcMar>
              <w:top w:type="dxa" w:w="80"/>
              <w:left w:type="dxa" w:w="120"/>
              <w:bottom w:type="dxa" w:w="80"/>
              <w:right w:type="dxa" w:w="120"/>
            </w:tcMar>
            <w:vAlign w:val="center"/>
          </w:tcPr>
          <w:p>
            <w:r>
              <w:rPr>
                <w:b w:val="false"/>
                <w:bCs w:val="false"/>
                <w:color w:val="1A1A1A"/>
              </w:rPr>
              <w:t xml:space="preserve">Inconsistent casing or whitespace in categorical fields (e.g., 'transfer' vs 'TRANSFER') would silently fragment a category into several.</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When</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Immediately after type correction, before any groupby or one-hot encoding.</w:t>
            </w:r>
          </w:p>
        </w:tc>
      </w:tr>
      <w:tr>
        <w:tc>
          <w:tcPr>
            <w:tcW w:type="dxa" w:w="1800"/>
            <w:tcMar>
              <w:top w:type="dxa" w:w="80"/>
              <w:left w:type="dxa" w:w="120"/>
              <w:bottom w:type="dxa" w:w="80"/>
              <w:right w:type="dxa" w:w="120"/>
            </w:tcMar>
            <w:vAlign w:val="center"/>
          </w:tcPr>
          <w:p>
            <w:r>
              <w:rPr>
                <w:b w:val="false"/>
                <w:bCs w:val="false"/>
                <w:color w:val="1A1A1A"/>
              </w:rPr>
              <w:t xml:space="preserve">Advantages</w:t>
            </w:r>
          </w:p>
        </w:tc>
        <w:tc>
          <w:tcPr>
            <w:tcW w:type="dxa" w:w="7440"/>
            <w:tcMar>
              <w:top w:type="dxa" w:w="80"/>
              <w:left w:type="dxa" w:w="120"/>
              <w:bottom w:type="dxa" w:w="80"/>
              <w:right w:type="dxa" w:w="120"/>
            </w:tcMar>
            <w:vAlign w:val="center"/>
          </w:tcPr>
          <w:p>
            <w:r>
              <w:rPr>
                <w:b w:val="false"/>
                <w:bCs w:val="false"/>
                <w:color w:val="1A1A1A"/>
              </w:rPr>
              <w:t xml:space="preserve">Guarantees that value_counts() and one-hot encoding reflect true category boundaries.</w:t>
            </w:r>
          </w:p>
        </w:tc>
      </w:tr>
      <w:tr>
        <w:tc>
          <w:tcPr>
            <w:tcW w:type="dxa" w:w="1800"/>
            <w:shd w:fill="F2F2F2" w:color="auto" w:val="clear"/>
            <w:tcMar>
              <w:top w:type="dxa" w:w="80"/>
              <w:left w:type="dxa" w:w="120"/>
              <w:bottom w:type="dxa" w:w="80"/>
              <w:right w:type="dxa" w:w="120"/>
            </w:tcMar>
            <w:vAlign w:val="center"/>
          </w:tcPr>
          <w:p>
            <w:r>
              <w:rPr>
                <w:b w:val="false"/>
                <w:bCs w:val="false"/>
                <w:color w:val="1A1A1A"/>
              </w:rPr>
              <w:t xml:space="preserve">Disadvantages</w:t>
            </w:r>
          </w:p>
        </w:tc>
        <w:tc>
          <w:tcPr>
            <w:tcW w:type="dxa" w:w="7440"/>
            <w:shd w:fill="F2F2F2" w:color="auto" w:val="clear"/>
            <w:tcMar>
              <w:top w:type="dxa" w:w="80"/>
              <w:left w:type="dxa" w:w="120"/>
              <w:bottom w:type="dxa" w:w="80"/>
              <w:right w:type="dxa" w:w="120"/>
            </w:tcMar>
            <w:vAlign w:val="center"/>
          </w:tcPr>
          <w:p>
            <w:r>
              <w:rPr>
                <w:b w:val="false"/>
                <w:bCs w:val="false"/>
                <w:color w:val="1A1A1A"/>
              </w:rPr>
              <w:t xml:space="preserve">Minimal, provided the standardization rule matches the data's actual conventions.</w:t>
            </w:r>
          </w:p>
        </w:tc>
      </w:tr>
      <w:tr>
        <w:tc>
          <w:tcPr>
            <w:tcW w:type="dxa" w:w="1800"/>
            <w:tcMar>
              <w:top w:type="dxa" w:w="80"/>
              <w:left w:type="dxa" w:w="120"/>
              <w:bottom w:type="dxa" w:w="80"/>
              <w:right w:type="dxa" w:w="120"/>
            </w:tcMar>
            <w:vAlign w:val="center"/>
          </w:tcPr>
          <w:p>
            <w:r>
              <w:rPr>
                <w:b w:val="false"/>
                <w:bCs w:val="false"/>
                <w:color w:val="1A1A1A"/>
              </w:rPr>
              <w:t xml:space="preserve">Impact on ML</w:t>
            </w:r>
          </w:p>
        </w:tc>
        <w:tc>
          <w:tcPr>
            <w:tcW w:type="dxa" w:w="7440"/>
            <w:tcMar>
              <w:top w:type="dxa" w:w="80"/>
              <w:left w:type="dxa" w:w="120"/>
              <w:bottom w:type="dxa" w:w="80"/>
              <w:right w:type="dxa" w:w="120"/>
            </w:tcMar>
            <w:vAlign w:val="center"/>
          </w:tcPr>
          <w:p>
            <w:r>
              <w:rPr>
                <w:b w:val="false"/>
                <w:bCs w:val="false"/>
                <w:color w:val="1A1A1A"/>
              </w:rPr>
              <w:t xml:space="preserve">Ensures typeOneHot in Document 1 produces exactly five clean columns, not a fragmented and larger set.</w:t>
            </w:r>
          </w:p>
        </w:tc>
      </w:tr>
    </w:tbl>
    <w:p>
      <w:r>
        <w:br w:type="page"/>
      </w:r>
    </w:p>
    <w:p>
      <w:pPr>
        <w:pStyle w:val="Heading1"/>
        <w:pBdr>
          <w:bottom w:val="single" w:color="2E5FA3" w:sz="6" w:space="4"/>
        </w:pBdr>
        <w:spacing w:after="160" w:before="400"/>
      </w:pPr>
      <w:r>
        <w:rPr>
          <w:b/>
          <w:bCs/>
          <w:color w:val="1A1A1A"/>
          <w:sz w:val="30"/>
          <w:szCs w:val="30"/>
        </w:rPr>
        <w:t xml:space="preserve">10. Production Code</w:t>
      </w:r>
    </w:p>
    <w:p>
      <w:pPr>
        <w:spacing w:after="160" w:line="276" w:lineRule="auto"/>
      </w:pPr>
      <w:r>
        <w:rPr>
          <w:color w:val="1A1A1A"/>
          <w:sz w:val="21"/>
          <w:szCs w:val="21"/>
        </w:rPr>
        <w:t xml:space="preserve">A notebook is an excellent tool for exploration and a poor tool for production. It runs cells out of order, hides state in variables that no longer match the code on screen, and has no natural way to be scheduled, tested, or reused by another script. Once the cleaning logic in EDA.ipynb has been decided and validated, it must be converted into a plain, deterministic Python module: preprocessing/clean_data.py.</w:t>
      </w:r>
    </w:p>
    <w:p>
      <w:pPr>
        <w:spacing w:after="160" w:line="276" w:lineRule="auto"/>
      </w:pPr>
      <w:r>
        <w:rPr>
          <w:color w:val="1A1A1A"/>
          <w:sz w:val="21"/>
          <w:szCs w:val="21"/>
        </w:rPr>
        <w:t xml:space="preserve">"Production code" here means code that:</w:t>
      </w:r>
    </w:p>
    <w:p>
      <w:pPr>
        <w:pStyle w:val="ListParagraph"/>
        <w:numPr>
          <w:ilvl w:val="0"/>
          <w:numId w:val="2"/>
        </w:numPr>
        <w:spacing w:after="80" w:line="264" w:lineRule="auto"/>
      </w:pPr>
      <w:r>
        <w:rPr>
          <w:color w:val="1A1A1A"/>
          <w:sz w:val="21"/>
          <w:szCs w:val="21"/>
        </w:rPr>
        <w:t xml:space="preserve">Runs the same way every time it's executed, with no dependency on cell execution order.</w:t>
      </w:r>
    </w:p>
    <w:p>
      <w:pPr>
        <w:pStyle w:val="ListParagraph"/>
        <w:numPr>
          <w:ilvl w:val="0"/>
          <w:numId w:val="2"/>
        </w:numPr>
        <w:spacing w:after="80" w:line="264" w:lineRule="auto"/>
      </w:pPr>
      <w:r>
        <w:rPr>
          <w:color w:val="1A1A1A"/>
          <w:sz w:val="21"/>
          <w:szCs w:val="21"/>
        </w:rPr>
        <w:t xml:space="preserve">Fails loudly and clearly when an assumption about the data is violated, rather than continuing silently.</w:t>
      </w:r>
    </w:p>
    <w:p>
      <w:pPr>
        <w:pStyle w:val="ListParagraph"/>
        <w:numPr>
          <w:ilvl w:val="0"/>
          <w:numId w:val="2"/>
        </w:numPr>
        <w:spacing w:after="80" w:line="264" w:lineRule="auto"/>
      </w:pPr>
      <w:r>
        <w:rPr>
          <w:color w:val="1A1A1A"/>
          <w:sz w:val="21"/>
          <w:szCs w:val="21"/>
        </w:rPr>
        <w:t xml:space="preserve">Can be run from the command line or scheduled, with no manual notebook interaction required.</w:t>
      </w:r>
    </w:p>
    <w:p>
      <w:pPr>
        <w:pStyle w:val="ListParagraph"/>
        <w:numPr>
          <w:ilvl w:val="0"/>
          <w:numId w:val="2"/>
        </w:numPr>
        <w:spacing w:after="80" w:line="264" w:lineRule="auto"/>
      </w:pPr>
      <w:r>
        <w:rPr>
          <w:color w:val="1A1A1A"/>
          <w:sz w:val="21"/>
          <w:szCs w:val="21"/>
        </w:rPr>
        <w:t xml:space="preserve">Is reviewable in a pull request like any other source file.</w:t>
      </w:r>
    </w:p>
    <w:p>
      <w:pPr>
        <w:pStyle w:val="Heading2"/>
        <w:spacing w:after="120" w:before="280"/>
      </w:pPr>
      <w:r>
        <w:rPr>
          <w:b/>
          <w:bCs/>
          <w:color w:val="2E5FA3"/>
          <w:sz w:val="24"/>
          <w:szCs w:val="24"/>
        </w:rPr>
        <w:t xml:space="preserve">10.1 Script Responsibilities</w:t>
      </w:r>
    </w:p>
    <w:p>
      <w:pPr>
        <w:pStyle w:val="ListParagraph"/>
        <w:numPr>
          <w:ilvl w:val="0"/>
          <w:numId w:val="3"/>
        </w:numPr>
        <w:spacing w:after="80" w:line="264" w:lineRule="auto"/>
      </w:pPr>
      <w:r>
        <w:rPr>
          <w:color w:val="1A1A1A"/>
          <w:sz w:val="21"/>
          <w:szCs w:val="21"/>
        </w:rPr>
        <w:t xml:space="preserve">Load the raw CSV (chunked, matching the ingestion approach from Document 1).</w:t>
      </w:r>
    </w:p>
    <w:p>
      <w:pPr>
        <w:pStyle w:val="ListParagraph"/>
        <w:numPr>
          <w:ilvl w:val="0"/>
          <w:numId w:val="3"/>
        </w:numPr>
        <w:spacing w:after="80" w:line="264" w:lineRule="auto"/>
      </w:pPr>
      <w:r>
        <w:rPr>
          <w:color w:val="1A1A1A"/>
          <w:sz w:val="21"/>
          <w:szCs w:val="21"/>
        </w:rPr>
        <w:t xml:space="preserve">Validate the dataset against the schema and quality rules discovered during EDA.</w:t>
      </w:r>
    </w:p>
    <w:p>
      <w:pPr>
        <w:pStyle w:val="ListParagraph"/>
        <w:numPr>
          <w:ilvl w:val="0"/>
          <w:numId w:val="3"/>
        </w:numPr>
        <w:spacing w:after="80" w:line="264" w:lineRule="auto"/>
      </w:pPr>
      <w:r>
        <w:rPr>
          <w:color w:val="1A1A1A"/>
          <w:sz w:val="21"/>
          <w:szCs w:val="21"/>
        </w:rPr>
        <w:t xml:space="preserve">Apply the cleaning decisions from Section 9, in a fixed, documented order.</w:t>
      </w:r>
    </w:p>
    <w:p>
      <w:pPr>
        <w:pStyle w:val="ListParagraph"/>
        <w:numPr>
          <w:ilvl w:val="0"/>
          <w:numId w:val="3"/>
        </w:numPr>
        <w:spacing w:after="80" w:line="264" w:lineRule="auto"/>
      </w:pPr>
      <w:r>
        <w:rPr>
          <w:color w:val="1A1A1A"/>
          <w:sz w:val="21"/>
          <w:szCs w:val="21"/>
        </w:rPr>
        <w:t xml:space="preserve">Save the cleaned dataset to paysim_clean.csv.</w:t>
      </w:r>
    </w:p>
    <w:p>
      <w:pPr>
        <w:pStyle w:val="ListParagraph"/>
        <w:numPr>
          <w:ilvl w:val="0"/>
          <w:numId w:val="3"/>
        </w:numPr>
        <w:spacing w:after="80" w:line="264" w:lineRule="auto"/>
      </w:pPr>
      <w:r>
        <w:rPr>
          <w:color w:val="1A1A1A"/>
          <w:sz w:val="21"/>
          <w:szCs w:val="21"/>
        </w:rPr>
        <w:t xml:space="preserve">Create or connect to the SQLite database and create the required tables.</w:t>
      </w:r>
    </w:p>
    <w:p>
      <w:pPr>
        <w:pStyle w:val="ListParagraph"/>
        <w:numPr>
          <w:ilvl w:val="0"/>
          <w:numId w:val="3"/>
        </w:numPr>
        <w:spacing w:after="80" w:line="264" w:lineRule="auto"/>
      </w:pPr>
      <w:r>
        <w:rPr>
          <w:color w:val="1A1A1A"/>
          <w:sz w:val="21"/>
          <w:szCs w:val="21"/>
        </w:rPr>
        <w:t xml:space="preserve">Insert the cleaned records into the database.</w:t>
      </w:r>
    </w:p>
    <w:p>
      <w:pPr>
        <w:pStyle w:val="ListParagraph"/>
        <w:numPr>
          <w:ilvl w:val="0"/>
          <w:numId w:val="3"/>
        </w:numPr>
        <w:spacing w:after="80" w:line="264" w:lineRule="auto"/>
      </w:pPr>
      <w:r>
        <w:rPr>
          <w:color w:val="1A1A1A"/>
          <w:sz w:val="21"/>
          <w:szCs w:val="21"/>
        </w:rPr>
        <w:t xml:space="preserve">Print summary processing statistics (rows in, rows removed, rows imputed, final row count).</w:t>
      </w:r>
    </w:p>
    <w:p>
      <w:pPr>
        <w:shd w:fill="F2F2F2" w:color="auto" w:val="clear"/>
        <w:spacing w:after="160" w:before="80"/>
      </w:pPr>
      <w:r>
        <w:rPr>
          <w:rFonts w:ascii="Consolas" w:cs="Consolas" w:eastAsia="Consolas" w:hAnsi="Consolas"/>
          <w:color w:val="1A1A1A"/>
          <w:sz w:val="18"/>
          <w:szCs w:val="18"/>
        </w:rPr>
        <w:t xml:space="preserve">preprocessing/clean_data.py</w:t>
      </w:r>
      <w:r>
        <w:rPr>
          <w:rFonts w:ascii="Consolas" w:cs="Consolas" w:eastAsia="Consolas" w:hAnsi="Consolas"/>
          <w:color w:val="1A1A1A"/>
          <w:sz w:val="18"/>
          <w:szCs w:val="18"/>
        </w:rPr>
        <w:br/>
      </w:r>
      <w:r>
        <w:rPr>
          <w:rFonts w:ascii="Consolas" w:cs="Consolas" w:eastAsia="Consolas" w:hAnsi="Consolas"/>
          <w:color w:val="1A1A1A"/>
          <w:sz w:val="18"/>
          <w:szCs w:val="18"/>
        </w:rPr>
        <w:t xml:space="preserve">  |-- load_raw(path) -&gt; DataFrame</w:t>
      </w:r>
      <w:r>
        <w:rPr>
          <w:rFonts w:ascii="Consolas" w:cs="Consolas" w:eastAsia="Consolas" w:hAnsi="Consolas"/>
          <w:color w:val="1A1A1A"/>
          <w:sz w:val="18"/>
          <w:szCs w:val="18"/>
        </w:rPr>
        <w:br/>
      </w:r>
      <w:r>
        <w:rPr>
          <w:rFonts w:ascii="Consolas" w:cs="Consolas" w:eastAsia="Consolas" w:hAnsi="Consolas"/>
          <w:color w:val="1A1A1A"/>
          <w:sz w:val="18"/>
          <w:szCs w:val="18"/>
        </w:rPr>
        <w:t xml:space="preserve">  |-- validate_schema(df) -&gt; None (raises on failure)</w:t>
      </w:r>
      <w:r>
        <w:rPr>
          <w:rFonts w:ascii="Consolas" w:cs="Consolas" w:eastAsia="Consolas" w:hAnsi="Consolas"/>
          <w:color w:val="1A1A1A"/>
          <w:sz w:val="18"/>
          <w:szCs w:val="18"/>
        </w:rPr>
        <w:br/>
      </w:r>
      <w:r>
        <w:rPr>
          <w:rFonts w:ascii="Consolas" w:cs="Consolas" w:eastAsia="Consolas" w:hAnsi="Consolas"/>
          <w:color w:val="1A1A1A"/>
          <w:sz w:val="18"/>
          <w:szCs w:val="18"/>
        </w:rPr>
        <w:t xml:space="preserve">  |-- clean(df) -&gt; DataFrame</w:t>
      </w:r>
      <w:r>
        <w:rPr>
          <w:rFonts w:ascii="Consolas" w:cs="Consolas" w:eastAsia="Consolas" w:hAnsi="Consolas"/>
          <w:color w:val="1A1A1A"/>
          <w:sz w:val="18"/>
          <w:szCs w:val="18"/>
        </w:rPr>
        <w:br/>
      </w:r>
      <w:r>
        <w:rPr>
          <w:rFonts w:ascii="Consolas" w:cs="Consolas" w:eastAsia="Consolas" w:hAnsi="Consolas"/>
          <w:color w:val="1A1A1A"/>
          <w:sz w:val="18"/>
          <w:szCs w:val="18"/>
        </w:rPr>
        <w:t xml:space="preserve">  |     |-- drop_duplicates(df)</w:t>
      </w:r>
      <w:r>
        <w:rPr>
          <w:rFonts w:ascii="Consolas" w:cs="Consolas" w:eastAsia="Consolas" w:hAnsi="Consolas"/>
          <w:color w:val="1A1A1A"/>
          <w:sz w:val="18"/>
          <w:szCs w:val="18"/>
        </w:rPr>
        <w:br/>
      </w:r>
      <w:r>
        <w:rPr>
          <w:rFonts w:ascii="Consolas" w:cs="Consolas" w:eastAsia="Consolas" w:hAnsi="Consolas"/>
          <w:color w:val="1A1A1A"/>
          <w:sz w:val="18"/>
          <w:szCs w:val="18"/>
        </w:rPr>
        <w:t xml:space="preserve">  |     |-- fix_dtypes(df)</w:t>
      </w:r>
      <w:r>
        <w:rPr>
          <w:rFonts w:ascii="Consolas" w:cs="Consolas" w:eastAsia="Consolas" w:hAnsi="Consolas"/>
          <w:color w:val="1A1A1A"/>
          <w:sz w:val="18"/>
          <w:szCs w:val="18"/>
        </w:rPr>
        <w:br/>
      </w:r>
      <w:r>
        <w:rPr>
          <w:rFonts w:ascii="Consolas" w:cs="Consolas" w:eastAsia="Consolas" w:hAnsi="Consolas"/>
          <w:color w:val="1A1A1A"/>
          <w:sz w:val="18"/>
          <w:szCs w:val="18"/>
        </w:rPr>
        <w:t xml:space="preserve">  |     |-- handle_missing(df)</w:t>
      </w:r>
      <w:r>
        <w:rPr>
          <w:rFonts w:ascii="Consolas" w:cs="Consolas" w:eastAsia="Consolas" w:hAnsi="Consolas"/>
          <w:color w:val="1A1A1A"/>
          <w:sz w:val="18"/>
          <w:szCs w:val="18"/>
        </w:rPr>
        <w:br/>
      </w:r>
      <w:r>
        <w:rPr>
          <w:rFonts w:ascii="Consolas" w:cs="Consolas" w:eastAsia="Consolas" w:hAnsi="Consolas"/>
          <w:color w:val="1A1A1A"/>
          <w:sz w:val="18"/>
          <w:szCs w:val="18"/>
        </w:rPr>
        <w:t xml:space="preserve">  |     |-- validate_balances(df)</w:t>
      </w:r>
      <w:r>
        <w:rPr>
          <w:rFonts w:ascii="Consolas" w:cs="Consolas" w:eastAsia="Consolas" w:hAnsi="Consolas"/>
          <w:color w:val="1A1A1A"/>
          <w:sz w:val="18"/>
          <w:szCs w:val="18"/>
        </w:rPr>
        <w:br/>
      </w:r>
      <w:r>
        <w:rPr>
          <w:rFonts w:ascii="Consolas" w:cs="Consolas" w:eastAsia="Consolas" w:hAnsi="Consolas"/>
          <w:color w:val="1A1A1A"/>
          <w:sz w:val="18"/>
          <w:szCs w:val="18"/>
        </w:rPr>
        <w:t xml:space="preserve">  |     |-- validate_amounts(df)</w:t>
      </w:r>
      <w:r>
        <w:rPr>
          <w:rFonts w:ascii="Consolas" w:cs="Consolas" w:eastAsia="Consolas" w:hAnsi="Consolas"/>
          <w:color w:val="1A1A1A"/>
          <w:sz w:val="18"/>
          <w:szCs w:val="18"/>
        </w:rPr>
        <w:br/>
      </w:r>
      <w:r>
        <w:rPr>
          <w:rFonts w:ascii="Consolas" w:cs="Consolas" w:eastAsia="Consolas" w:hAnsi="Consolas"/>
          <w:color w:val="1A1A1A"/>
          <w:sz w:val="18"/>
          <w:szCs w:val="18"/>
        </w:rPr>
        <w:t xml:space="preserve">  |     |-- standardize_categoricals(df)</w:t>
      </w:r>
      <w:r>
        <w:rPr>
          <w:rFonts w:ascii="Consolas" w:cs="Consolas" w:eastAsia="Consolas" w:hAnsi="Consolas"/>
          <w:color w:val="1A1A1A"/>
          <w:sz w:val="18"/>
          <w:szCs w:val="18"/>
        </w:rPr>
        <w:br/>
      </w:r>
      <w:r>
        <w:rPr>
          <w:rFonts w:ascii="Consolas" w:cs="Consolas" w:eastAsia="Consolas" w:hAnsi="Consolas"/>
          <w:color w:val="1A1A1A"/>
          <w:sz w:val="18"/>
          <w:szCs w:val="18"/>
        </w:rPr>
        <w:t xml:space="preserve">  |-- save_csv(df, out_path)</w:t>
      </w:r>
      <w:r>
        <w:rPr>
          <w:rFonts w:ascii="Consolas" w:cs="Consolas" w:eastAsia="Consolas" w:hAnsi="Consolas"/>
          <w:color w:val="1A1A1A"/>
          <w:sz w:val="18"/>
          <w:szCs w:val="18"/>
        </w:rPr>
        <w:br/>
      </w:r>
      <w:r>
        <w:rPr>
          <w:rFonts w:ascii="Consolas" w:cs="Consolas" w:eastAsia="Consolas" w:hAnsi="Consolas"/>
          <w:color w:val="1A1A1A"/>
          <w:sz w:val="18"/>
          <w:szCs w:val="18"/>
        </w:rPr>
        <w:t xml:space="preserve">  |-- load_to_sqlite(df, db_path)</w:t>
      </w:r>
      <w:r>
        <w:rPr>
          <w:rFonts w:ascii="Consolas" w:cs="Consolas" w:eastAsia="Consolas" w:hAnsi="Consolas"/>
          <w:color w:val="1A1A1A"/>
          <w:sz w:val="18"/>
          <w:szCs w:val="18"/>
        </w:rPr>
        <w:br/>
      </w:r>
      <w:r>
        <w:rPr>
          <w:rFonts w:ascii="Consolas" w:cs="Consolas" w:eastAsia="Consolas" w:hAnsi="Consolas"/>
          <w:color w:val="1A1A1A"/>
          <w:sz w:val="18"/>
          <w:szCs w:val="18"/>
        </w:rPr>
        <w:t xml:space="preserve">  |-- print_stats(before, after)</w:t>
      </w:r>
    </w:p>
    <w:p>
      <w:pPr>
        <w:spacing w:after="200"/>
      </w:pPr>
      <w:r>
        <w:rPr>
          <w:i/>
          <w:iCs/>
          <w:color w:val="595959"/>
          <w:sz w:val="18"/>
          <w:szCs w:val="18"/>
        </w:rPr>
        <w:t xml:space="preserve">Figure 2. Suggested function decomposition for clean_data.py.</w:t>
      </w:r>
    </w:p>
    <w:p>
      <w:pPr>
        <w:pBdr>
          <w:left w:val="single" w:color="2E5FA3" w:sz="24" w:space="8"/>
        </w:pBdr>
        <w:shd w:fill="F2F2F2" w:color="auto" w:val="clear"/>
        <w:spacing w:after="160" w:before="120"/>
        <w:ind w:left="120"/>
      </w:pPr>
      <w:r>
        <w:rPr>
          <w:b/>
          <w:bCs/>
          <w:color w:val="2E5FA3"/>
          <w:sz w:val="21"/>
          <w:szCs w:val="21"/>
        </w:rPr>
        <w:t xml:space="preserve">Warning:  </w:t>
      </w:r>
      <w:r>
        <w:rPr>
          <w:color w:val="1A1A1A"/>
          <w:sz w:val="21"/>
          <w:szCs w:val="21"/>
        </w:rPr>
        <w:t xml:space="preserve">Never let notebook cells silently become production code by copy-paste. Re-derive each cleaning step as a named, testable function, with the reasoning from Section 9 captured in a docstring or comment.</w:t>
      </w:r>
    </w:p>
    <w:p>
      <w:pPr>
        <w:pStyle w:val="Heading1"/>
        <w:pBdr>
          <w:bottom w:val="single" w:color="2E5FA3" w:sz="6" w:space="4"/>
        </w:pBdr>
        <w:spacing w:after="160" w:before="400"/>
      </w:pPr>
      <w:r>
        <w:rPr>
          <w:b/>
          <w:bCs/>
          <w:color w:val="1A1A1A"/>
          <w:sz w:val="30"/>
          <w:szCs w:val="30"/>
        </w:rPr>
        <w:t xml:space="preserve">11. Deliverables</w:t>
      </w:r>
    </w:p>
    <w:p>
      <w:pPr>
        <w:spacing w:after="160" w:line="276" w:lineRule="auto"/>
      </w:pPr>
      <w:r>
        <w:rPr>
          <w:color w:val="1A1A1A"/>
          <w:sz w:val="21"/>
          <w:szCs w:val="21"/>
        </w:rPr>
        <w:t xml:space="preserve">By the end of this stage, the following artifacts must exist in the repository:</w:t>
      </w:r>
    </w:p>
    <w:p>
      <w:pPr>
        <w:pStyle w:val="ListParagraph"/>
        <w:numPr>
          <w:ilvl w:val="0"/>
          <w:numId w:val="2"/>
        </w:numPr>
        <w:spacing w:after="80" w:line="264" w:lineRule="auto"/>
      </w:pPr>
      <w:r>
        <w:rPr>
          <w:color w:val="1A1A1A"/>
          <w:sz w:val="21"/>
          <w:szCs w:val="21"/>
        </w:rPr>
        <w:t xml:space="preserve">EDA.ipynb — the complete exploratory notebook, following the structure in Section 8.</w:t>
      </w:r>
    </w:p>
    <w:p>
      <w:pPr>
        <w:pStyle w:val="ListParagraph"/>
        <w:numPr>
          <w:ilvl w:val="0"/>
          <w:numId w:val="2"/>
        </w:numPr>
        <w:spacing w:after="80" w:line="264" w:lineRule="auto"/>
      </w:pPr>
      <w:r>
        <w:rPr>
          <w:color w:val="1A1A1A"/>
          <w:sz w:val="21"/>
          <w:szCs w:val="21"/>
        </w:rPr>
        <w:t xml:space="preserve">paysim_clean.csv — the cleaned, versioned dataset produced by the production script.</w:t>
      </w:r>
    </w:p>
    <w:p>
      <w:pPr>
        <w:pStyle w:val="ListParagraph"/>
        <w:numPr>
          <w:ilvl w:val="0"/>
          <w:numId w:val="2"/>
        </w:numPr>
        <w:spacing w:after="80" w:line="264" w:lineRule="auto"/>
      </w:pPr>
      <w:r>
        <w:rPr>
          <w:color w:val="1A1A1A"/>
          <w:sz w:val="21"/>
          <w:szCs w:val="21"/>
        </w:rPr>
        <w:t xml:space="preserve">preprocessing/clean_data.py — the production cleaning script described in Section 10.</w:t>
      </w:r>
    </w:p>
    <w:p>
      <w:pPr>
        <w:pStyle w:val="ListParagraph"/>
        <w:numPr>
          <w:ilvl w:val="0"/>
          <w:numId w:val="2"/>
        </w:numPr>
        <w:spacing w:after="80" w:line="264" w:lineRule="auto"/>
      </w:pPr>
      <w:r>
        <w:rPr>
          <w:color w:val="1A1A1A"/>
          <w:sz w:val="21"/>
          <w:szCs w:val="21"/>
        </w:rPr>
        <w:t xml:space="preserve">A populated SQLite database containing the cleaned records, ready for the SQL analytics stage from Document 1.</w:t>
      </w:r>
    </w:p>
    <w:p>
      <w:pPr>
        <w:pStyle w:val="Heading1"/>
        <w:pBdr>
          <w:bottom w:val="single" w:color="2E5FA3" w:sz="6" w:space="4"/>
        </w:pBdr>
        <w:spacing w:after="160" w:before="400"/>
      </w:pPr>
      <w:r>
        <w:rPr>
          <w:b/>
          <w:bCs/>
          <w:color w:val="1A1A1A"/>
          <w:sz w:val="30"/>
          <w:szCs w:val="30"/>
        </w:rPr>
        <w:t xml:space="preserve">12. Learning Outcomes</w:t>
      </w:r>
    </w:p>
    <w:p>
      <w:pPr>
        <w:spacing w:after="160" w:line="276" w:lineRule="auto"/>
      </w:pPr>
      <w:r>
        <w:rPr>
          <w:color w:val="1A1A1A"/>
          <w:sz w:val="21"/>
          <w:szCs w:val="21"/>
        </w:rPr>
        <w:t xml:space="preserve">Having completed this stage, every developer on the team should be able to:</w:t>
      </w:r>
    </w:p>
    <w:p>
      <w:pPr>
        <w:pStyle w:val="ListParagraph"/>
        <w:numPr>
          <w:ilvl w:val="0"/>
          <w:numId w:val="2"/>
        </w:numPr>
        <w:spacing w:after="80" w:line="264" w:lineRule="auto"/>
      </w:pPr>
      <w:r>
        <w:rPr>
          <w:color w:val="1A1A1A"/>
          <w:sz w:val="21"/>
          <w:szCs w:val="21"/>
        </w:rPr>
        <w:t xml:space="preserve">Explain what EDA is and why it precedes modeling in any serious ML project.</w:t>
      </w:r>
    </w:p>
    <w:p>
      <w:pPr>
        <w:pStyle w:val="ListParagraph"/>
        <w:numPr>
          <w:ilvl w:val="0"/>
          <w:numId w:val="2"/>
        </w:numPr>
        <w:spacing w:after="80" w:line="264" w:lineRule="auto"/>
      </w:pPr>
      <w:r>
        <w:rPr>
          <w:color w:val="1A1A1A"/>
          <w:sz w:val="21"/>
          <w:szCs w:val="21"/>
        </w:rPr>
        <w:t xml:space="preserve">Perform a structured, practical analysis of an unfamiliar tabular dataset.</w:t>
      </w:r>
    </w:p>
    <w:p>
      <w:pPr>
        <w:pStyle w:val="ListParagraph"/>
        <w:numPr>
          <w:ilvl w:val="0"/>
          <w:numId w:val="2"/>
        </w:numPr>
        <w:spacing w:after="80" w:line="264" w:lineRule="auto"/>
      </w:pPr>
      <w:r>
        <w:rPr>
          <w:color w:val="1A1A1A"/>
          <w:sz w:val="21"/>
          <w:szCs w:val="21"/>
        </w:rPr>
        <w:t xml:space="preserve">Interpret histograms, boxplots, correlation heatmaps, and frequency tables without hand-holding.</w:t>
      </w:r>
    </w:p>
    <w:p>
      <w:pPr>
        <w:pStyle w:val="ListParagraph"/>
        <w:numPr>
          <w:ilvl w:val="0"/>
          <w:numId w:val="2"/>
        </w:numPr>
        <w:spacing w:after="80" w:line="264" w:lineRule="auto"/>
      </w:pPr>
      <w:r>
        <w:rPr>
          <w:color w:val="1A1A1A"/>
          <w:sz w:val="21"/>
          <w:szCs w:val="21"/>
        </w:rPr>
        <w:t xml:space="preserve">Identify data quality issues — missingness, duplication, invalid values — systematically rather than by accident.</w:t>
      </w:r>
    </w:p>
    <w:p>
      <w:pPr>
        <w:pStyle w:val="ListParagraph"/>
        <w:numPr>
          <w:ilvl w:val="0"/>
          <w:numId w:val="2"/>
        </w:numPr>
        <w:spacing w:after="80" w:line="264" w:lineRule="auto"/>
      </w:pPr>
      <w:r>
        <w:rPr>
          <w:color w:val="1A1A1A"/>
          <w:sz w:val="21"/>
          <w:szCs w:val="21"/>
        </w:rPr>
        <w:t xml:space="preserve">Make and justify cleaning decisions, with each decision traceable to a specific observation.</w:t>
      </w:r>
    </w:p>
    <w:p>
      <w:pPr>
        <w:pStyle w:val="ListParagraph"/>
        <w:numPr>
          <w:ilvl w:val="0"/>
          <w:numId w:val="2"/>
        </w:numPr>
        <w:spacing w:after="80" w:line="264" w:lineRule="auto"/>
      </w:pPr>
      <w:r>
        <w:rPr>
          <w:color w:val="1A1A1A"/>
          <w:sz w:val="21"/>
          <w:szCs w:val="21"/>
        </w:rPr>
        <w:t xml:space="preserve">Build a reusable, production-grade preprocessing pipeline from notebook-stage exploration.</w:t>
      </w:r>
    </w:p>
    <w:p>
      <w:pPr>
        <w:pStyle w:val="ListParagraph"/>
        <w:numPr>
          <w:ilvl w:val="0"/>
          <w:numId w:val="2"/>
        </w:numPr>
        <w:spacing w:after="80" w:line="264" w:lineRule="auto"/>
      </w:pPr>
      <w:r>
        <w:rPr>
          <w:color w:val="1A1A1A"/>
          <w:sz w:val="21"/>
          <w:szCs w:val="21"/>
        </w:rPr>
        <w:t xml:space="preserve">Prepare a clean, well-understood dataset that the next stage — feature engineering and model training — can build on with confidence.</w:t>
      </w:r>
    </w:p>
    <w:p>
      <w:pPr>
        <w:pBdr>
          <w:top w:val="single" w:color="F2F2F2" w:sz="4"/>
          <w:left w:val="single" w:color="2E5FA3" w:sz="24" w:space="8"/>
        </w:pBdr>
        <w:shd w:fill="F2F2F2" w:color="auto" w:val="clear"/>
        <w:spacing w:after="0" w:before="160"/>
        <w:ind w:left="120"/>
      </w:pPr>
      <w:r>
        <w:rPr>
          <w:b/>
          <w:bCs/>
          <w:color w:val="2E5FA3"/>
          <w:sz w:val="24"/>
          <w:szCs w:val="24"/>
        </w:rPr>
        <w:t xml:space="preserve">Key Takeaways</w:t>
      </w:r>
    </w:p>
    <w:p>
      <w:pPr>
        <w:pStyle w:val="ListParagraph"/>
        <w:numPr>
          <w:ilvl w:val="0"/>
          <w:numId w:val="2"/>
        </w:numPr>
        <w:pBdr>
          <w:left w:val="single" w:color="2E5FA3" w:sz="24" w:space="8"/>
        </w:pBdr>
        <w:shd w:fill="F2F2F2" w:color="auto" w:val="clear"/>
        <w:spacing w:after="60"/>
        <w:ind w:left="120"/>
      </w:pPr>
      <w:r>
        <w:rPr>
          <w:color w:val="1A1A1A"/>
          <w:sz w:val="21"/>
          <w:szCs w:val="21"/>
        </w:rPr>
        <w:t xml:space="preserve">EDA is a repeatable skill: the same four-question structure (What / Why / How / Impact) applies to any new dataset the team encounters after this project.</w:t>
      </w:r>
    </w:p>
    <w:p>
      <w:pPr>
        <w:pStyle w:val="ListParagraph"/>
        <w:numPr>
          <w:ilvl w:val="0"/>
          <w:numId w:val="2"/>
        </w:numPr>
        <w:pBdr>
          <w:bottom w:val="single" w:color="F2F2F2" w:sz="4"/>
          <w:left w:val="single" w:color="2E5FA3" w:sz="24" w:space="8"/>
        </w:pBdr>
        <w:shd w:fill="F2F2F2" w:color="auto" w:val="clear"/>
        <w:spacing w:after="200"/>
        <w:ind w:left="120"/>
      </w:pPr>
      <w:r>
        <w:rPr>
          <w:color w:val="1A1A1A"/>
          <w:sz w:val="21"/>
          <w:szCs w:val="21"/>
        </w:rPr>
        <w:t xml:space="preserve">The notebook and the production script are not duplicates of each other — the notebook is where you think, the script is where you commit to what you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2026-07-04T07:15:26.945Z</dcterms:created>
  <dcterms:modified xsi:type="dcterms:W3CDTF">2026-07-04T07:15:26.957Z</dcterms:modified>
</cp:coreProperties>
</file>

<file path=docProps/custom.xml><?xml version="1.0" encoding="utf-8"?>
<Properties xmlns="http://schemas.openxmlformats.org/officeDocument/2006/custom-properties" xmlns:vt="http://schemas.openxmlformats.org/officeDocument/2006/docPropsVTypes"/>
</file>