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B2A4A"/>
        </w:rPr>
        <w:t>Payment Anomaly Detection MLOps</w:t>
      </w:r>
    </w:p>
    <w:p>
      <w:pPr>
        <w:jc w:val="center"/>
      </w:pPr>
      <w:r>
        <w:rPr>
          <w:color w:val="555555"/>
          <w:sz w:val="32"/>
        </w:rPr>
        <w:t>Project Overview — As-Built</w:t>
      </w:r>
    </w:p>
    <w:p>
      <w:pPr>
        <w:jc w:val="center"/>
      </w:pPr>
      <w:r>
        <w:rPr>
          <w:i/>
          <w:color w:val="555555"/>
        </w:rPr>
        <w:t>Unsupervised fraud detection on PaySim, with SQL analytics, drift monitoring, and a Streamlit dashboard — documenting the pipeline as implemented and run against the full 6,362,604-row dataset.</w:t>
      </w:r>
    </w:p>
    <w:p>
      <w:r>
        <w:br w:type="page"/>
      </w:r>
    </w:p>
    <w:p>
      <w:pPr>
        <w:pStyle w:val="Heading1"/>
      </w:pPr>
      <w:r>
        <w:rPr>
          <w:color w:val="1B2A4A"/>
        </w:rPr>
        <w:t>1. What This Is</w:t>
      </w:r>
    </w:p>
    <w:p>
      <w:r>
        <w:rPr>
          <w:b w:val="0"/>
          <w:i w:val="0"/>
          <w:sz w:val="22"/>
        </w:rPr>
        <w:t>A production-style machine learning system that detects anomalous payment transactions in the PaySim mobile-money dataset using an unsupervised Isolation Forest, persists and queries the data through a normalized SQLite schema, monitors feature-level drift with PSI and the Kolmogorov-Smirnov test, and surfaces everything through an interactive Streamlit dashboard. The full pipeline -- ingestion through dashboard -- has been run end-to-end against the complete PaySim release (6,362,604 transactions after cleaning), not a sample.</w:t>
      </w:r>
    </w:p>
    <w:p>
      <w:pPr>
        <w:pStyle w:val="ListBullet"/>
      </w:pPr>
      <w:r>
        <w:rPr>
          <w:b/>
        </w:rPr>
        <w:t xml:space="preserve">Detects fraud without labels: </w:t>
      </w:r>
      <w:r>
        <w:t>the model trains only on engineered transaction features; isFraud is used exclusively for offline evaluation, never as a model input.</w:t>
      </w:r>
    </w:p>
    <w:p>
      <w:pPr>
        <w:pStyle w:val="ListBullet"/>
      </w:pPr>
      <w:r>
        <w:rPr>
          <w:b/>
        </w:rPr>
        <w:t xml:space="preserve">Full-scale, not a demo: </w:t>
      </w:r>
      <w:r>
        <w:t>every number in this document (row counts, timing, PR-AUC) is measured from an actual run against the full dataset, not a subsample.</w:t>
      </w:r>
    </w:p>
    <w:p>
      <w:pPr>
        <w:pStyle w:val="ListBullet"/>
      </w:pPr>
      <w:r>
        <w:rPr>
          <w:b/>
        </w:rPr>
        <w:t xml:space="preserve">Self-monitoring: </w:t>
      </w:r>
      <w:r>
        <w:t>drift/retrain.py compares live scoring windows against the training reference distribution and can trigger retraining automatically.</w:t>
      </w:r>
    </w:p>
    <w:p>
      <w:pPr>
        <w:pStyle w:val="ListBullet"/>
      </w:pPr>
      <w:r>
        <w:rPr>
          <w:b/>
        </w:rPr>
        <w:t xml:space="preserve">Documented for independent rebuild: </w:t>
      </w:r>
      <w:r>
        <w:t>docs/00 through docs/12 contain every file's complete source, so the project can be recreated without this repository.</w:t>
      </w:r>
    </w:p>
    <w:p>
      <w:pPr>
        <w:pStyle w:val="Heading1"/>
      </w:pPr>
      <w:r>
        <w:rPr>
          <w:color w:val="1B2A4A"/>
        </w:rPr>
        <w:t>2. System Architecture</w:t>
      </w:r>
    </w:p>
    <w:p>
      <w:r>
        <w:rPr>
          <w:b w:val="0"/>
          <w:i w:val="0"/>
          <w:sz w:val="22"/>
        </w:rPr>
        <w:t>The diagram below is the original design-time architecture (from the project's planning document) and remains accurate at the level of data flow: ingestion into SQLite, SQL analytics and feature engineering, Isolation Forest scoring, evaluation, drift monitoring feeding back into retraining, and a Streamlit dashboard consuming all of it. Section 4 below notes where the as-built module layout differs in detail from this diagram's labels.</w:t>
      </w:r>
    </w:p>
    <w:p>
      <w:r>
        <w:drawing>
          <wp:inline xmlns:a="http://schemas.openxmlformats.org/drawingml/2006/main" xmlns:pic="http://schemas.openxmlformats.org/drawingml/2006/picture">
            <wp:extent cx="5943600" cy="3962400"/>
            <wp:docPr id="1" name="Picture 1"/>
            <wp:cNvGraphicFramePr>
              <a:graphicFrameLocks noChangeAspect="1"/>
            </wp:cNvGraphicFramePr>
            <a:graphic>
              <a:graphicData uri="http://schemas.openxmlformats.org/drawingml/2006/picture">
                <pic:pic>
                  <pic:nvPicPr>
                    <pic:cNvPr id="0" name="architecture-diagram.png"/>
                    <pic:cNvPicPr/>
                  </pic:nvPicPr>
                  <pic:blipFill>
                    <a:blip r:embed="rId9"/>
                    <a:stretch>
                      <a:fillRect/>
                    </a:stretch>
                  </pic:blipFill>
                  <pic:spPr>
                    <a:xfrm>
                      <a:off x="0" y="0"/>
                      <a:ext cx="5943600" cy="3962400"/>
                    </a:xfrm>
                    <a:prstGeom prst="rect"/>
                  </pic:spPr>
                </pic:pic>
              </a:graphicData>
            </a:graphic>
          </wp:inline>
        </w:drawing>
      </w:r>
    </w:p>
    <w:p>
      <w:pPr>
        <w:jc w:val="center"/>
      </w:pPr>
      <w:r>
        <w:rPr>
          <w:i/>
          <w:color w:val="555555"/>
          <w:sz w:val="18"/>
        </w:rPr>
        <w:t>Figure 1. End-to-end system architecture and data flow.</w:t>
      </w:r>
    </w:p>
    <w:p/>
    <w:p>
      <w:pPr>
        <w:pStyle w:val="Heading1"/>
      </w:pPr>
      <w:r>
        <w:rPr>
          <w:color w:val="1B2A4A"/>
        </w:rPr>
        <w:t>3. Dataset</w:t>
      </w:r>
    </w:p>
    <w:p>
      <w:r>
        <w:rPr>
          <w:b w:val="0"/>
          <w:i w:val="0"/>
          <w:sz w:val="22"/>
        </w:rPr>
        <w:t>PaySim is a synthetic mobile-money transaction log generated from an agent-based simulation calibrated against a real African mobile financial service provider's transaction data. It spans a simulated 30-day period (744 hourly steps) across five transaction types and is a standard fraud-detection benchmark because of its extreme class imbalance and internally consistent account-balance structure.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step</w:t>
            </w:r>
          </w:p>
        </w:tc>
        <w:tc>
          <w:tcPr>
            <w:tcW w:type="dxa" w:w="2880"/>
          </w:tcPr>
          <w:p>
            <w:r>
              <w:t>int</w:t>
            </w:r>
          </w:p>
        </w:tc>
        <w:tc>
          <w:tcPr>
            <w:tcW w:type="dxa" w:w="2880"/>
          </w:tcPr>
          <w:p>
            <w:r>
              <w:t>Simulation time unit; 1 step = 1 hour (1-744).</w:t>
            </w:r>
          </w:p>
        </w:tc>
      </w:tr>
      <w:tr>
        <w:tc>
          <w:tcPr>
            <w:tcW w:type="dxa" w:w="2880"/>
          </w:tcPr>
          <w:p>
            <w:r>
              <w:t>type</w:t>
            </w:r>
          </w:p>
        </w:tc>
        <w:tc>
          <w:tcPr>
            <w:tcW w:type="dxa" w:w="2880"/>
          </w:tcPr>
          <w:p>
            <w:r>
              <w:t>categorical</w:t>
            </w:r>
          </w:p>
        </w:tc>
        <w:tc>
          <w:tcPr>
            <w:tcW w:type="dxa" w:w="2880"/>
          </w:tcPr>
          <w:p>
            <w:r>
              <w:t>CASH_IN, CASH_OUT, DEBIT, PAYMENT, TRANSFER.</w:t>
            </w:r>
          </w:p>
        </w:tc>
      </w:tr>
      <w:tr>
        <w:tc>
          <w:tcPr>
            <w:tcW w:type="dxa" w:w="2880"/>
          </w:tcPr>
          <w:p>
            <w:r>
              <w:t>amount</w:t>
            </w:r>
          </w:p>
        </w:tc>
        <w:tc>
          <w:tcPr>
            <w:tcW w:type="dxa" w:w="2880"/>
          </w:tcPr>
          <w:p>
            <w:r>
              <w:t>float</w:t>
            </w:r>
          </w:p>
        </w:tc>
        <w:tc>
          <w:tcPr>
            <w:tcW w:type="dxa" w:w="2880"/>
          </w:tcPr>
          <w:p>
            <w:r>
              <w:t>Transaction value in local currency.</w:t>
            </w:r>
          </w:p>
        </w:tc>
      </w:tr>
      <w:tr>
        <w:tc>
          <w:tcPr>
            <w:tcW w:type="dxa" w:w="2880"/>
          </w:tcPr>
          <w:p>
            <w:r>
              <w:t>nameOrig</w:t>
            </w:r>
          </w:p>
        </w:tc>
        <w:tc>
          <w:tcPr>
            <w:tcW w:type="dxa" w:w="2880"/>
          </w:tcPr>
          <w:p>
            <w:r>
              <w:t>string</w:t>
            </w:r>
          </w:p>
        </w:tc>
        <w:tc>
          <w:tcPr>
            <w:tcW w:type="dxa" w:w="2880"/>
          </w:tcPr>
          <w:p>
            <w:r>
              <w:t>Originating customer identifier.</w:t>
            </w:r>
          </w:p>
        </w:tc>
      </w:tr>
      <w:tr>
        <w:tc>
          <w:tcPr>
            <w:tcW w:type="dxa" w:w="2880"/>
          </w:tcPr>
          <w:p>
            <w:r>
              <w:t>oldbalanceOrg / newbalanceOrig</w:t>
            </w:r>
          </w:p>
        </w:tc>
        <w:tc>
          <w:tcPr>
            <w:tcW w:type="dxa" w:w="2880"/>
          </w:tcPr>
          <w:p>
            <w:r>
              <w:t>float</w:t>
            </w:r>
          </w:p>
        </w:tc>
        <w:tc>
          <w:tcPr>
            <w:tcW w:type="dxa" w:w="2880"/>
          </w:tcPr>
          <w:p>
            <w:r>
              <w:t>Originator balance before / after.</w:t>
            </w:r>
          </w:p>
        </w:tc>
      </w:tr>
      <w:tr>
        <w:tc>
          <w:tcPr>
            <w:tcW w:type="dxa" w:w="2880"/>
          </w:tcPr>
          <w:p>
            <w:r>
              <w:t>nameDest</w:t>
            </w:r>
          </w:p>
        </w:tc>
        <w:tc>
          <w:tcPr>
            <w:tcW w:type="dxa" w:w="2880"/>
          </w:tcPr>
          <w:p>
            <w:r>
              <w:t>string</w:t>
            </w:r>
          </w:p>
        </w:tc>
        <w:tc>
          <w:tcPr>
            <w:tcW w:type="dxa" w:w="2880"/>
          </w:tcPr>
          <w:p>
            <w:r>
              <w:t>Recipient identifier.</w:t>
            </w:r>
          </w:p>
        </w:tc>
      </w:tr>
      <w:tr>
        <w:tc>
          <w:tcPr>
            <w:tcW w:type="dxa" w:w="2880"/>
          </w:tcPr>
          <w:p>
            <w:r>
              <w:t>oldbalanceDest / newbalanceDest</w:t>
            </w:r>
          </w:p>
        </w:tc>
        <w:tc>
          <w:tcPr>
            <w:tcW w:type="dxa" w:w="2880"/>
          </w:tcPr>
          <w:p>
            <w:r>
              <w:t>float</w:t>
            </w:r>
          </w:p>
        </w:tc>
        <w:tc>
          <w:tcPr>
            <w:tcW w:type="dxa" w:w="2880"/>
          </w:tcPr>
          <w:p>
            <w:r>
              <w:t>Recipient balance before / after (0 for merchants).</w:t>
            </w:r>
          </w:p>
        </w:tc>
      </w:tr>
      <w:tr>
        <w:tc>
          <w:tcPr>
            <w:tcW w:type="dxa" w:w="2880"/>
          </w:tcPr>
          <w:p>
            <w:r>
              <w:t>isFraud</w:t>
            </w:r>
          </w:p>
        </w:tc>
        <w:tc>
          <w:tcPr>
            <w:tcW w:type="dxa" w:w="2880"/>
          </w:tcPr>
          <w:p>
            <w:r>
              <w:t>binary</w:t>
            </w:r>
          </w:p>
        </w:tc>
        <w:tc>
          <w:tcPr>
            <w:tcW w:type="dxa" w:w="2880"/>
          </w:tcPr>
          <w:p>
            <w:r>
              <w:t>Ground-truth label -- evaluation only, never a model feature.</w:t>
            </w:r>
          </w:p>
        </w:tc>
      </w:tr>
      <w:tr>
        <w:tc>
          <w:tcPr>
            <w:tcW w:type="dxa" w:w="2880"/>
          </w:tcPr>
          <w:p>
            <w:r>
              <w:t>isFlaggedFraud</w:t>
            </w:r>
          </w:p>
        </w:tc>
        <w:tc>
          <w:tcPr>
            <w:tcW w:type="dxa" w:w="2880"/>
          </w:tcPr>
          <w:p>
            <w:r>
              <w:t>binary</w:t>
            </w:r>
          </w:p>
        </w:tc>
        <w:tc>
          <w:tcPr>
            <w:tcW w:type="dxa" w:w="2880"/>
          </w:tcPr>
          <w:p>
            <w:r>
              <w:t>PaySim's own rule-based flag.</w:t>
            </w:r>
          </w:p>
        </w:tc>
      </w:tr>
    </w:tbl>
    <w:p/>
    <w:p>
      <w:r>
        <w:rPr>
          <w:b/>
          <w:i w:val="0"/>
          <w:sz w:val="22"/>
        </w:rPr>
        <w:t>As measured on this project's cleaned, full-scale dataset:</w:t>
      </w:r>
    </w:p>
    <w:p>
      <w:pPr>
        <w:pStyle w:val="ListBullet"/>
      </w:pPr>
      <w:r>
        <w:rPr>
          <w:b/>
        </w:rPr>
        <w:t>6,362,604 rows</w:t>
      </w:r>
      <w:r>
        <w:t xml:space="preserve"> after cleaning (16 zero-amount fraudulent rows dropped from the raw 6,362,620; zero missing values, zero duplicates in the source).</w:t>
      </w:r>
    </w:p>
    <w:p>
      <w:pPr>
        <w:pStyle w:val="ListBullet"/>
      </w:pPr>
      <w:r>
        <w:rPr>
          <w:b/>
        </w:rPr>
        <w:t>8,197 fraudulent transactions</w:t>
      </w:r>
      <w:r>
        <w:t xml:space="preserve"> -- a base rate of 0.129%, confined almost entirely to TRANSFER and CASH_OUT.</w:t>
      </w:r>
    </w:p>
    <w:p>
      <w:pPr>
        <w:pStyle w:val="ListBullet"/>
      </w:pPr>
      <w:r>
        <w:rPr>
          <w:b/>
        </w:rPr>
        <w:t>6,353,291 distinct originators</w:t>
      </w:r>
      <w:r>
        <w:t xml:space="preserve"> across those 6.36M rows (at most 3 transactions per originator) -- a data characteristic that directly shaped the velocity-feature implementation; see Section 5.</w:t>
      </w:r>
    </w:p>
    <w:p>
      <w:pPr>
        <w:pStyle w:val="Heading1"/>
      </w:pPr>
      <w:r>
        <w:rPr>
          <w:color w:val="1B2A4A"/>
        </w:rPr>
        <w:t>4. As-Built Module Layout</w:t>
      </w:r>
    </w:p>
    <w:p>
      <w:r>
        <w:rPr>
          <w:b w:val="0"/>
          <w:i w:val="0"/>
          <w:sz w:val="22"/>
        </w:rPr>
        <w:t>The table below is the actual repository structure as implemented and run, which differs in a few specifics from the original planning document: SQL analytics live in a single sql/queries.py module (not per-query .sql files), ingestion is preprocessing/clean_data.py + database/load_data.py rather than a single preprocessing/ingest.py, and the model module is models/train.py rather than models/isolation_forest.py. Every module below has a corresponding docs/0N file with its complete source.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Module(s)</w:t>
            </w:r>
          </w:p>
        </w:tc>
        <w:tc>
          <w:tcPr>
            <w:tcW w:type="dxa" w:w="2880"/>
          </w:tcPr>
          <w:p>
            <w:r>
              <w:rPr>
                <w:b/>
              </w:rPr>
              <w:t>Responsibility</w:t>
            </w:r>
          </w:p>
        </w:tc>
      </w:tr>
      <w:tr>
        <w:tc>
          <w:tcPr>
            <w:tcW w:type="dxa" w:w="2880"/>
          </w:tcPr>
          <w:p>
            <w:r>
              <w:t>Ingestion</w:t>
            </w:r>
          </w:p>
        </w:tc>
        <w:tc>
          <w:tcPr>
            <w:tcW w:type="dxa" w:w="2880"/>
          </w:tcPr>
          <w:p>
            <w:r>
              <w:t>preprocessing/clean_data.py,</w:t>
              <w:br/>
              <w:t>database/load_data.py</w:t>
            </w:r>
          </w:p>
        </w:tc>
        <w:tc>
          <w:tcPr>
            <w:tcW w:type="dxa" w:w="2880"/>
          </w:tcPr>
          <w:p>
            <w:r>
              <w:t>Chunked CSV read, cleaning, schema validation, bulk load into SQLite.</w:t>
            </w:r>
          </w:p>
        </w:tc>
      </w:tr>
      <w:tr>
        <w:tc>
          <w:tcPr>
            <w:tcW w:type="dxa" w:w="2880"/>
          </w:tcPr>
          <w:p>
            <w:r>
              <w:t>Storage</w:t>
            </w:r>
          </w:p>
        </w:tc>
        <w:tc>
          <w:tcPr>
            <w:tcW w:type="dxa" w:w="2880"/>
          </w:tcPr>
          <w:p>
            <w:r>
              <w:t>database/schema.sql</w:t>
            </w:r>
          </w:p>
        </w:tc>
        <w:tc>
          <w:tcPr>
            <w:tcW w:type="dxa" w:w="2880"/>
          </w:tcPr>
          <w:p>
            <w:r>
              <w:t>Normalized tables: transactions, model_runs, drift_metrics, retrain_log.</w:t>
            </w:r>
          </w:p>
        </w:tc>
      </w:tr>
      <w:tr>
        <w:tc>
          <w:tcPr>
            <w:tcW w:type="dxa" w:w="2880"/>
          </w:tcPr>
          <w:p>
            <w:r>
              <w:t>Analytics</w:t>
            </w:r>
          </w:p>
        </w:tc>
        <w:tc>
          <w:tcPr>
            <w:tcW w:type="dxa" w:w="2880"/>
          </w:tcPr>
          <w:p>
            <w:r>
              <w:t>sql/queries.py</w:t>
            </w:r>
          </w:p>
        </w:tc>
        <w:tc>
          <w:tcPr>
            <w:tcW w:type="dxa" w:w="2880"/>
          </w:tcPr>
          <w:p>
            <w:r>
              <w:t>Parameterized SQL + vectorized velocity-feature computation, dashboard queries.</w:t>
            </w:r>
          </w:p>
        </w:tc>
      </w:tr>
      <w:tr>
        <w:tc>
          <w:tcPr>
            <w:tcW w:type="dxa" w:w="2880"/>
          </w:tcPr>
          <w:p>
            <w:r>
              <w:t>Feature Eng.</w:t>
            </w:r>
          </w:p>
        </w:tc>
        <w:tc>
          <w:tcPr>
            <w:tcW w:type="dxa" w:w="2880"/>
          </w:tcPr>
          <w:p>
            <w:r>
              <w:t>preprocessing/feature_engineering.py</w:t>
            </w:r>
          </w:p>
        </w:tc>
        <w:tc>
          <w:tcPr>
            <w:tcW w:type="dxa" w:w="2880"/>
          </w:tcPr>
          <w:p>
            <w:r>
              <w:t>Balance-delta residuals, log-amount, one-hot type, velocity features.</w:t>
            </w:r>
          </w:p>
        </w:tc>
      </w:tr>
      <w:tr>
        <w:tc>
          <w:tcPr>
            <w:tcW w:type="dxa" w:w="2880"/>
          </w:tcPr>
          <w:p>
            <w:r>
              <w:t>Modeling</w:t>
            </w:r>
          </w:p>
        </w:tc>
        <w:tc>
          <w:tcPr>
            <w:tcW w:type="dxa" w:w="2880"/>
          </w:tcPr>
          <w:p>
            <w:r>
              <w:t>models/train.py</w:t>
            </w:r>
          </w:p>
        </w:tc>
        <w:tc>
          <w:tcPr>
            <w:tcW w:type="dxa" w:w="2880"/>
          </w:tcPr>
          <w:p>
            <w:r>
              <w:t>Fits sklearn IsolationForest on the earliest 80% of rows by step (time-based split), persists model + scaler via joblib.</w:t>
            </w:r>
          </w:p>
        </w:tc>
      </w:tr>
      <w:tr>
        <w:tc>
          <w:tcPr>
            <w:tcW w:type="dxa" w:w="2880"/>
          </w:tcPr>
          <w:p>
            <w:r>
              <w:t>Scoring</w:t>
            </w:r>
          </w:p>
        </w:tc>
        <w:tc>
          <w:tcPr>
            <w:tcW w:type="dxa" w:w="2880"/>
          </w:tcPr>
          <w:p>
            <w:r>
              <w:t>models/predict.py</w:t>
            </w:r>
          </w:p>
        </w:tc>
        <w:tc>
          <w:tcPr>
            <w:tcW w:type="dxa" w:w="2880"/>
          </w:tcPr>
          <w:p>
            <w:r>
              <w:t>Scores transactions, bulk-writes anomaly_score/is_anomaly back to SQLite.</w:t>
            </w:r>
          </w:p>
        </w:tc>
      </w:tr>
      <w:tr>
        <w:tc>
          <w:tcPr>
            <w:tcW w:type="dxa" w:w="2880"/>
          </w:tcPr>
          <w:p>
            <w:r>
              <w:t>Evaluation</w:t>
            </w:r>
          </w:p>
        </w:tc>
        <w:tc>
          <w:tcPr>
            <w:tcW w:type="dxa" w:w="2880"/>
          </w:tcPr>
          <w:p>
            <w:r>
              <w:t>models/evaluate.py</w:t>
            </w:r>
          </w:p>
        </w:tc>
        <w:tc>
          <w:tcPr>
            <w:tcW w:type="dxa" w:w="2880"/>
          </w:tcPr>
          <w:p>
            <w:r>
              <w:t>PR-AUC, ROC-AUC, precision@k/recall@k, confusion matrix by type on held-out rows; train-vs-held-out overfitting check.</w:t>
            </w:r>
          </w:p>
        </w:tc>
      </w:tr>
      <w:tr>
        <w:tc>
          <w:tcPr>
            <w:tcW w:type="dxa" w:w="2880"/>
          </w:tcPr>
          <w:p>
            <w:r>
              <w:t>Drift</w:t>
            </w:r>
          </w:p>
        </w:tc>
        <w:tc>
          <w:tcPr>
            <w:tcW w:type="dxa" w:w="2880"/>
          </w:tcPr>
          <w:p>
            <w:r>
              <w:t>drift/psi.py, drift/ks_test.py,</w:t>
              <w:br/>
              <w:t>drift/retrain.py</w:t>
            </w:r>
          </w:p>
        </w:tc>
        <w:tc>
          <w:tcPr>
            <w:tcW w:type="dxa" w:w="2880"/>
          </w:tcPr>
          <w:p>
            <w:r>
              <w:t>PSI + KS per feature against a fixed reference window; retraining trigger.</w:t>
            </w:r>
          </w:p>
        </w:tc>
      </w:tr>
      <w:tr>
        <w:tc>
          <w:tcPr>
            <w:tcW w:type="dxa" w:w="2880"/>
          </w:tcPr>
          <w:p>
            <w:r>
              <w:t>Dashboard</w:t>
            </w:r>
          </w:p>
        </w:tc>
        <w:tc>
          <w:tcPr>
            <w:tcW w:type="dxa" w:w="2880"/>
          </w:tcPr>
          <w:p>
            <w:r>
              <w:t>dashboard/app.py</w:t>
            </w:r>
          </w:p>
        </w:tc>
        <w:tc>
          <w:tcPr>
            <w:tcW w:type="dxa" w:w="2880"/>
          </w:tcPr>
          <w:p>
            <w:r>
              <w:t>Streamlit app, six views, backed by live SQLite queries.</w:t>
            </w:r>
          </w:p>
        </w:tc>
      </w:tr>
      <w:tr>
        <w:tc>
          <w:tcPr>
            <w:tcW w:type="dxa" w:w="2880"/>
          </w:tcPr>
          <w:p>
            <w:r>
              <w:t>Tests</w:t>
            </w:r>
          </w:p>
        </w:tc>
        <w:tc>
          <w:tcPr>
            <w:tcW w:type="dxa" w:w="2880"/>
          </w:tcPr>
          <w:p>
            <w:r>
              <w:t>tests/</w:t>
            </w:r>
          </w:p>
        </w:tc>
        <w:tc>
          <w:tcPr>
            <w:tcW w:type="dxa" w:w="2880"/>
          </w:tcPr>
          <w:p>
            <w:r>
              <w:t>35 pytest cases covering cleaning, feature engineering, drift, and the train/test split.</w:t>
            </w:r>
          </w:p>
        </w:tc>
      </w:tr>
    </w:tbl>
    <w:p/>
    <w:p>
      <w:pPr>
        <w:pStyle w:val="Heading1"/>
      </w:pPr>
      <w:r>
        <w:rPr>
          <w:color w:val="1B2A4A"/>
        </w:rPr>
        <w:t>5. Feature Engineering and Modeling</w:t>
      </w:r>
    </w:p>
    <w:p>
      <w:r>
        <w:rPr>
          <w:b/>
          <w:i w:val="0"/>
          <w:sz w:val="22"/>
        </w:rPr>
        <w:t>Twelve engineered features feed the model (MODEL_FEATURE_COLUMNS):</w:t>
      </w:r>
    </w:p>
    <w:p>
      <w:pPr>
        <w:pStyle w:val="ListBullet"/>
      </w:pPr>
      <w:r>
        <w:rPr>
          <w:b/>
        </w:rPr>
        <w:t xml:space="preserve">balanceDeltaOrig / balanceDeltaDest: </w:t>
      </w:r>
      <w:r>
        <w:t>non-zero residual between the expected and actual post-transaction balance -- a strong fraud signal PaySim's generator introduces deliberately.</w:t>
      </w:r>
    </w:p>
    <w:p>
      <w:pPr>
        <w:pStyle w:val="ListBullet"/>
      </w:pPr>
      <w:r>
        <w:rPr>
          <w:b/>
        </w:rPr>
        <w:t xml:space="preserve">origZeroedOut: </w:t>
      </w:r>
      <w:r>
        <w:t>binary flag for a full-balance drain, typical of account-takeover fraud.</w:t>
      </w:r>
    </w:p>
    <w:p>
      <w:pPr>
        <w:pStyle w:val="ListBullet"/>
      </w:pPr>
      <w:r>
        <w:rPr>
          <w:b/>
        </w:rPr>
        <w:t xml:space="preserve">logAmount: </w:t>
      </w:r>
      <w:r>
        <w:t>log1p(amount), stabilizing the heavily right-skewed amount distribution.</w:t>
      </w:r>
    </w:p>
    <w:p>
      <w:pPr>
        <w:pStyle w:val="ListBullet"/>
      </w:pPr>
      <w:r>
        <w:rPr>
          <w:b/>
        </w:rPr>
        <w:t xml:space="preserve">type_CASH_IN / _CASH_OUT / _DEBIT / _PAYMENT / _TRANSFER: </w:t>
      </w:r>
      <w:r>
        <w:t>one-hot transaction type.</w:t>
      </w:r>
    </w:p>
    <w:p>
      <w:pPr>
        <w:pStyle w:val="ListBullet"/>
      </w:pPr>
      <w:r>
        <w:rPr>
          <w:b/>
        </w:rPr>
        <w:t xml:space="preserve">isMerchantDest: </w:t>
      </w:r>
      <w:r>
        <w:t>flag for merchant-prefixed recipient identifiers.</w:t>
      </w:r>
    </w:p>
    <w:p>
      <w:pPr>
        <w:pStyle w:val="ListBullet"/>
      </w:pPr>
      <w:r>
        <w:rPr>
          <w:b/>
        </w:rPr>
        <w:t xml:space="preserve">txnVelocity1h / txnVelocity24h: </w:t>
      </w:r>
      <w:r>
        <w:t>count of an originator's transactions within a 1-hour / 24-hour trailing window.</w:t>
      </w:r>
    </w:p>
    <w:p>
      <w:r>
        <w:rPr>
          <w:b w:val="0"/>
          <w:i w:val="0"/>
          <w:sz w:val="22"/>
        </w:rPr>
        <w:t>isFraud and isFlaggedFraud are never included in the feature set -- that is what makes this an unsupervised detector rather than a supervised classifier in disguise.</w:t>
      </w:r>
    </w:p>
    <w:p>
      <w:r>
        <w:rPr>
          <w:b/>
          <w:i w:val="0"/>
          <w:sz w:val="22"/>
        </w:rPr>
        <w:t>Isolation Forest hyperparameters: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Hyperparameter</w:t>
            </w:r>
          </w:p>
        </w:tc>
        <w:tc>
          <w:tcPr>
            <w:tcW w:type="dxa" w:w="2880"/>
          </w:tcPr>
          <w:p>
            <w:r>
              <w:rPr>
                <w:b/>
              </w:rPr>
              <w:t>Value</w:t>
            </w:r>
          </w:p>
        </w:tc>
        <w:tc>
          <w:tcPr>
            <w:tcW w:type="dxa" w:w="2880"/>
          </w:tcPr>
          <w:p>
            <w:r>
              <w:rPr>
                <w:b/>
              </w:rPr>
              <w:t>Rationale</w:t>
            </w:r>
          </w:p>
        </w:tc>
      </w:tr>
      <w:tr>
        <w:tc>
          <w:tcPr>
            <w:tcW w:type="dxa" w:w="2880"/>
          </w:tcPr>
          <w:p>
            <w:r>
              <w:t>n_estimators</w:t>
            </w:r>
          </w:p>
        </w:tc>
        <w:tc>
          <w:tcPr>
            <w:tcW w:type="dxa" w:w="2880"/>
          </w:tcPr>
          <w:p>
            <w:r>
              <w:t>200</w:t>
            </w:r>
          </w:p>
        </w:tc>
        <w:tc>
          <w:tcPr>
            <w:tcW w:type="dxa" w:w="2880"/>
          </w:tcPr>
          <w:p>
            <w:r>
              <w:t>Stabilizes path-length averages beyond sklearn's default of 100.</w:t>
            </w:r>
          </w:p>
        </w:tc>
      </w:tr>
      <w:tr>
        <w:tc>
          <w:tcPr>
            <w:tcW w:type="dxa" w:w="2880"/>
          </w:tcPr>
          <w:p>
            <w:r>
              <w:t>contamination</w:t>
            </w:r>
          </w:p>
        </w:tc>
        <w:tc>
          <w:tcPr>
            <w:tcW w:type="dxa" w:w="2880"/>
          </w:tcPr>
          <w:p>
            <w:r>
              <w:t>0.0013</w:t>
            </w:r>
          </w:p>
        </w:tc>
        <w:tc>
          <w:tcPr>
            <w:tcW w:type="dxa" w:w="2880"/>
          </w:tcPr>
          <w:p>
            <w:r>
              <w:t>Set to the empirical training-partition fraud rate, not sklearn's 'auto'.</w:t>
            </w:r>
          </w:p>
        </w:tc>
      </w:tr>
      <w:tr>
        <w:tc>
          <w:tcPr>
            <w:tcW w:type="dxa" w:w="2880"/>
          </w:tcPr>
          <w:p>
            <w:r>
              <w:t>max_samples</w:t>
            </w:r>
          </w:p>
        </w:tc>
        <w:tc>
          <w:tcPr>
            <w:tcW w:type="dxa" w:w="2880"/>
          </w:tcPr>
          <w:p>
            <w:r>
              <w:t>'auto' (256)</w:t>
            </w:r>
          </w:p>
        </w:tc>
        <w:tc>
          <w:tcPr>
            <w:tcW w:type="dxa" w:w="2880"/>
          </w:tcPr>
          <w:p>
            <w:r>
              <w:t>Keeps isolation paths short and training tractable at multi-million-row scale.</w:t>
            </w:r>
          </w:p>
        </w:tc>
      </w:tr>
      <w:tr>
        <w:tc>
          <w:tcPr>
            <w:tcW w:type="dxa" w:w="2880"/>
          </w:tcPr>
          <w:p>
            <w:r>
              <w:t>max_features</w:t>
            </w:r>
          </w:p>
        </w:tc>
        <w:tc>
          <w:tcPr>
            <w:tcW w:type="dxa" w:w="2880"/>
          </w:tcPr>
          <w:p>
            <w:r>
              <w:t>1.0</w:t>
            </w:r>
          </w:p>
        </w:tc>
        <w:tc>
          <w:tcPr>
            <w:tcW w:type="dxa" w:w="2880"/>
          </w:tcPr>
          <w:p>
            <w:r>
              <w:t>All 12 features used per split; the set is small enough that sub-sampling is unnecessary.</w:t>
            </w:r>
          </w:p>
        </w:tc>
      </w:tr>
      <w:tr>
        <w:tc>
          <w:tcPr>
            <w:tcW w:type="dxa" w:w="2880"/>
          </w:tcPr>
          <w:p>
            <w:r>
              <w:t>random_state</w:t>
            </w:r>
          </w:p>
        </w:tc>
        <w:tc>
          <w:tcPr>
            <w:tcW w:type="dxa" w:w="2880"/>
          </w:tcPr>
          <w:p>
            <w:r>
              <w:t>42</w:t>
            </w:r>
          </w:p>
        </w:tc>
        <w:tc>
          <w:tcPr>
            <w:tcW w:type="dxa" w:w="2880"/>
          </w:tcPr>
          <w:p>
            <w:r>
              <w:t>Fixed for reproducibility across train/eval/retrain runs.</w:t>
            </w:r>
          </w:p>
        </w:tc>
      </w:tr>
    </w:tbl>
    <w:p/>
    <w:p>
      <w:pPr>
        <w:pStyle w:val="Heading1"/>
      </w:pPr>
      <w:r>
        <w:rPr>
          <w:color w:val="1B2A4A"/>
        </w:rPr>
        <w:t>6. Measured Results (Full 6,362,604-Row Dataset)</w:t>
      </w:r>
    </w:p>
    <w:p>
      <w:r>
        <w:rPr>
          <w:b w:val="0"/>
          <w:i w:val="0"/>
          <w:sz w:val="22"/>
        </w:rPr>
        <w:t>Every figure below is from an actual run against the complete dataset, recorded in docs/05 through docs/08 alongside full command output.</w:t>
      </w:r>
    </w:p>
    <w:p>
      <w:r>
        <w:rPr>
          <w:b/>
          <w:i w:val="0"/>
          <w:sz w:val="22"/>
        </w:rPr>
        <w:t>Train/test split: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Partition</w:t>
            </w:r>
          </w:p>
        </w:tc>
        <w:tc>
          <w:tcPr>
            <w:tcW w:type="dxa" w:w="1728"/>
          </w:tcPr>
          <w:p>
            <w:r>
              <w:rPr>
                <w:b/>
              </w:rPr>
              <w:t>Steps</w:t>
            </w:r>
          </w:p>
        </w:tc>
        <w:tc>
          <w:tcPr>
            <w:tcW w:type="dxa" w:w="1728"/>
          </w:tcPr>
          <w:p>
            <w:r>
              <w:rPr>
                <w:b/>
              </w:rPr>
              <w:t>Rows</w:t>
            </w:r>
          </w:p>
        </w:tc>
        <w:tc>
          <w:tcPr>
            <w:tcW w:type="dxa" w:w="1728"/>
          </w:tcPr>
          <w:p>
            <w:r>
              <w:rPr>
                <w:b/>
              </w:rPr>
              <w:t>Fraud</w:t>
            </w:r>
          </w:p>
        </w:tc>
        <w:tc>
          <w:tcPr>
            <w:tcW w:type="dxa" w:w="1728"/>
          </w:tcPr>
          <w:p>
            <w:r>
              <w:rPr>
                <w:b/>
              </w:rPr>
              <w:t>Base fraud rate</w:t>
            </w:r>
          </w:p>
        </w:tc>
      </w:tr>
      <w:tr>
        <w:tc>
          <w:tcPr>
            <w:tcW w:type="dxa" w:w="1728"/>
          </w:tcPr>
          <w:p>
            <w:r>
              <w:t>Training</w:t>
            </w:r>
          </w:p>
        </w:tc>
        <w:tc>
          <w:tcPr>
            <w:tcW w:type="dxa" w:w="1728"/>
          </w:tcPr>
          <w:p>
            <w:r>
              <w:t>1-355</w:t>
            </w:r>
          </w:p>
        </w:tc>
        <w:tc>
          <w:tcPr>
            <w:tcW w:type="dxa" w:w="1728"/>
          </w:tcPr>
          <w:p>
            <w:r>
              <w:t>5,113,881</w:t>
            </w:r>
          </w:p>
        </w:tc>
        <w:tc>
          <w:tcPr>
            <w:tcW w:type="dxa" w:w="1728"/>
          </w:tcPr>
          <w:p>
            <w:r>
              <w:t>3,960</w:t>
            </w:r>
          </w:p>
        </w:tc>
        <w:tc>
          <w:tcPr>
            <w:tcW w:type="dxa" w:w="1728"/>
          </w:tcPr>
          <w:p>
            <w:r>
              <w:t>0.077%</w:t>
            </w:r>
          </w:p>
        </w:tc>
      </w:tr>
      <w:tr>
        <w:tc>
          <w:tcPr>
            <w:tcW w:type="dxa" w:w="1728"/>
          </w:tcPr>
          <w:p>
            <w:r>
              <w:t>Held-out</w:t>
            </w:r>
          </w:p>
        </w:tc>
        <w:tc>
          <w:tcPr>
            <w:tcW w:type="dxa" w:w="1728"/>
          </w:tcPr>
          <w:p>
            <w:r>
              <w:t>356-743</w:t>
            </w:r>
          </w:p>
        </w:tc>
        <w:tc>
          <w:tcPr>
            <w:tcW w:type="dxa" w:w="1728"/>
          </w:tcPr>
          <w:p>
            <w:r>
              <w:t>1,248,723</w:t>
            </w:r>
          </w:p>
        </w:tc>
        <w:tc>
          <w:tcPr>
            <w:tcW w:type="dxa" w:w="1728"/>
          </w:tcPr>
          <w:p>
            <w:r>
              <w:t>4,237</w:t>
            </w:r>
          </w:p>
        </w:tc>
        <w:tc>
          <w:tcPr>
            <w:tcW w:type="dxa" w:w="1728"/>
          </w:tcPr>
          <w:p>
            <w:r>
              <w:t>0.339%</w:t>
            </w:r>
          </w:p>
        </w:tc>
      </w:tr>
    </w:tbl>
    <w:p/>
    <w:p>
      <w:r>
        <w:rPr>
          <w:b w:val="0"/>
          <w:i w:val="0"/>
          <w:sz w:val="22"/>
        </w:rPr>
        <w:t>The model is fit only on the earliest 80% of rows by step. Later rows never touch the scaler, the model or the drift reference window, so evaluation measures performance on transactions from after the training period. The split is by time, not at random, because a deployed model only ever scores later transactions.</w:t>
      </w:r>
    </w:p>
    <w:p>
      <w:r>
        <w:rPr>
          <w:b/>
          <w:i w:val="0"/>
          <w:sz w:val="22"/>
        </w:rPr>
        <w:t>Pipeline stages: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Result</w:t>
            </w:r>
          </w:p>
        </w:tc>
        <w:tc>
          <w:tcPr>
            <w:tcW w:type="dxa" w:w="2880"/>
          </w:tcPr>
          <w:p>
            <w:r>
              <w:rPr>
                <w:b/>
              </w:rPr>
              <w:t>Time</w:t>
            </w:r>
          </w:p>
        </w:tc>
      </w:tr>
      <w:tr>
        <w:tc>
          <w:tcPr>
            <w:tcW w:type="dxa" w:w="2880"/>
          </w:tcPr>
          <w:p>
            <w:r>
              <w:t>Velocity feature backfill</w:t>
            </w:r>
          </w:p>
        </w:tc>
        <w:tc>
          <w:tcPr>
            <w:tcW w:type="dxa" w:w="2880"/>
          </w:tcPr>
          <w:p>
            <w:r>
              <w:t>6,362,604 rows updated</w:t>
            </w:r>
          </w:p>
        </w:tc>
        <w:tc>
          <w:tcPr>
            <w:tcW w:type="dxa" w:w="2880"/>
          </w:tcPr>
          <w:p>
            <w:r>
              <w:t>4m 19s - 4m 25s</w:t>
            </w:r>
          </w:p>
        </w:tc>
      </w:tr>
      <w:tr>
        <w:tc>
          <w:tcPr>
            <w:tcW w:type="dxa" w:w="2880"/>
          </w:tcPr>
          <w:p>
            <w:r>
              <w:t>Model training (run 2)</w:t>
            </w:r>
          </w:p>
        </w:tc>
        <w:tc>
          <w:tcPr>
            <w:tcW w:type="dxa" w:w="2880"/>
          </w:tcPr>
          <w:p>
            <w:r>
              <w:t>5,113,881 training rows, 200 estimators</w:t>
            </w:r>
          </w:p>
        </w:tc>
        <w:tc>
          <w:tcPr>
            <w:tcW w:type="dxa" w:w="2880"/>
          </w:tcPr>
          <w:p>
            <w:r>
              <w:t>Not separately timed</w:t>
            </w:r>
          </w:p>
        </w:tc>
      </w:tr>
      <w:tr>
        <w:tc>
          <w:tcPr>
            <w:tcW w:type="dxa" w:w="2880"/>
          </w:tcPr>
          <w:p>
            <w:r>
              <w:t>Evaluation (run 2)</w:t>
            </w:r>
          </w:p>
        </w:tc>
        <w:tc>
          <w:tcPr>
            <w:tcW w:type="dxa" w:w="2880"/>
          </w:tcPr>
          <w:p>
            <w:r>
              <w:t>Held-out PR-AUC 0.0280, ROC-AUC 0.8538</w:t>
            </w:r>
          </w:p>
        </w:tc>
        <w:tc>
          <w:tcPr>
            <w:tcW w:type="dxa" w:w="2880"/>
          </w:tcPr>
          <w:p>
            <w:r>
              <w:t>Not separately timed</w:t>
            </w:r>
          </w:p>
        </w:tc>
      </w:tr>
      <w:tr>
        <w:tc>
          <w:tcPr>
            <w:tcW w:type="dxa" w:w="2880"/>
          </w:tcPr>
          <w:p>
            <w:r>
              <w:t>Anomaly scoring (run 1 model)</w:t>
            </w:r>
          </w:p>
        </w:tc>
        <w:tc>
          <w:tcPr>
            <w:tcW w:type="dxa" w:w="2880"/>
          </w:tcPr>
          <w:p>
            <w:r>
              <w:t>6,362,604 rows scored, 8,249 flagged</w:t>
            </w:r>
          </w:p>
        </w:tc>
        <w:tc>
          <w:tcPr>
            <w:tcW w:type="dxa" w:w="2880"/>
          </w:tcPr>
          <w:p>
            <w:r>
              <w:t>7m 23s</w:t>
            </w:r>
          </w:p>
        </w:tc>
      </w:tr>
      <w:tr>
        <w:tc>
          <w:tcPr>
            <w:tcW w:type="dxa" w:w="2880"/>
          </w:tcPr>
          <w:p>
            <w:r>
              <w:t>Drift check (run 2)</w:t>
            </w:r>
          </w:p>
        </w:tc>
        <w:tc>
          <w:tcPr>
            <w:tcW w:type="dxa" w:w="2880"/>
          </w:tcPr>
          <w:p>
            <w:r>
              <w:t>12 features checked, 0 significant PSI drift</w:t>
            </w:r>
          </w:p>
        </w:tc>
        <w:tc>
          <w:tcPr>
            <w:tcW w:type="dxa" w:w="2880"/>
          </w:tcPr>
          <w:p>
            <w:r>
              <w:t>25.1s</w:t>
            </w:r>
          </w:p>
        </w:tc>
      </w:tr>
    </w:tbl>
    <w:p/>
    <w:p>
      <w:r>
        <w:rPr>
          <w:b/>
          <w:i w:val="0"/>
          <w:sz w:val="22"/>
        </w:rPr>
        <w:t>Overfitting check (training window vs held-out window):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Training (steps 1-355)</w:t>
            </w:r>
          </w:p>
        </w:tc>
        <w:tc>
          <w:tcPr>
            <w:tcW w:type="dxa" w:w="2880"/>
          </w:tcPr>
          <w:p>
            <w:r>
              <w:rPr>
                <w:b/>
              </w:rPr>
              <w:t>Held-out (steps 356-743)</w:t>
            </w:r>
          </w:p>
        </w:tc>
      </w:tr>
      <w:tr>
        <w:tc>
          <w:tcPr>
            <w:tcW w:type="dxa" w:w="2880"/>
          </w:tcPr>
          <w:p>
            <w:r>
              <w:t>ROC-AUC</w:t>
            </w:r>
          </w:p>
        </w:tc>
        <w:tc>
          <w:tcPr>
            <w:tcW w:type="dxa" w:w="2880"/>
          </w:tcPr>
          <w:p>
            <w:r>
              <w:t>0.8508</w:t>
            </w:r>
          </w:p>
        </w:tc>
        <w:tc>
          <w:tcPr>
            <w:tcW w:type="dxa" w:w="2880"/>
          </w:tcPr>
          <w:p>
            <w:r>
              <w:t>0.8538 (gap -0.003)</w:t>
            </w:r>
          </w:p>
        </w:tc>
      </w:tr>
      <w:tr>
        <w:tc>
          <w:tcPr>
            <w:tcW w:type="dxa" w:w="2880"/>
          </w:tcPr>
          <w:p>
            <w:r>
              <w:t>PR-AUC</w:t>
            </w:r>
          </w:p>
        </w:tc>
        <w:tc>
          <w:tcPr>
            <w:tcW w:type="dxa" w:w="2880"/>
          </w:tcPr>
          <w:p>
            <w:r>
              <w:t>0.0063</w:t>
            </w:r>
          </w:p>
        </w:tc>
        <w:tc>
          <w:tcPr>
            <w:tcW w:type="dxa" w:w="2880"/>
          </w:tcPr>
          <w:p>
            <w:r>
              <w:t>0.0280</w:t>
            </w:r>
          </w:p>
        </w:tc>
      </w:tr>
      <w:tr>
        <w:tc>
          <w:tcPr>
            <w:tcW w:type="dxa" w:w="2880"/>
          </w:tcPr>
          <w:p>
            <w:r>
              <w:t>PR-AUC lift over base rate</w:t>
            </w:r>
          </w:p>
        </w:tc>
        <w:tc>
          <w:tcPr>
            <w:tcW w:type="dxa" w:w="2880"/>
          </w:tcPr>
          <w:p>
            <w:r>
              <w:t>8.18x</w:t>
            </w:r>
          </w:p>
        </w:tc>
        <w:tc>
          <w:tcPr>
            <w:tcW w:type="dxa" w:w="2880"/>
          </w:tcPr>
          <w:p>
            <w:r>
              <w:t>8.24x</w:t>
            </w:r>
          </w:p>
        </w:tc>
      </w:tr>
      <w:tr>
        <w:tc>
          <w:tcPr>
            <w:tcW w:type="dxa" w:w="2880"/>
          </w:tcPr>
          <w:p>
            <w:r>
              <w:t>Precision@0.5% / Recall@0.5%</w:t>
            </w:r>
          </w:p>
        </w:tc>
        <w:tc>
          <w:tcPr>
            <w:tcW w:type="dxa" w:w="2880"/>
          </w:tcPr>
          <w:p>
            <w:r>
              <w:t>-</w:t>
            </w:r>
          </w:p>
        </w:tc>
        <w:tc>
          <w:tcPr>
            <w:tcW w:type="dxa" w:w="2880"/>
          </w:tcPr>
          <w:p>
            <w:r>
              <w:t>0.0394 / 0.0581</w:t>
            </w:r>
          </w:p>
        </w:tc>
      </w:tr>
    </w:tbl>
    <w:p/>
    <w:p>
      <w:r>
        <w:rPr>
          <w:b w:val="0"/>
          <w:i w:val="0"/>
          <w:sz w:val="22"/>
        </w:rPr>
        <w:t>The model does not overfit: held-out ROC-AUC matches the training window, and lift is almost identical. Raw PR-AUC is higher on the held-out rows only because their fraud rate is about 4.4x higher (PaySim's transaction volume collapses in the late steps while fraud keeps arriving), so evaluate.py flags overfitting on the ROC-AUC gap (above 0.05), which does not depend on the base rate.</w:t>
      </w:r>
    </w:p>
    <w:p>
      <w:r>
        <w:rPr>
          <w:b w:val="0"/>
          <w:i w:val="0"/>
          <w:sz w:val="22"/>
        </w:rPr>
        <w:t>The real limitation is missing signal, not memorization. All 246 frauds caught in the held-out window are TRANSFERs; none of the 2,112 CASH_OUT frauds are flagged at the top-0.5% threshold. Errors still concentrate in TRANSFER and CASH_OUT, the two types where PaySim fraud occurs, rather than spreading across CASH_IN / DEBIT / PAYMENT, which would have signaled a mis-specified feature.</w:t>
      </w:r>
    </w:p>
    <w:p>
      <w:r>
        <w:rPr>
          <w:b w:val="0"/>
          <w:i/>
          <w:sz w:val="20"/>
        </w:rPr>
        <w:t>Note: run 1 (trained and evaluated on all 6,362,604 rows before the split existed) scored PR-AUC 0.0114 and ROC-AUC 0.8540. Those numbers are in-sample; its ROC-AUC matches run 2's held-out ROC-AUC, confirming they were not inflated, but its PR-AUC is not comparable with run 2's because the fraud rate differs.</w:t>
      </w:r>
    </w:p>
    <w:p>
      <w:pPr>
        <w:pStyle w:val="Heading1"/>
      </w:pPr>
      <w:r>
        <w:rPr>
          <w:color w:val="1B2A4A"/>
        </w:rPr>
        <w:t>7. Two Performance Lessons From Building This at Full Scale</w:t>
      </w:r>
    </w:p>
    <w:p>
      <w:r>
        <w:rPr>
          <w:b w:val="0"/>
          <w:i w:val="0"/>
          <w:sz w:val="22"/>
        </w:rPr>
        <w:t>Two implementation approaches that looked reasonable at design time failed to complete against the real 6.36M-row dataset, and fixing them shaped the final code in sql/queries.py, models/train.py, models/predict.py, and models/evaluate.py.</w:t>
      </w:r>
    </w:p>
    <w:p>
      <w:r>
        <w:rPr>
          <w:b/>
          <w:i w:val="0"/>
          <w:sz w:val="22"/>
        </w:rPr>
        <w:t>Lesson 1 -- the write pattern dominates, not the computation:</w:t>
      </w:r>
    </w:p>
    <w:p>
      <w:r>
        <w:rPr>
          <w:b w:val="0"/>
          <w:i w:val="0"/>
          <w:sz w:val="22"/>
        </w:rPr>
        <w:t>Computing txnVelocity1h/24h as two correlated SQL subqueries per row did not finish in over 20 minutes, even though each subquery only touched 1-3 rows (nameOrig is nearly 1:1 with row count in this dataset). Replacing the subqueries with a fast vectorized numpy computation but still writing results back with one UPDATE statement per row also did not finish in reasonable time -- 6.36 million individual parameterized statements is itself the bottleneck, independent of how the values were computed. The fix: bulk-INSERT the computed values into a temp table, then apply all 6.36 million values with a single set-based UPDATE...FROM-style join. Result: 4m 25s.</w:t>
      </w:r>
    </w:p>
    <w:p>
      <w:r>
        <w:rPr>
          <w:b/>
          <w:i w:val="0"/>
          <w:sz w:val="22"/>
        </w:rPr>
        <w:t>Lesson 2 -- pandas.read_sql builds an intermediate object array first:</w:t>
      </w:r>
    </w:p>
    <w:p>
      <w:r>
        <w:rPr>
          <w:b w:val="0"/>
          <w:i w:val="0"/>
          <w:sz w:val="22"/>
        </w:rPr>
        <w:t>Loading the full feature matrix with pandas.read_sql("SELECT * FROM transactions") raised numpy._core._exceptions.ArrayMemoryError: Unable to allocate 728 MiB for an array with shape (6362604, 15) and data type object. read_sql builds one large intermediate array of Python object tuples (one per row) before converting to typed columns; at this scale that intermediate representation alone needed hundreds of megabytes on top of the final array. The fix: stream through the raw DB-API cursor in fixed-size batches, writing each batch directly into a pre-allocated typed float64 array. Applied to models/train.py, models/predict.py, and models/evaluate.py.</w:t>
      </w:r>
    </w:p>
    <w:p>
      <w:pPr>
        <w:pStyle w:val="Heading1"/>
      </w:pPr>
      <w:r>
        <w:rPr>
          <w:color w:val="1B2A4A"/>
        </w:rPr>
        <w:t>8. Drift Monitoring</w:t>
      </w:r>
    </w:p>
    <w:p>
      <w:r>
        <w:rPr>
          <w:b w:val="0"/>
          <w:i w:val="0"/>
          <w:sz w:val="22"/>
        </w:rPr>
        <w:t>Drift monitoring compares each engineered feature's distribution in a recent scoring window against the fixed reference window captured at training time, using two complementary statistics.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PSI Range</w:t>
            </w:r>
          </w:p>
        </w:tc>
        <w:tc>
          <w:tcPr>
            <w:tcW w:type="dxa" w:w="2880"/>
          </w:tcPr>
          <w:p>
            <w:r>
              <w:rPr>
                <w:b/>
              </w:rPr>
              <w:t>Interpretation</w:t>
            </w:r>
          </w:p>
        </w:tc>
        <w:tc>
          <w:tcPr>
            <w:tcW w:type="dxa" w:w="2880"/>
          </w:tcPr>
          <w:p>
            <w:r>
              <w:rPr>
                <w:b/>
              </w:rPr>
              <w:t>Action</w:t>
            </w:r>
          </w:p>
        </w:tc>
      </w:tr>
      <w:tr>
        <w:tc>
          <w:tcPr>
            <w:tcW w:type="dxa" w:w="2880"/>
          </w:tcPr>
          <w:p>
            <w:r>
              <w:t>&lt; 0.10</w:t>
            </w:r>
          </w:p>
        </w:tc>
        <w:tc>
          <w:tcPr>
            <w:tcW w:type="dxa" w:w="2880"/>
          </w:tcPr>
          <w:p>
            <w:r>
              <w:t>No significant shift</w:t>
            </w:r>
          </w:p>
        </w:tc>
        <w:tc>
          <w:tcPr>
            <w:tcW w:type="dxa" w:w="2880"/>
          </w:tcPr>
          <w:p>
            <w:r>
              <w:t>No action</w:t>
            </w:r>
          </w:p>
        </w:tc>
      </w:tr>
      <w:tr>
        <w:tc>
          <w:tcPr>
            <w:tcW w:type="dxa" w:w="2880"/>
          </w:tcPr>
          <w:p>
            <w:r>
              <w:t>0.10 - 0.25</w:t>
            </w:r>
          </w:p>
        </w:tc>
        <w:tc>
          <w:tcPr>
            <w:tcW w:type="dxa" w:w="2880"/>
          </w:tcPr>
          <w:p>
            <w:r>
              <w:t>Moderate shift</w:t>
            </w:r>
          </w:p>
        </w:tc>
        <w:tc>
          <w:tcPr>
            <w:tcW w:type="dxa" w:w="2880"/>
          </w:tcPr>
          <w:p>
            <w:r>
              <w:t>Log and monitor</w:t>
            </w:r>
          </w:p>
        </w:tc>
      </w:tr>
      <w:tr>
        <w:tc>
          <w:tcPr>
            <w:tcW w:type="dxa" w:w="2880"/>
          </w:tcPr>
          <w:p>
            <w:r>
              <w:t>&gt; 0.25</w:t>
            </w:r>
          </w:p>
        </w:tc>
        <w:tc>
          <w:tcPr>
            <w:tcW w:type="dxa" w:w="2880"/>
          </w:tcPr>
          <w:p>
            <w:r>
              <w:t>Significant shift</w:t>
            </w:r>
          </w:p>
        </w:tc>
        <w:tc>
          <w:tcPr>
            <w:tcW w:type="dxa" w:w="2880"/>
          </w:tcPr>
          <w:p>
            <w:r>
              <w:t>Flag for retraining review</w:t>
            </w:r>
          </w:p>
        </w:tc>
      </w:tr>
    </w:tbl>
    <w:p/>
    <w:p>
      <w:r>
        <w:rPr>
          <w:b w:val="0"/>
          <w:i w:val="0"/>
          <w:sz w:val="22"/>
        </w:rPr>
        <w:t>The Kolmogorov-Smirnov test complements PSI by testing the maximum distance between empirical CDFs and returning a p-value rather than a fixed-bucket approximation. Retraining triggers automatically when three or more features simultaneously exceed PSI 0.25, or PR-AUC drops more than 15% relative to the last deployed model (as implemented, the PR-AUC half compares the latest run with itself and never fires; see docs/08). On the measured run (run 2's reference window, sampled from training steps 1-355, vs. held-out steps 600-744), all 12 features showed zero significant PSI drift, so no retrain fired: PaySim's late-step feature distributions stay close to the early ones, consistent with the unchanged held-out ROC-AUC. KS flagged several features as statistically significant despite near-zero PSI, which is not a contradiction: KS is far more sensitive at multi-million-row sample sizes and will flag negligible practical shifts as significant, which is exactly why the retraining trigger is keyed on PSI's banded severity rather than the KS p-value alone.</w:t>
      </w:r>
    </w:p>
    <w:p>
      <w:pPr>
        <w:pStyle w:val="Heading1"/>
      </w:pPr>
      <w:r>
        <w:rPr>
          <w:color w:val="1B2A4A"/>
        </w:rPr>
        <w:t>9. Dashboard</w:t>
      </w:r>
    </w:p>
    <w:tbl>
      <w:tblPr>
        <w:tblStyle w:val="LightGrid-Accent1"/>
        <w:tblW w:type="auto" w:w="0"/>
        <w:tblLook w:firstColumn="1" w:firstRow="1" w:lastColumn="0" w:lastRow="0" w:noHBand="0" w:noVBand="1" w:val="04A0"/>
      </w:tblPr>
      <w:tblGrid>
        <w:gridCol w:w="4320"/>
        <w:gridCol w:w="4320"/>
      </w:tblGrid>
      <w:tr>
        <w:tc>
          <w:tcPr>
            <w:tcW w:type="dxa" w:w="4320"/>
          </w:tcPr>
          <w:p>
            <w:r>
              <w:rPr>
                <w:b/>
              </w:rPr>
              <w:t>View</w:t>
            </w:r>
          </w:p>
        </w:tc>
        <w:tc>
          <w:tcPr>
            <w:tcW w:type="dxa" w:w="4320"/>
          </w:tcPr>
          <w:p>
            <w:r>
              <w:rPr>
                <w:b/>
              </w:rPr>
              <w:t>Contents</w:t>
            </w:r>
          </w:p>
        </w:tc>
      </w:tr>
      <w:tr>
        <w:tc>
          <w:tcPr>
            <w:tcW w:type="dxa" w:w="4320"/>
          </w:tcPr>
          <w:p>
            <w:r>
              <w:t>Transaction Overview</w:t>
            </w:r>
          </w:p>
        </w:tc>
        <w:tc>
          <w:tcPr>
            <w:tcW w:type="dxa" w:w="4320"/>
          </w:tcPr>
          <w:p>
            <w:r>
              <w:t>Volume and value trends by step and type; live SQL aggregates.</w:t>
            </w:r>
          </w:p>
        </w:tc>
      </w:tr>
      <w:tr>
        <w:tc>
          <w:tcPr>
            <w:tcW w:type="dxa" w:w="4320"/>
          </w:tcPr>
          <w:p>
            <w:r>
              <w:t>Fraud Analytics</w:t>
            </w:r>
          </w:p>
        </w:tc>
        <w:tc>
          <w:tcPr>
            <w:tcW w:type="dxa" w:w="4320"/>
          </w:tcPr>
          <w:p>
            <w:r>
              <w:t>Flagged-transaction breakdown by type, amount band, and time.</w:t>
            </w:r>
          </w:p>
        </w:tc>
      </w:tr>
      <w:tr>
        <w:tc>
          <w:tcPr>
            <w:tcW w:type="dxa" w:w="4320"/>
          </w:tcPr>
          <w:p>
            <w:r>
              <w:t>Transaction Analysis</w:t>
            </w:r>
          </w:p>
        </w:tc>
        <w:tc>
          <w:tcPr>
            <w:tcW w:type="dxa" w:w="4320"/>
          </w:tcPr>
          <w:p>
            <w:r>
              <w:t>Drill-down into individual transaction feature values and anomaly score.</w:t>
            </w:r>
          </w:p>
        </w:tc>
      </w:tr>
      <w:tr>
        <w:tc>
          <w:tcPr>
            <w:tcW w:type="dxa" w:w="4320"/>
          </w:tcPr>
          <w:p>
            <w:r>
              <w:t>Model Performance</w:t>
            </w:r>
          </w:p>
        </w:tc>
        <w:tc>
          <w:tcPr>
            <w:tcW w:type="dxa" w:w="4320"/>
          </w:tcPr>
          <w:p>
            <w:r>
              <w:t>PR-AUC / ROC-AUC trend across model_runs versions; confusion matrix. Run 1's points are in-sample, later runs are held-out.</w:t>
            </w:r>
          </w:p>
        </w:tc>
      </w:tr>
      <w:tr>
        <w:tc>
          <w:tcPr>
            <w:tcW w:type="dxa" w:w="4320"/>
          </w:tcPr>
          <w:p>
            <w:r>
              <w:t>Drift Monitoring</w:t>
            </w:r>
          </w:p>
        </w:tc>
        <w:tc>
          <w:tcPr>
            <w:tcW w:type="dxa" w:w="4320"/>
          </w:tcPr>
          <w:p>
            <w:r>
              <w:t>Per-feature PSI and KS p-value, with threshold bands overlaid.</w:t>
            </w:r>
          </w:p>
        </w:tc>
      </w:tr>
      <w:tr>
        <w:tc>
          <w:tcPr>
            <w:tcW w:type="dxa" w:w="4320"/>
          </w:tcPr>
          <w:p>
            <w:r>
              <w:t>System Health</w:t>
            </w:r>
          </w:p>
        </w:tc>
        <w:tc>
          <w:tcPr>
            <w:tcW w:type="dxa" w:w="4320"/>
          </w:tcPr>
          <w:p>
            <w:r>
              <w:t>Pipeline run status, row counts, last retrain trigger reason.</w:t>
            </w:r>
          </w:p>
        </w:tc>
      </w:tr>
    </w:tbl>
    <w:p/>
    <w:p>
      <w:r>
        <w:rPr>
          <w:b w:val="0"/>
          <w:i w:val="0"/>
          <w:sz w:val="22"/>
        </w:rPr>
        <w:t>Verified: dashboard/app.py imports cleanly, every sql/queries.py function used by the dashboard returns correct results against the live 6.36M-row database, and a headless Streamlit launch (streamlit run dashboard/app.py --server.headless true) responds HTTP 200.</w:t>
      </w:r>
    </w:p>
    <w:p>
      <w:pPr>
        <w:pStyle w:val="Heading1"/>
      </w:pPr>
      <w:r>
        <w:rPr>
          <w:color w:val="1B2A4A"/>
        </w:rPr>
        <w:t>10. Tech Stack</w:t>
      </w:r>
    </w:p>
    <w:tbl>
      <w:tblPr>
        <w:tblStyle w:val="LightGrid-Accent1"/>
        <w:tblW w:type="auto" w:w="0"/>
        <w:tblLook w:firstColumn="1" w:firstRow="1" w:lastColumn="0" w:lastRow="0" w:noHBand="0" w:noVBand="1" w:val="04A0"/>
      </w:tblPr>
      <w:tblGrid>
        <w:gridCol w:w="4320"/>
        <w:gridCol w:w="4320"/>
      </w:tblGrid>
      <w:tr>
        <w:tc>
          <w:tcPr>
            <w:tcW w:type="dxa" w:w="4320"/>
          </w:tcPr>
          <w:p>
            <w:r>
              <w:rPr>
                <w:b/>
              </w:rPr>
              <w:t>Category</w:t>
            </w:r>
          </w:p>
        </w:tc>
        <w:tc>
          <w:tcPr>
            <w:tcW w:type="dxa" w:w="4320"/>
          </w:tcPr>
          <w:p>
            <w:r>
              <w:rPr>
                <w:b/>
              </w:rPr>
              <w:t>Technology</w:t>
            </w:r>
          </w:p>
        </w:tc>
      </w:tr>
      <w:tr>
        <w:tc>
          <w:tcPr>
            <w:tcW w:type="dxa" w:w="4320"/>
          </w:tcPr>
          <w:p>
            <w:r>
              <w:t>Language</w:t>
            </w:r>
          </w:p>
        </w:tc>
        <w:tc>
          <w:tcPr>
            <w:tcW w:type="dxa" w:w="4320"/>
          </w:tcPr>
          <w:p>
            <w:r>
              <w:t>Python 3.11+</w:t>
            </w:r>
          </w:p>
        </w:tc>
      </w:tr>
      <w:tr>
        <w:tc>
          <w:tcPr>
            <w:tcW w:type="dxa" w:w="4320"/>
          </w:tcPr>
          <w:p>
            <w:r>
              <w:t>Dataset</w:t>
            </w:r>
          </w:p>
        </w:tc>
        <w:tc>
          <w:tcPr>
            <w:tcW w:type="dxa" w:w="4320"/>
          </w:tcPr>
          <w:p>
            <w:r>
              <w:t>PaySim</w:t>
            </w:r>
          </w:p>
        </w:tc>
      </w:tr>
      <w:tr>
        <w:tc>
          <w:tcPr>
            <w:tcW w:type="dxa" w:w="4320"/>
          </w:tcPr>
          <w:p>
            <w:r>
              <w:t>Database</w:t>
            </w:r>
          </w:p>
        </w:tc>
        <w:tc>
          <w:tcPr>
            <w:tcW w:type="dxa" w:w="4320"/>
          </w:tcPr>
          <w:p>
            <w:r>
              <w:t>SQLite</w:t>
            </w:r>
          </w:p>
        </w:tc>
      </w:tr>
      <w:tr>
        <w:tc>
          <w:tcPr>
            <w:tcW w:type="dxa" w:w="4320"/>
          </w:tcPr>
          <w:p>
            <w:r>
              <w:t>Query Language</w:t>
            </w:r>
          </w:p>
        </w:tc>
        <w:tc>
          <w:tcPr>
            <w:tcW w:type="dxa" w:w="4320"/>
          </w:tcPr>
          <w:p>
            <w:r>
              <w:t>SQL</w:t>
            </w:r>
          </w:p>
        </w:tc>
      </w:tr>
      <w:tr>
        <w:tc>
          <w:tcPr>
            <w:tcW w:type="dxa" w:w="4320"/>
          </w:tcPr>
          <w:p>
            <w:r>
              <w:t>Data Processing</w:t>
            </w:r>
          </w:p>
        </w:tc>
        <w:tc>
          <w:tcPr>
            <w:tcW w:type="dxa" w:w="4320"/>
          </w:tcPr>
          <w:p>
            <w:r>
              <w:t>Pandas, NumPy</w:t>
            </w:r>
          </w:p>
        </w:tc>
      </w:tr>
      <w:tr>
        <w:tc>
          <w:tcPr>
            <w:tcW w:type="dxa" w:w="4320"/>
          </w:tcPr>
          <w:p>
            <w:r>
              <w:t>Machine Learning</w:t>
            </w:r>
          </w:p>
        </w:tc>
        <w:tc>
          <w:tcPr>
            <w:tcW w:type="dxa" w:w="4320"/>
          </w:tcPr>
          <w:p>
            <w:r>
              <w:t>Scikit-Learn (IsolationForest)</w:t>
            </w:r>
          </w:p>
        </w:tc>
      </w:tr>
      <w:tr>
        <w:tc>
          <w:tcPr>
            <w:tcW w:type="dxa" w:w="4320"/>
          </w:tcPr>
          <w:p>
            <w:r>
              <w:t>Statistics</w:t>
            </w:r>
          </w:p>
        </w:tc>
        <w:tc>
          <w:tcPr>
            <w:tcW w:type="dxa" w:w="4320"/>
          </w:tcPr>
          <w:p>
            <w:r>
              <w:t>SciPy (ks_2samp)</w:t>
            </w:r>
          </w:p>
        </w:tc>
      </w:tr>
      <w:tr>
        <w:tc>
          <w:tcPr>
            <w:tcW w:type="dxa" w:w="4320"/>
          </w:tcPr>
          <w:p>
            <w:r>
              <w:t>Drift Detection</w:t>
            </w:r>
          </w:p>
        </w:tc>
        <w:tc>
          <w:tcPr>
            <w:tcW w:type="dxa" w:w="4320"/>
          </w:tcPr>
          <w:p>
            <w:r>
              <w:t>PSI (custom), KS Test (SciPy)</w:t>
            </w:r>
          </w:p>
        </w:tc>
      </w:tr>
      <w:tr>
        <w:tc>
          <w:tcPr>
            <w:tcW w:type="dxa" w:w="4320"/>
          </w:tcPr>
          <w:p>
            <w:r>
              <w:t>Dashboard / Visualization</w:t>
            </w:r>
          </w:p>
        </w:tc>
        <w:tc>
          <w:tcPr>
            <w:tcW w:type="dxa" w:w="4320"/>
          </w:tcPr>
          <w:p>
            <w:r>
              <w:t>Streamlit, Plotly</w:t>
            </w:r>
          </w:p>
        </w:tc>
      </w:tr>
      <w:tr>
        <w:tc>
          <w:tcPr>
            <w:tcW w:type="dxa" w:w="4320"/>
          </w:tcPr>
          <w:p>
            <w:r>
              <w:t>Model Persistence</w:t>
            </w:r>
          </w:p>
        </w:tc>
        <w:tc>
          <w:tcPr>
            <w:tcW w:type="dxa" w:w="4320"/>
          </w:tcPr>
          <w:p>
            <w:r>
              <w:t>joblib</w:t>
            </w:r>
          </w:p>
        </w:tc>
      </w:tr>
      <w:tr>
        <w:tc>
          <w:tcPr>
            <w:tcW w:type="dxa" w:w="4320"/>
          </w:tcPr>
          <w:p>
            <w:r>
              <w:t>Testing</w:t>
            </w:r>
          </w:p>
        </w:tc>
        <w:tc>
          <w:tcPr>
            <w:tcW w:type="dxa" w:w="4320"/>
          </w:tcPr>
          <w:p>
            <w:r>
              <w:t>pytest (35 tests)</w:t>
            </w:r>
          </w:p>
        </w:tc>
      </w:tr>
    </w:tbl>
    <w:p/>
    <w:p>
      <w:pPr>
        <w:pStyle w:val="Heading1"/>
      </w:pPr>
      <w:r>
        <w:rPr>
          <w:color w:val="1B2A4A"/>
        </w:rPr>
        <w:t>11. End-to-End Verification Summary</w:t>
      </w:r>
    </w:p>
    <w:p>
      <w:pPr>
        <w:pStyle w:val="ListBullet"/>
      </w:pPr>
      <w:r>
        <w:t>6,362,604 / 6,362,604 rows populated with txnVelocity1h/24h -- zero NULLs.</w:t>
      </w:r>
    </w:p>
    <w:p>
      <w:pPr>
        <w:pStyle w:val="ListBullet"/>
      </w:pPr>
      <w:r>
        <w:t>6,362,604 / 6,362,604 rows populated with anomaly_score/is_anomaly -- zero NULLs (scored with the run 1 model).</w:t>
      </w:r>
    </w:p>
    <w:p>
      <w:pPr>
        <w:pStyle w:val="ListBullet"/>
      </w:pPr>
      <w:r>
        <w:t>model_runs: 2 rows; run 2 (train_step_end = 355) is deployed, with held-out and training-window metrics populated.</w:t>
      </w:r>
    </w:p>
    <w:p>
      <w:pPr>
        <w:pStyle w:val="ListBullet"/>
      </w:pPr>
      <w:r>
        <w:t>drift_metrics: 12 rows (one per model feature) for each of runs 1 and 2.</w:t>
      </w:r>
    </w:p>
    <w:p>
      <w:pPr>
        <w:pStyle w:val="ListBullet"/>
      </w:pPr>
      <w:r>
        <w:t>retrain_log: 2 rows, each correctly logging no trigger.</w:t>
      </w:r>
    </w:p>
    <w:p>
      <w:pPr>
        <w:pStyle w:val="ListBullet"/>
      </w:pPr>
      <w:r>
        <w:t>pytest: 35/35 passing.</w:t>
      </w:r>
    </w:p>
    <w:p>
      <w:pPr>
        <w:pStyle w:val="ListBullet"/>
      </w:pPr>
      <w:r>
        <w:t>Dashboard: imports cleanly, all query functions verified, headless launch returns HTTP 200.</w:t>
      </w:r>
    </w:p>
    <w:p>
      <w:r>
        <w:rPr>
          <w:b w:val="0"/>
          <w:i/>
          <w:sz w:val="22"/>
        </w:rPr>
        <w:t>Full command output, exact source for every module, and step-by-step rebuild instructions are in docs/00-overview.md through docs/12-troubleshooting.md.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