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Heading1"/>
        <w:spacing w:before="360" w:after="120"/>
      </w:pPr>
      <w:r>
        <w:rPr>
          <w:b/>
        </w:rPr>
        <w:t>Case Study</w:t>
      </w:r>
      <w:r>
        <w:t>: Harris County, Texas</w:t>
      </w:r>
    </w:p>
    <w:p>
      <w:pPr>
        <w:spacing w:after="200"/>
      </w:pPr>
      <w:r>
        <w:rPr>
          <w:b/>
        </w:rPr>
        <w:t>Hawthorn Intelligence</w:t>
      </w:r>
    </w:p>
    <w:p>
      <w:pPr>
        <w:spacing w:after="200"/>
      </w:pPr>
      <w:r>
        <w:drawing>
          <wp:anchor distT="0" distB="0" distL="114300" distR="114300" simplePos="0" relativeHeight="251660290" behindDoc="0" locked="0" layoutInCell="1" allowOverlap="1" wp14:anchorId="237B77BB" wp14:editId="52ACF41C">
            <wp:simplePos x="0" y="0"/>
            <wp:positionH relativeFrom="column">
              <wp:posOffset>3749040</wp:posOffset>
            </wp:positionH>
            <wp:positionV relativeFrom="paragraph">
              <wp:posOffset>134804</wp:posOffset>
            </wp:positionV>
            <wp:extent cx="2651760" cy="2516572"/>
            <wp:effectExtent l="0" t="0" r="0" b="5080"/>
            <wp:wrapSquare wrapText="bothSides"/>
            <wp:docPr id="2044851896" name="Picture 2" descr="Case Study: Harris County, Texas locator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ase Study: Harris County, Texas locator ma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51760" cy="2516572"/>
                    </a:xfrm>
                    <a:prstGeom prst="rect">
                      <a:avLst/>
                    </a:prstGeom>
                    <a:noFill/>
                    <a:ln>
                      <a:noFill/>
                    </a:ln>
                  </pic:spPr>
                </pic:pic>
              </a:graphicData>
            </a:graphic>
            <wp14:sizeRelH relativeFrom="page">
              <wp14:pctWidth>0</wp14:pctWidth>
            </wp14:sizeRelH>
            <wp14:sizeRelV relativeFrom="page">
              <wp14:pctHeight>0</wp14:pctHeight>
            </wp14:sizeRelV>
          </wp:anchor>
        </w:drawing>
      </w:r>
      <w:r>
        <w:rPr>
          <w:i/>
        </w:rPr>
        <w:t>Data as of October 16, 2026</w:t>
      </w:r>
    </w:p>
    <w:p>
      <w:pPr>
        <w:pStyle w:val="Heading2"/>
        <w:spacing w:before="240" w:after="80"/>
      </w:pPr>
      <w:r>
        <w:t>Key Takeaways</w:t>
      </w:r>
    </w:p>
    <w:p>
      <w:pPr>
        <w:pStyle w:val="ListParagraph"/>
        <w:numPr>
          <w:ilvl w:val="0"/>
          <w:numId w:val="11"/>
        </w:numPr>
        <w:spacing w:after="80"/>
      </w:pPr>
      <w:r>
        <w:rPr>
          <w:b/>
        </w:rPr>
        <w:t>A battery-storage market, not a solar or wind market</w:t>
      </w:r>
      <w:r>
        <w:t>: 776 MW of grid batteries operate in the county and 28 of 33 active interconnection requests are for storage. The siting fights have been almost entirely about batteries.</w:t>
      </w:r>
    </w:p>
    <w:p>
      <w:pPr>
        <w:pStyle w:val="ListParagraph"/>
        <w:numPr>
          <w:ilvl w:val="0"/>
          <w:numId w:val="11"/>
        </w:numPr>
        <w:spacing w:after="80"/>
      </w:pPr>
      <w:r>
        <w:rPr>
          <w:b/>
        </w:rPr>
        <w:t>Moderate, city-by-city friction</w:t>
      </w:r>
      <w:r>
        <w:t>: Pasadena adopted a moratorium and then a permanent storage code with 500-foot residential setbacks and a five-acre site cap. Tomball denied a project in 2023, and Baytown approved two projects over resident and union objections, one on a 4-3 vote.</w:t>
      </w:r>
    </w:p>
    <w:p>
      <w:pPr>
        <w:pStyle w:val="ListParagraph"/>
        <w:numPr>
          <w:ilvl w:val="0"/>
          <w:numId w:val="11"/>
        </w:numPr>
        <w:spacing w:after="80"/>
      </w:pPr>
      <w:r>
        <w:rPr>
          <w:b/>
        </w:rPr>
        <w:t>Elevated relative to the national average county:</w:t>
      </w:r>
      <w:r>
        <w:t xml:space="preserve"> Hawthorn Intelligence ranks Harris in the 78</w:t>
      </w:r>
      <w:r>
        <w:rPr>
          <w:vertAlign w:val="superscript"/>
        </w:rPr>
        <w:t>th</w:t>
      </w:r>
      <w:r>
        <w:t xml:space="preserve"> percentile (</w:t>
      </w:r>
      <w:r>
        <w:rPr>
          <w:i/>
        </w:rPr>
        <w:t>e.g.,</w:t>
      </w:r>
      <w:r>
        <w:t xml:space="preserve"> 78% of U.S. counties are graded less risky) for resemblance to a county with severe renewable restrictions, and 18</w:t>
      </w:r>
      <w:r>
        <w:rPr>
          <w:vertAlign w:val="superscript"/>
        </w:rPr>
        <w:t>th</w:t>
      </w:r>
      <w:r>
        <w:t xml:space="preserve"> of 254 in Texas, driven mainly by its size and its interconnection queue.</w:t>
      </w:r>
    </w:p>
    <w:p>
      <w:pPr>
        <w:pStyle w:val="ListParagraph"/>
        <w:numPr>
          <w:ilvl w:val="0"/>
          <w:numId w:val="11"/>
        </w:numPr>
        <w:spacing w:after="80"/>
      </w:pPr>
      <w:r>
        <w:rPr>
          <w:b/>
        </w:rPr>
        <w:t>Near-term risks</w:t>
      </w:r>
      <w:r>
        <w:t xml:space="preserve"> hinge on the state fire-safety rules for batteries now being written under HB 3824, which also limit local rules, the 2027 legislative session, the transition to a new county judge in January, and about 1.3 GW of queued storage at Pasadena-area and Baytown sites.</w:t>
      </w:r>
    </w:p>
    <w:p>
      <w:pPr>
        <w:pStyle w:val="Heading2"/>
        <w:spacing w:before="240" w:after="80"/>
      </w:pPr>
      <w:r>
        <w:t>Summary</w:t>
      </w:r>
    </w:p>
    <w:p>
      <w:pPr>
        <w:spacing w:after="200"/>
      </w:pPr>
      <w:r>
        <w:t>Harris County, TX is open to energy-storage development, but approval is no longer automatic in its suburban cities. Most of the county, the City of Houston and the unincorporated areas, has no zoning, and there the county fire marshal's annual permit is the main local gate. That is why the county already hosts some of Texas's largest urban batteries. The friction sits in the suburban cities that do zone: Pasadena, Baytown and Tomball have each paused, restricted, denied or narrowly approved battery projects since 2023.</w:t>
      </w:r>
    </w:p>
    <w:p>
      <w:pPr>
        <w:spacing w:after="200"/>
      </w:pPr>
      <w:r>
        <w:t>Hawthorn Intelligence assigns Harris a County Restriction Score of 0.36, about one and a half times the national base rate of 0.24, placing it in the eighth national decile (one tenth of U.S. counties, ranked by score) and the 78</w:t>
      </w:r>
      <w:r>
        <w:rPr>
          <w:vertAlign w:val="superscript"/>
        </w:rPr>
        <w:t>th</w:t>
      </w:r>
      <w:r>
        <w:t xml:space="preserve"> percentile among U.S. counties. Within Texas it ranks 18</w:t>
      </w:r>
      <w:r>
        <w:rPr>
          <w:vertAlign w:val="superscript"/>
        </w:rPr>
        <w:t>th</w:t>
      </w:r>
      <w:r>
        <w:t xml:space="preserve"> of 254 counties; Tarrant (0.81), Denton (0.73) and neighboring Fort Bend (0.72) score highest, and the state median is 0.13. The score is a calibrated measure of resemblance to counties that have enacted severe restrictions, not a project-specific forecast. Harris's restriction record is Verified: we read Pasadena's moratorium and its replacement ordinance in the city's own minutes. Its elevated score is driven principally by population and by the megawatts in its interconnection queue, rather than by partisanship.</w:t>
      </w:r>
    </w:p>
    <w:p>
      <w:pPr>
        <w:spacing w:after="200"/>
      </w:pPr>
      <w:r>
        <w:t>Contextually, Harris illustrates how storage has become the frontline of local energy siting in Texas. Pasadena adopted a 90-day moratorium in October 2024, extended it in January 2025, and in April 2025 replaced it with a permanent code requiring a special use permit, a plume study and a location within 150 feet of the utility's property. Tomball unanimously denied a battery permit in 2023 after its mayor said, "We're not ready for this in our 13 square miles." Baytown approved a 100 MW project in August 2025 despite a labor union's threat of a ballot measure, and a 406 MW project in a suburban residential zone in November 2025 on a reported 4-3 vote.</w:t>
      </w:r>
    </w:p>
    <w:p>
      <w:pPr>
        <w:spacing w:after="200"/>
      </w:pPr>
      <w:r>
        <w:t>On the surface, the county offers developers an exceptional set of benefits: retired power-plant sites with existing high-voltage connections, a Houston load pocket where congestion rewards local storage, and a utility, CenterPoint, that expects 8 GW of data-center load and a peak above 30 GW by 2029. Nevertheless, proximity to homes and schools has proven the decisive friction. Every contested project here was a battery near a neighborhood, and opponents cited fire, toxic plumes and hurricane resilience, not views or farmland.</w:t>
      </w:r>
    </w:p>
    <w:p>
      <w:pPr>
        <w:spacing w:after="200"/>
      </w:pPr>
      <w:r>
        <w:t>For developers, investors, and policymakers, Harris is a split market rather than a closed one. Sites on industrial land in Houston or unincorporated areas have moved without public fights. Sites in zoned suburban cities near housing face special use permits, plume modeling and close votes. Near-term risk turns on the Texas Department of Insurance's rules under HB 3824, which will set fire standards for batteries entering service from 2027 and bar local rules "inconsistent" with them; on the 2027 legislative session, where a state permit for renewable plants (SB 819) and battery setbacks are expected to return; and on the new county judge who takes office in January.</w:t>
      </w:r>
    </w:p>
    <w:p>
      <w:pPr>
        <w:pStyle w:val="Heading1"/>
        <w:spacing w:before="360" w:after="120"/>
      </w:pPr>
      <w:r>
        <w:t>Hawthorn Intelligence</w:t>
      </w:r>
    </w:p>
    <w:p>
      <w:pPr>
        <w:pStyle w:val="Heading2"/>
        <w:spacing w:before="240" w:after="80"/>
      </w:pPr>
      <w:r>
        <w:t>Summary</w:t>
      </w:r>
    </w:p>
    <w:p>
      <w:pPr>
        <w:spacing w:after="200"/>
      </w:pPr>
      <w:r>
        <w:t>Harris County, home to about 5 million people in and around Houston, has become one of Texas's densest battery-storage markets, with 776 MW operating and about 7 GW in active interconnection requests at the end of 2025. Its suburban cities have moved from pauses to permanent rules: Pasadena's moratorium gave way to a storage code in April 2025, Tomball denied a project, and Baytown approved two over objections. Harris carries a Hawthorn County Restriction Score of 0.36, placing it in decile 8 of 10 and the 78</w:t>
      </w:r>
      <w:r>
        <w:rPr>
          <w:vertAlign w:val="superscript"/>
        </w:rPr>
        <w:t>th</w:t>
      </w:r>
      <w:r>
        <w:t xml:space="preserve"> percentile of U.S. counties for resemblance to counties that have enacted severe renewable restrictions, with a Verified evidence record.</w:t>
      </w:r>
    </w:p>
    <w:p>
      <w:pPr>
        <w:pStyle w:val="Heading2"/>
        <w:spacing w:before="240" w:after="80"/>
      </w:pPr>
      <w:r>
        <w:t>Hawthorn Intelligence Ratings</w:t>
      </w:r>
    </w:p>
    <w:tbl>
      <w:tblPr>
        <w:tblStyle w:val="PlainTable5"/>
        <w:tblW w:w="10080" w:type="dxa"/>
        <w:tblLayout w:type="fixed"/>
        <w:tblLook w:val="04A0" w:firstRow="1" w:lastRow="0" w:firstColumn="1" w:lastColumn="0" w:noHBand="0" w:noVBand="1"/>
      </w:tblPr>
      <w:tblGrid>
        <w:gridCol w:w="2700"/>
        <w:gridCol w:w="2500"/>
        <w:gridCol w:w="4880"/>
      </w:tblGrid>
      <w:tr>
        <w:trPr>
          <w:cantSplit/>
          <w:tblHeader/>
        </w:trPr>
        <w:tc>
          <w:tcPr>
            <w:tcW w:w="2700" w:type="dxa"/>
            <w:tcMar>
              <w:top w:w="30" w:type="dxa"/>
              <w:left w:w="80" w:type="dxa"/>
              <w:bottom w:w="30" w:type="dxa"/>
              <w:right w:w="80" w:type="dxa"/>
            </w:tcMar>
          </w:tcPr>
          <w:p>
            <w:pPr>
              <w:keepNext/>
              <w:spacing w:after="0"/>
            </w:pPr>
            <w:r>
              <w:rPr>
                <w:b/>
                <w:sz w:val="20"/>
              </w:rPr>
              <w:t>Hawthorn rating</w:t>
            </w:r>
          </w:p>
        </w:tc>
        <w:tc>
          <w:tcPr>
            <w:tcW w:w="2500" w:type="dxa"/>
            <w:tcMar>
              <w:top w:w="30" w:type="dxa"/>
              <w:left w:w="80" w:type="dxa"/>
              <w:bottom w:w="30" w:type="dxa"/>
              <w:right w:w="80" w:type="dxa"/>
            </w:tcMar>
          </w:tcPr>
          <w:p>
            <w:pPr>
              <w:keepNext/>
              <w:spacing w:after="0"/>
            </w:pPr>
            <w:r>
              <w:rPr>
                <w:b/>
                <w:sz w:val="20"/>
              </w:rPr>
              <w:t>Harris County</w:t>
            </w:r>
          </w:p>
        </w:tc>
        <w:tc>
          <w:tcPr>
            <w:tcW w:w="4880" w:type="dxa"/>
            <w:tcMar>
              <w:top w:w="30" w:type="dxa"/>
              <w:left w:w="80" w:type="dxa"/>
              <w:bottom w:w="30" w:type="dxa"/>
              <w:right w:w="80" w:type="dxa"/>
            </w:tcMar>
          </w:tcPr>
          <w:p>
            <w:pPr>
              <w:keepNext/>
              <w:spacing w:after="0"/>
            </w:pPr>
            <w:r>
              <w:rPr>
                <w:b/>
                <w:sz w:val="20"/>
              </w:rPr>
              <w:t>Explanation</w:t>
            </w:r>
          </w:p>
        </w:tc>
      </w:tr>
      <w:tr>
        <w:trPr>
          <w:cantSplit/>
        </w:trPr>
        <w:tc>
          <w:tcPr>
            <w:tcW w:w="2700" w:type="dxa"/>
            <w:tcMar>
              <w:top w:w="30" w:type="dxa"/>
              <w:left w:w="80" w:type="dxa"/>
              <w:bottom w:w="30" w:type="dxa"/>
              <w:right w:w="80" w:type="dxa"/>
            </w:tcMar>
          </w:tcPr>
          <w:p>
            <w:pPr>
              <w:keepNext/>
              <w:spacing w:after="0"/>
            </w:pPr>
            <w:r>
              <w:rPr>
                <w:sz w:val="20"/>
              </w:rPr>
              <w:t>County Restriction Score</w:t>
            </w:r>
          </w:p>
        </w:tc>
        <w:tc>
          <w:tcPr>
            <w:tcW w:w="2500" w:type="dxa"/>
            <w:tcMar>
              <w:top w:w="30" w:type="dxa"/>
              <w:left w:w="80" w:type="dxa"/>
              <w:bottom w:w="30" w:type="dxa"/>
              <w:right w:w="80" w:type="dxa"/>
            </w:tcMar>
          </w:tcPr>
          <w:p>
            <w:pPr>
              <w:keepNext/>
              <w:spacing w:after="0"/>
            </w:pPr>
            <w:r>
              <w:rPr>
                <w:b/>
                <w:sz w:val="20"/>
              </w:rPr>
              <w:t>0.36 (likely range 0.31 to 0.39)</w:t>
            </w:r>
          </w:p>
        </w:tc>
        <w:tc>
          <w:tcPr>
            <w:tcW w:w="4880" w:type="dxa"/>
            <w:tcMar>
              <w:top w:w="30" w:type="dxa"/>
              <w:left w:w="80" w:type="dxa"/>
              <w:bottom w:w="30" w:type="dxa"/>
              <w:right w:w="80" w:type="dxa"/>
            </w:tcMar>
          </w:tcPr>
          <w:p>
            <w:pPr>
              <w:keepNext/>
              <w:spacing w:after="0"/>
            </w:pPr>
            <w:r>
              <w:rPr>
                <w:sz w:val="20"/>
              </w:rPr>
              <w:t>Resemblance to counties with a severe wind, solar or storage restriction on record, on a 0 to 1 scale; national base rate 0.24</w:t>
            </w:r>
          </w:p>
        </w:tc>
      </w:tr>
      <w:tr>
        <w:trPr>
          <w:cantSplit/>
        </w:trPr>
        <w:tc>
          <w:tcPr>
            <w:tcW w:w="2700" w:type="dxa"/>
            <w:tcMar>
              <w:top w:w="30" w:type="dxa"/>
              <w:left w:w="80" w:type="dxa"/>
              <w:bottom w:w="30" w:type="dxa"/>
              <w:right w:w="80" w:type="dxa"/>
            </w:tcMar>
          </w:tcPr>
          <w:p>
            <w:pPr>
              <w:keepNext/>
              <w:spacing w:after="0"/>
            </w:pPr>
            <w:r>
              <w:rPr>
                <w:sz w:val="20"/>
              </w:rPr>
              <w:t>Score decile</w:t>
            </w:r>
          </w:p>
        </w:tc>
        <w:tc>
          <w:tcPr>
            <w:tcW w:w="2500" w:type="dxa"/>
            <w:tcMar>
              <w:top w:w="30" w:type="dxa"/>
              <w:left w:w="80" w:type="dxa"/>
              <w:bottom w:w="30" w:type="dxa"/>
              <w:right w:w="80" w:type="dxa"/>
            </w:tcMar>
          </w:tcPr>
          <w:p>
            <w:pPr>
              <w:keepNext/>
              <w:spacing w:after="0"/>
            </w:pPr>
            <w:r>
              <w:rPr>
                <w:b/>
                <w:sz w:val="20"/>
              </w:rPr>
              <w:t>8 of 10</w:t>
            </w:r>
          </w:p>
        </w:tc>
        <w:tc>
          <w:tcPr>
            <w:tcW w:w="4880" w:type="dxa"/>
            <w:tcMar>
              <w:top w:w="30" w:type="dxa"/>
              <w:left w:w="80" w:type="dxa"/>
              <w:bottom w:w="30" w:type="dxa"/>
              <w:right w:w="80" w:type="dxa"/>
            </w:tcMar>
          </w:tcPr>
          <w:p>
            <w:pPr>
              <w:keepNext/>
              <w:spacing w:after="0"/>
            </w:pPr>
            <w:r>
              <w:rPr>
                <w:sz w:val="20"/>
              </w:rPr>
              <w:t>Eighth tenth of 3,144 U.S. counties (scores 0.280 to 0.386); 33.4 percent of decile 8 counties have a severe restriction</w:t>
            </w:r>
          </w:p>
        </w:tc>
      </w:tr>
      <w:tr>
        <w:trPr>
          <w:cantSplit/>
        </w:trPr>
        <w:tc>
          <w:tcPr>
            <w:tcW w:w="2700" w:type="dxa"/>
            <w:tcMar>
              <w:top w:w="30" w:type="dxa"/>
              <w:left w:w="80" w:type="dxa"/>
              <w:bottom w:w="30" w:type="dxa"/>
              <w:right w:w="80" w:type="dxa"/>
            </w:tcMar>
          </w:tcPr>
          <w:p>
            <w:pPr>
              <w:keepNext/>
              <w:spacing w:after="0"/>
            </w:pPr>
            <w:r>
              <w:rPr>
                <w:sz w:val="20"/>
              </w:rPr>
              <w:t>National and Texas standing</w:t>
            </w:r>
          </w:p>
        </w:tc>
        <w:tc>
          <w:tcPr>
            <w:tcW w:w="2500" w:type="dxa"/>
            <w:tcMar>
              <w:top w:w="30" w:type="dxa"/>
              <w:left w:w="80" w:type="dxa"/>
              <w:bottom w:w="30" w:type="dxa"/>
              <w:right w:w="80" w:type="dxa"/>
            </w:tcMar>
          </w:tcPr>
          <w:p>
            <w:pPr>
              <w:keepNext/>
              <w:spacing w:after="0"/>
            </w:pPr>
            <w:r>
              <w:rPr>
                <w:b/>
                <w:sz w:val="20"/>
              </w:rPr>
              <w:t>78</w:t>
            </w:r>
            <w:r>
              <w:rPr>
                <w:b/>
                <w:sz w:val="20"/>
                <w:vertAlign w:val="superscript"/>
              </w:rPr>
              <w:t>th</w:t>
            </w:r>
            <w:r>
              <w:rPr>
                <w:b/>
                <w:sz w:val="20"/>
              </w:rPr>
              <w:t xml:space="preserve"> percentile; 18</w:t>
            </w:r>
            <w:r>
              <w:rPr>
                <w:b/>
                <w:sz w:val="20"/>
                <w:vertAlign w:val="superscript"/>
              </w:rPr>
              <w:t>th</w:t>
            </w:r>
            <w:r>
              <w:rPr>
                <w:b/>
                <w:sz w:val="20"/>
              </w:rPr>
              <w:t xml:space="preserve"> of 254</w:t>
            </w:r>
          </w:p>
        </w:tc>
        <w:tc>
          <w:tcPr>
            <w:tcW w:w="4880" w:type="dxa"/>
            <w:tcMar>
              <w:top w:w="30" w:type="dxa"/>
              <w:left w:w="80" w:type="dxa"/>
              <w:bottom w:w="30" w:type="dxa"/>
              <w:right w:w="80" w:type="dxa"/>
            </w:tcMar>
          </w:tcPr>
          <w:p>
            <w:pPr>
              <w:keepNext/>
              <w:spacing w:after="0"/>
            </w:pPr>
            <w:r>
              <w:rPr>
                <w:sz w:val="20"/>
              </w:rPr>
              <w:t>Share of U.S. counties scoring below Harris; rank among Texas counties</w:t>
            </w:r>
          </w:p>
        </w:tc>
      </w:tr>
      <w:tr>
        <w:trPr>
          <w:cantSplit/>
        </w:trPr>
        <w:tc>
          <w:tcPr>
            <w:tcW w:w="2700" w:type="dxa"/>
            <w:tcMar>
              <w:top w:w="30" w:type="dxa"/>
              <w:left w:w="80" w:type="dxa"/>
              <w:bottom w:w="30" w:type="dxa"/>
              <w:right w:w="80" w:type="dxa"/>
            </w:tcMar>
          </w:tcPr>
          <w:p>
            <w:pPr>
              <w:keepNext/>
              <w:spacing w:after="0"/>
            </w:pPr>
            <w:r>
              <w:rPr>
                <w:sz w:val="20"/>
              </w:rPr>
              <w:t>Evidence status</w:t>
            </w:r>
          </w:p>
        </w:tc>
        <w:tc>
          <w:tcPr>
            <w:tcW w:w="2500" w:type="dxa"/>
            <w:tcMar>
              <w:top w:w="30" w:type="dxa"/>
              <w:left w:w="80" w:type="dxa"/>
              <w:bottom w:w="30" w:type="dxa"/>
              <w:right w:w="80" w:type="dxa"/>
            </w:tcMar>
          </w:tcPr>
          <w:p>
            <w:pPr>
              <w:keepNext/>
              <w:spacing w:after="0"/>
            </w:pPr>
            <w:r>
              <w:rPr>
                <w:b/>
                <w:sz w:val="20"/>
              </w:rPr>
              <w:t>Verified</w:t>
            </w:r>
          </w:p>
        </w:tc>
        <w:tc>
          <w:tcPr>
            <w:tcW w:w="4880" w:type="dxa"/>
            <w:tcMar>
              <w:top w:w="30" w:type="dxa"/>
              <w:left w:w="80" w:type="dxa"/>
              <w:bottom w:w="30" w:type="dxa"/>
              <w:right w:w="80" w:type="dxa"/>
            </w:tcMar>
          </w:tcPr>
          <w:p>
            <w:pPr>
              <w:keepNext/>
              <w:spacing w:after="0"/>
            </w:pPr>
            <w:r>
              <w:rPr>
                <w:sz w:val="20"/>
              </w:rPr>
              <w:t>Pasadena's moratorium and storage code read in the city's minutes and ordinance packet</w:t>
            </w:r>
          </w:p>
        </w:tc>
      </w:tr>
      <w:tr>
        <w:trPr>
          <w:cantSplit/>
        </w:trPr>
        <w:tc>
          <w:tcPr>
            <w:tcW w:w="2700" w:type="dxa"/>
            <w:tcMar>
              <w:top w:w="30" w:type="dxa"/>
              <w:left w:w="80" w:type="dxa"/>
              <w:bottom w:w="30" w:type="dxa"/>
              <w:right w:w="80" w:type="dxa"/>
            </w:tcMar>
          </w:tcPr>
          <w:p>
            <w:pPr>
              <w:keepNext/>
              <w:spacing w:after="0"/>
            </w:pPr>
            <w:r>
              <w:rPr>
                <w:sz w:val="20"/>
              </w:rPr>
              <w:t>Project outcome tiers</w:t>
            </w:r>
          </w:p>
        </w:tc>
        <w:tc>
          <w:tcPr>
            <w:tcW w:w="2500" w:type="dxa"/>
            <w:tcMar>
              <w:top w:w="30" w:type="dxa"/>
              <w:left w:w="80" w:type="dxa"/>
              <w:bottom w:w="30" w:type="dxa"/>
              <w:right w:w="80" w:type="dxa"/>
            </w:tcMar>
          </w:tcPr>
          <w:p>
            <w:pPr>
              <w:keepNext/>
              <w:spacing w:after="0"/>
            </w:pPr>
            <w:r>
              <w:rPr>
                <w:b/>
                <w:sz w:val="20"/>
              </w:rPr>
              <w:t>1 blocked; 2 advanced</w:t>
            </w:r>
          </w:p>
        </w:tc>
        <w:tc>
          <w:tcPr>
            <w:tcW w:w="4880" w:type="dxa"/>
            <w:tcMar>
              <w:top w:w="30" w:type="dxa"/>
              <w:left w:w="80" w:type="dxa"/>
              <w:bottom w:w="30" w:type="dxa"/>
              <w:right w:w="80" w:type="dxa"/>
            </w:tcMar>
          </w:tcPr>
          <w:p>
            <w:pPr>
              <w:keepNext/>
              <w:spacing w:after="0"/>
            </w:pPr>
            <w:r>
              <w:rPr>
                <w:sz w:val="20"/>
              </w:rPr>
              <w:t>Tomball denial (2023); Baytown's Massey and Claire approvals (2025)</w:t>
            </w:r>
          </w:p>
        </w:tc>
      </w:tr>
      <w:tr>
        <w:trPr>
          <w:cantSplit/>
        </w:trPr>
        <w:tc>
          <w:tcPr>
            <w:tcW w:w="2700" w:type="dxa"/>
            <w:tcMar>
              <w:top w:w="30" w:type="dxa"/>
              <w:left w:w="80" w:type="dxa"/>
              <w:bottom w:w="30" w:type="dxa"/>
              <w:right w:w="80" w:type="dxa"/>
            </w:tcMar>
          </w:tcPr>
          <w:p>
            <w:pPr>
              <w:spacing w:after="0"/>
            </w:pPr>
            <w:r>
              <w:rPr>
                <w:sz w:val="20"/>
              </w:rPr>
              <w:t>Opposition intensity</w:t>
            </w:r>
          </w:p>
        </w:tc>
        <w:tc>
          <w:tcPr>
            <w:tcW w:w="2500" w:type="dxa"/>
            <w:tcMar>
              <w:top w:w="30" w:type="dxa"/>
              <w:left w:w="80" w:type="dxa"/>
              <w:bottom w:w="30" w:type="dxa"/>
              <w:right w:w="80" w:type="dxa"/>
            </w:tcMar>
          </w:tcPr>
          <w:p>
            <w:pPr>
              <w:spacing w:after="0"/>
            </w:pPr>
            <w:r>
              <w:rPr>
                <w:b/>
                <w:sz w:val="20"/>
              </w:rPr>
              <w:t>95</w:t>
            </w:r>
            <w:r>
              <w:rPr>
                <w:b/>
                <w:sz w:val="20"/>
                <w:vertAlign w:val="superscript"/>
              </w:rPr>
              <w:t>th</w:t>
            </w:r>
            <w:r>
              <w:rPr>
                <w:b/>
                <w:sz w:val="20"/>
              </w:rPr>
              <w:t xml:space="preserve"> percentile (records); 56</w:t>
            </w:r>
            <w:r>
              <w:rPr>
                <w:b/>
                <w:sz w:val="20"/>
                <w:vertAlign w:val="superscript"/>
              </w:rPr>
              <w:t>th</w:t>
            </w:r>
            <w:r>
              <w:rPr>
                <w:b/>
                <w:sz w:val="20"/>
              </w:rPr>
              <w:t xml:space="preserve"> (per 100,000 residents)</w:t>
            </w:r>
          </w:p>
        </w:tc>
        <w:tc>
          <w:tcPr>
            <w:tcW w:w="4880" w:type="dxa"/>
            <w:tcMar>
              <w:top w:w="30" w:type="dxa"/>
              <w:left w:w="80" w:type="dxa"/>
              <w:bottom w:w="30" w:type="dxa"/>
              <w:right w:w="80" w:type="dxa"/>
            </w:tcMar>
          </w:tcPr>
          <w:p>
            <w:pPr>
              <w:spacing w:after="0"/>
            </w:pPr>
            <w:r>
              <w:rPr>
                <w:sz w:val="20"/>
              </w:rPr>
              <w:t>Two restriction instruments and three contested projects, against all U.S. counties</w:t>
            </w:r>
          </w:p>
        </w:tc>
      </w:tr>
    </w:tbl>
    <w:p>
      <w:pPr>
        <w:spacing w:after="40"/>
      </w:pPr>
    </w:p>
    <w:p>
      <w:pPr>
        <w:spacing w:after="200"/>
      </w:pPr>
      <w:r>
        <w:t>Ratings as of October 16, 2026. The County Restriction Score is a calibrated, cross-validated resemblance measure, not a forecast for any specific project. Opposition intensity counts the records this review added; the platform's published data held one record for Harris on October 13. Scales are defined in "How to Read Hawthorn Intelligence Reports" below.</w:t>
      </w:r>
    </w:p>
    <w:p>
      <w:pPr>
        <w:pStyle w:val="Heading2"/>
        <w:spacing w:before="240" w:after="80"/>
      </w:pPr>
      <w:r>
        <w:t>At a glance</w:t>
      </w:r>
    </w:p>
    <w:p>
      <w:pPr>
        <w:pStyle w:val="ListParagraph"/>
        <w:numPr>
          <w:ilvl w:val="0"/>
          <w:numId w:val="9"/>
        </w:numPr>
        <w:spacing w:after="80"/>
      </w:pPr>
      <w:hyperlink r:id="rId9" w:history="1">
        <w:r>
          <w:rPr>
            <w:rStyle w:val="Hyperlink"/>
          </w:rPr>
          <w:t xml:space="preserve">Population</w:t>
        </w:r>
      </w:hyperlink>
      <w:r>
        <w:t xml:space="preserve"> 5,045,026 (July 2025 estimate) on 1,707 square miles; the most populous county in Texas and third in the nation</w:t>
      </w:r>
    </w:p>
    <w:p>
      <w:pPr>
        <w:pStyle w:val="ListParagraph"/>
        <w:numPr>
          <w:ilvl w:val="0"/>
          <w:numId w:val="9"/>
        </w:numPr>
        <w:spacing w:after="80"/>
      </w:pPr>
      <w:r>
        <w:t>Median household income $74,983; 34.2 percent of adults 25 and older hold a bachelor's degree (ACS 2020-2024)</w:t>
      </w:r>
    </w:p>
    <w:p>
      <w:pPr>
        <w:pStyle w:val="ListParagraph"/>
        <w:numPr>
          <w:ilvl w:val="0"/>
          <w:numId w:val="9"/>
        </w:numPr>
        <w:spacing w:after="80"/>
      </w:pPr>
      <w:hyperlink r:id="rId10" w:history="1">
        <w:r>
          <w:rPr>
            <w:rStyle w:val="Hyperlink"/>
          </w:rPr>
          <w:t xml:space="preserve">2024</w:t>
        </w:r>
      </w:hyperlink>
      <w:r>
        <w:t xml:space="preserve"> Presidential Vote: Kamala Harris 51.9 percent, Trump 46.4 percent</w:t>
      </w:r>
    </w:p>
    <w:p>
      <w:pPr>
        <w:pStyle w:val="ListParagraph"/>
        <w:numPr>
          <w:ilvl w:val="1"/>
          <w:numId w:val="9"/>
        </w:numPr>
        <w:spacing w:after="80"/>
      </w:pPr>
      <w:r>
        <w:t>Partisan trend: the Democratic margin went from 12.3 points in 2016 to 13.3 in 2020, then narrowed to 5.5 in 2024</w:t>
      </w:r>
    </w:p>
    <w:p>
      <w:pPr>
        <w:pStyle w:val="ListParagraph"/>
        <w:numPr>
          <w:ilvl w:val="0"/>
          <w:numId w:val="9"/>
        </w:numPr>
        <w:spacing w:after="80"/>
      </w:pPr>
      <w:r>
        <w:t>Operating storage and solar: 776 MW of batteries at 12 plants and 72 MW of solar (</w:t>
      </w:r>
      <w:hyperlink r:id="rId11" w:history="1">
        <w:r>
          <w:rPr>
            <w:rStyle w:val="Hyperlink"/>
          </w:rPr>
          <w:t xml:space="preserve">EIA-860M, August 2026</w:t>
        </w:r>
      </w:hyperlink>
      <w:r>
        <w:t>); no wind</w:t>
      </w:r>
    </w:p>
    <w:p>
      <w:pPr>
        <w:pStyle w:val="ListParagraph"/>
        <w:numPr>
          <w:ilvl w:val="0"/>
          <w:numId w:val="9"/>
        </w:numPr>
        <w:spacing w:after="80"/>
      </w:pPr>
      <w:r>
        <w:t xml:space="preserve">Interconnection queue: 33 active projects, 28 of them batteries, per ERCOT's September 2026 generation interconnection report as summarized by </w:t>
      </w:r>
      <w:hyperlink r:id="rId12" w:history="1">
        <w:r>
          <w:rPr>
            <w:rStyle w:val="Hyperlink"/>
          </w:rPr>
          <w:t xml:space="preserve">Quicksand Check</w:t>
        </w:r>
      </w:hyperlink>
    </w:p>
    <w:p>
      <w:pPr>
        <w:pStyle w:val="ListParagraph"/>
        <w:numPr>
          <w:ilvl w:val="0"/>
          <w:numId w:val="9"/>
        </w:numPr>
        <w:spacing w:after="80"/>
      </w:pPr>
      <w:r>
        <w:t xml:space="preserve">Grid: CenterPoint Energy Houston Electric expects </w:t>
      </w:r>
      <w:hyperlink r:id="rId13" w:history="1">
        <w:r>
          <w:rPr>
            <w:rStyle w:val="Hyperlink"/>
          </w:rPr>
          <w:t xml:space="preserve">8 GW of data-center load by 2029</w:t>
        </w:r>
      </w:hyperlink>
      <w:r>
        <w:t xml:space="preserve"> and a peak above 30 GW</w:t>
      </w:r>
    </w:p>
    <w:p>
      <w:pPr>
        <w:pStyle w:val="ListParagraph"/>
        <w:numPr>
          <w:ilvl w:val="0"/>
          <w:numId w:val="9"/>
        </w:numPr>
        <w:spacing w:after="80"/>
      </w:pPr>
      <w:r>
        <w:t xml:space="preserve">Enacted restriction: yes, </w:t>
      </w:r>
      <w:hyperlink r:id="rId14" w:history="1">
        <w:r>
          <w:rPr>
            <w:rStyle w:val="Hyperlink"/>
          </w:rPr>
          <w:t xml:space="preserve">Pasadena's moratorium and storage code</w:t>
        </w:r>
      </w:hyperlink>
      <w:r>
        <w:t>, read in the city's minutes</w:t>
      </w:r>
    </w:p>
    <w:p>
      <w:pPr>
        <w:pStyle w:val="Heading1"/>
        <w:spacing w:before="360" w:after="120"/>
      </w:pPr>
      <w:r>
        <w:t>A county where the suburbs set the rules</w:t>
      </w:r>
    </w:p>
    <w:p>
      <w:pPr>
        <w:spacing w:after="200"/>
      </w:pPr>
      <w:r>
        <w:t xml:space="preserve">Harris County has no general zoning power, and the City of Houston famously has none either. The county's own tool is its fire code: the Harris County Fire Marshal's Office requires a </w:t>
      </w:r>
      <w:hyperlink r:id="rId15" w:history="1">
        <w:r>
          <w:rPr>
            <w:rStyle w:val="Hyperlink"/>
          </w:rPr>
          <w:t xml:space="preserve">$300 annual operating permit</w:t>
        </w:r>
      </w:hyperlink>
      <w:r>
        <w:t xml:space="preserve"> for energy-storage systems and amended the county fire code for lithium-ion storage in January and October 2025. It sets no setbacks. In the zoned suburban cities, by contrast, battery storage has gone through the same cycle seen elsewhere in Texas: a pause, a set of rules, and contested permits.</w:t>
      </w:r>
    </w:p>
    <w:p>
      <w:pPr>
        <w:spacing w:after="200"/>
      </w:pPr>
      <w:r>
        <w:t>Pasadena moved first. In October 2024 its council unanimously adopted a 90-day moratorium on commercial battery permits, citing "several inquiries from prospective developers" and fires at battery sites nationwide. It extended the pause unanimously in January 2025 and, on April 1, 2025, replaced it with Article XII of its building code. The code caps sites at five acres, requires 1,500 feet between battery sites, 500 feet from residential property and 1,000 feet from schools, hospitals and other critical facilities, and requires a location within 150 feet of CenterPoint property. It also bars sites in mapped flood zones and requires a special use permit backed by a hazard mitigation analysis, a fire plan and plume modeling.</w:t>
      </w:r>
    </w:p>
    <w:p>
      <w:pPr>
        <w:spacing w:after="200"/>
      </w:pPr>
      <w:r>
        <w:t>This sequence matters because it shows how a city with a heavy-industry tax base still chose to channel storage to utility land rather than ban it. Pasadena's council voted unanimously at every step, with almost no public comment; its rules came from staff and the fire service, not from a protest movement.</w:t>
      </w:r>
    </w:p>
    <w:p>
      <w:pPr>
        <w:pStyle w:val="Heading2"/>
        <w:spacing w:before="240" w:after="80"/>
      </w:pPr>
      <w:r>
        <w:t>Baytown's close votes</w:t>
      </w:r>
    </w:p>
    <w:p>
      <w:pPr>
        <w:spacing w:after="200"/>
      </w:pPr>
      <w:r>
        <w:rPr>
          <w:b/>
        </w:rPr>
        <w:t>Baytown</w:t>
      </w:r>
      <w:r>
        <w:t xml:space="preserve"> is the county's most important test case. The city treats battery storage as an unlisted industrial use and decides each project through rezoning and a special use permit. In August 2025 council approved Cypress Creek Renewables' 100 MW </w:t>
      </w:r>
      <w:r>
        <w:rPr>
          <w:b/>
        </w:rPr>
        <w:t>Massey</w:t>
      </w:r>
      <w:r>
        <w:t xml:space="preserve"> project on about 15 acres after residents raised fire risk, hurricane resilience and proximity to homes, and after Robert Ramos, president of LiUNA Local 350, said the union was weighing a ballot measure against it. Councilman Jacob Powell defended the approval: "We work in the petrochemical industry, and we are constantly doing risk assessments."</w:t>
      </w:r>
    </w:p>
    <w:p>
      <w:pPr>
        <w:spacing w:after="200"/>
      </w:pPr>
      <w:r>
        <w:t xml:space="preserve">In November 2025 the stakes rose. Balanced Rock Power's </w:t>
      </w:r>
      <w:r>
        <w:rPr>
          <w:b/>
        </w:rPr>
        <w:t>Claire</w:t>
      </w:r>
      <w:r>
        <w:t xml:space="preserve"> project, up to 406 MW of batteries on about nine acres zoned Suburban Residential next to a CenterPoint substation, won a 6-2 recommendation from the planning commission after the developer widened setbacks from 40 to more than 200 feet and added a masonry wall, a retention basin and an emergency plan with the fire marshal. Council then approved it on a vote the Baytown Sun reported as 4-3. A resident of the adjacent Country Club View neighborhood called the concentrated power "extremely hazardous."</w:t>
      </w:r>
    </w:p>
    <w:p>
      <w:pPr>
        <w:spacing w:after="200"/>
      </w:pPr>
      <w:r>
        <w:t>For future projects, Claire shows that approval in a zoned suburb is possible but fragile: a large battery in a residential district can pass, but by a single vote, and only after major design concessions.</w:t>
      </w:r>
    </w:p>
    <w:p>
      <w:pPr>
        <w:pStyle w:val="Heading2"/>
        <w:spacing w:before="240" w:after="80"/>
      </w:pPr>
      <w:r>
        <w:t>Other projects</w:t>
      </w:r>
    </w:p>
    <w:p>
      <w:pPr>
        <w:spacing w:after="200"/>
      </w:pPr>
      <w:r>
        <w:rPr>
          <w:b/>
        </w:rPr>
        <w:t>Tomball</w:t>
      </w:r>
      <w:r>
        <w:t xml:space="preserve"> denied a conditional use permit in June 2023 for a battery proposed by Black Mountain Energy Storage on Pitchford Road. Of the property owners notified within 2,000 feet, 11 opposed and 6 supported, and council voted unanimously against it after the mayor said the city was "not ready for this in our 13 square miles." Black Mountain now holds a 201 MW request at Greens Bayou instead.</w:t>
      </w:r>
    </w:p>
    <w:p>
      <w:pPr>
        <w:spacing w:after="200"/>
      </w:pPr>
      <w:r>
        <w:t xml:space="preserve">Inside Houston and the unincorporated county, the large projects have moved without recorded opposition. Jupiter Power's 200 MW </w:t>
      </w:r>
      <w:r>
        <w:rPr>
          <w:b/>
        </w:rPr>
        <w:t>Callisto I</w:t>
      </w:r>
      <w:r>
        <w:t xml:space="preserve"> began operating in August 2024 at the former H.O. Clarke plant site, with Callisto II (400 MW) and Pamela Heights I (100 MW) under construction there. Cypress Creek's 200 MW </w:t>
      </w:r>
      <w:r>
        <w:rPr>
          <w:b/>
        </w:rPr>
        <w:t>Destiny</w:t>
      </w:r>
      <w:r>
        <w:t xml:space="preserve"> and the 204 MW </w:t>
      </w:r>
      <w:r>
        <w:rPr>
          <w:b/>
        </w:rPr>
        <w:t>Citadel</w:t>
      </w:r>
      <w:r>
        <w:t xml:space="preserve"> batteries operate near Crosby, and X-Elio's </w:t>
      </w:r>
      <w:r>
        <w:rPr>
          <w:b/>
        </w:rPr>
        <w:t>Liberty</w:t>
      </w:r>
      <w:r>
        <w:t xml:space="preserve"> hybrid pairs 67 MW of solar with 65 MW of storage on the Liberty County line. AES has two requests of about 408 MW each at the former Deepwater plant in the Pasadena area, </w:t>
      </w:r>
      <w:r>
        <w:rPr>
          <w:b/>
        </w:rPr>
        <w:t>Beacon</w:t>
      </w:r>
      <w:r>
        <w:t xml:space="preserve"> and </w:t>
      </w:r>
      <w:r>
        <w:rPr>
          <w:b/>
        </w:rPr>
        <w:t>Sigma</w:t>
      </w:r>
      <w:r>
        <w:t>, still in study; whether they fall inside Pasadena's limits, and so under its five-acre cap, is not established in the public record.</w:t>
      </w:r>
    </w:p>
    <w:p>
      <w:pPr>
        <w:pStyle w:val="Heading2"/>
        <w:spacing w:before="240" w:after="80"/>
      </w:pPr>
      <w:r>
        <w:t>Organized Opposition</w:t>
      </w:r>
    </w:p>
    <w:p>
      <w:pPr>
        <w:spacing w:after="200"/>
      </w:pPr>
      <w:r>
        <w:t>Opposition in Harris has been local, project-specific and largely unorganized. We found no named resident group, Facebook group or petition aimed at a Harris County project. The objections on record came from neighbors notified of special use permits in Baytown and Tomball, and from LiUNA Local 350, a labor union, in Baytown. Pasadena's hearings drew two speakers in total.</w:t>
      </w:r>
    </w:p>
    <w:p>
      <w:pPr>
        <w:spacing w:after="200"/>
      </w:pPr>
      <w:r>
        <w:t xml:space="preserve">The organized campaigns are next door. In League City (Galveston County), neighbors of an elementary school gathered more than 700 signatures against a 200 MW Cypress Creek project in 2024, and the city paused storage and then adopted an ordinance. In Katy, just across the line in Waller County, the city denied Vesper Energy's 500 MW Ochoa project near Katy High School in October 2024. The developer asked the state utility commission to override the city, ERCOT intervened, and Vesper withdrew in July 2026. Statewide, the Republican Party of Texas adopted a </w:t>
      </w:r>
      <w:hyperlink r:id="rId16" w:history="1">
        <w:r>
          <w:rPr>
            <w:rStyle w:val="Hyperlink"/>
          </w:rPr>
          <w:t xml:space="preserve">resolution</w:t>
        </w:r>
      </w:hyperlink>
      <w:r>
        <w:t xml:space="preserve"> in March 2025 calling for limits on battery storage.</w:t>
      </w:r>
    </w:p>
    <w:p>
      <w:pPr>
        <w:spacing w:after="200"/>
      </w:pPr>
      <w:r>
        <w:t>That environment increases uncertainty for applicants in Harris's zoned suburbs. Even a project that meets a city's code may face a close vote if residents see it as a fire or plume risk near homes and schools.</w:t>
      </w:r>
    </w:p>
    <w:p>
      <w:pPr>
        <w:pStyle w:val="Heading2"/>
        <w:spacing w:before="240" w:after="80"/>
      </w:pPr>
      <w:r>
        <w:t>What to watch next</w:t>
      </w:r>
    </w:p>
    <w:p>
      <w:pPr>
        <w:spacing w:after="200"/>
      </w:pPr>
      <w:r>
        <w:t>Several developments will shape Harris's near-term outlook:</w:t>
      </w:r>
    </w:p>
    <w:p>
      <w:pPr>
        <w:pStyle w:val="ListParagraph"/>
        <w:numPr>
          <w:ilvl w:val="0"/>
          <w:numId w:val="9"/>
        </w:numPr>
        <w:spacing w:after="80"/>
      </w:pPr>
      <w:r>
        <w:t>The Texas Department of Insurance's fire-safety rules under HB 3824, still an informal draft, and how its limit on "inconsistent" local rules is read against codes like Pasadena's.</w:t>
      </w:r>
    </w:p>
    <w:p>
      <w:pPr>
        <w:pStyle w:val="ListParagraph"/>
        <w:numPr>
          <w:ilvl w:val="0"/>
          <w:numId w:val="9"/>
        </w:numPr>
        <w:spacing w:after="80"/>
      </w:pPr>
      <w:r>
        <w:t>The 90th Legislature, which convenes in January 2027, where a state permit for renewable plants and battery setbacks are expected to return.</w:t>
      </w:r>
    </w:p>
    <w:p>
      <w:pPr>
        <w:pStyle w:val="ListParagraph"/>
        <w:numPr>
          <w:ilvl w:val="0"/>
          <w:numId w:val="9"/>
        </w:numPr>
        <w:spacing w:after="80"/>
      </w:pPr>
      <w:r>
        <w:t>Construction of Baytown's Claire (planned for December 2027) and Massey (January 2028) projects, and any union-backed ballot measure.</w:t>
      </w:r>
    </w:p>
    <w:p>
      <w:pPr>
        <w:pStyle w:val="ListParagraph"/>
        <w:numPr>
          <w:ilvl w:val="0"/>
          <w:numId w:val="9"/>
        </w:numPr>
        <w:spacing w:after="80"/>
      </w:pPr>
      <w:r>
        <w:t>How AES's Deepwater batteries are sited relative to Pasadena's code.</w:t>
      </w:r>
    </w:p>
    <w:p>
      <w:pPr>
        <w:pStyle w:val="ListParagraph"/>
        <w:numPr>
          <w:ilvl w:val="0"/>
          <w:numId w:val="9"/>
        </w:numPr>
        <w:spacing w:after="80"/>
      </w:pPr>
      <w:r>
        <w:t>The November 3 county judge race and the new Commissioners Court in January 2027.</w:t>
      </w:r>
    </w:p>
    <w:p>
      <w:pPr>
        <w:spacing w:after="200"/>
      </w:pPr>
      <w:r>
        <w:t>Harris's experience shows that a big, unzoned market can stay open to storage while its suburbs tighten. The county's grid position and industrial land remain valuable advantages. But applicants should assume that acceptance near neighborhoods will depend on more than grid-reliability claims. Projects will need to address fire and plume risk, setbacks from homes and schools, flood exposure, and the credibility of emergency planning.</w:t>
      </w:r>
    </w:p>
    <w:p>
      <w:pPr>
        <w:pStyle w:val="Heading1"/>
        <w:spacing w:before="360" w:after="120"/>
      </w:pPr>
      <w:r>
        <w:t>Hawthorn Intelligence Appendix</w:t>
      </w:r>
    </w:p>
    <w:p>
      <w:pPr>
        <w:spacing w:after="200"/>
      </w:pPr>
      <w:r>
        <w:rPr>
          <w:b/>
        </w:rPr>
        <w:t>Restriction score:</w:t>
      </w:r>
      <w:r>
        <w:t xml:space="preserve"> </w:t>
      </w:r>
      <w:r>
        <w:rPr>
          <w:i/>
        </w:rPr>
        <w:t>0.36/1</w:t>
      </w:r>
      <w:r>
        <w:rPr>
          <w:rStyle w:val="FootnoteReference"/>
        </w:rPr>
        <w:footnoteReference w:id="1"/>
      </w:r>
    </w:p>
    <w:p>
      <w:pPr>
        <w:spacing w:after="200"/>
      </w:pPr>
      <w:r>
        <w:t>Harris sits in the 78</w:t>
      </w:r>
      <w:r>
        <w:rPr>
          <w:vertAlign w:val="superscript"/>
        </w:rPr>
        <w:t>th</w:t>
      </w:r>
      <w:r>
        <w:t xml:space="preserve"> percentile nationally and the 93</w:t>
      </w:r>
      <w:r>
        <w:rPr>
          <w:vertAlign w:val="superscript"/>
        </w:rPr>
        <w:t>rd</w:t>
      </w:r>
      <w:r>
        <w:t xml:space="preserve"> in Texas, and in the 51</w:t>
      </w:r>
      <w:r>
        <w:rPr>
          <w:vertAlign w:val="superscript"/>
        </w:rPr>
        <w:t>st</w:t>
      </w:r>
      <w:r>
        <w:t xml:space="preserve"> percentile among the 747 counties with a severe restriction on record. The model scores five county traits (population, median household income, operating wind capacity, megawatts of wind, solar and storage requested in interconnection queues, and the share of neighboring counties with a severe restriction) and measures resemblance to counties that have restricted wind, solar or battery storage.</w:t>
      </w:r>
      <w:r>
        <w:rPr>
          <w:rStyle w:val="FootnoteReference"/>
        </w:rPr>
        <w:footnoteReference w:id="2"/>
      </w:r>
      <w:r>
        <w:t xml:space="preserve"> Within Texas, Harris ranks 18</w:t>
      </w:r>
      <w:r>
        <w:rPr>
          <w:vertAlign w:val="superscript"/>
        </w:rPr>
        <w:t>th</w:t>
      </w:r>
      <w:r>
        <w:t xml:space="preserve"> of 254 counties, behind Tarrant (0.81), Denton (0.73) and Fort Bend (0.72); the Texas median is 0.13.</w:t>
      </w:r>
    </w:p>
    <w:p>
      <w:pPr>
        <w:spacing w:after="200"/>
      </w:pPr>
      <w:r>
        <w:rPr>
          <w:b/>
        </w:rPr>
        <w:t>Scale</w:t>
      </w:r>
    </w:p>
    <w:p>
      <w:pPr>
        <w:spacing w:after="200"/>
      </w:pPr>
      <w:r>
        <w:t>The County Restriction Score comes from Hawthorn's county model, a regularized logistic regression selected by a pre-registered stability rule from nine candidate traits and validated with five-fold cross-validation repeated five times. Every county is scored out of fold, and a cross-fitted recalibration layer keeps scores aligned with observed rates (calibration slope 0.99). The scale sorts all 3,144 counties into ten equal deciles; the share of counties with a severe restriction climbs from 3.5 percent in the lowest decile to 65 percent in the highest. Harris sits in the eighth.</w:t>
      </w:r>
    </w:p>
    <w:p>
      <w:pPr>
        <w:keepNext/>
        <w:spacing w:before="120" w:after="80"/>
      </w:pPr>
      <w:r>
        <w:rPr>
          <w:b/>
          <w:i/>
        </w:rPr>
        <w:t xml:space="preserve">Table 1 </w:t>
      </w:r>
      <w:r>
        <w:rPr>
          <w:i/>
        </w:rPr>
        <w:t>Hawthorn Intelligence Restriction Scale</w:t>
      </w:r>
      <w:r>
        <w:rPr>
          <w:rStyle w:val="FootnoteReference"/>
        </w:rPr>
        <w:footnoteReference w:id="3"/>
      </w:r>
    </w:p>
    <w:tbl>
      <w:tblPr>
        <w:tblStyle w:val="TableNormal"/>
        <w:tblW w:w="10080" w:type="dxa"/>
        <w:tblLayout w:type="fixed"/>
        <w:tblLook w:val="04A0" w:firstRow="1" w:lastRow="0" w:firstColumn="1" w:lastColumn="0" w:noHBand="0" w:noVBand="1"/>
      </w:tblPr>
      <w:tblGrid>
        <w:gridCol w:w="2000"/>
        <w:gridCol w:w="2600"/>
        <w:gridCol w:w="1600"/>
        <w:gridCol w:w="3880"/>
      </w:tblGrid>
      <w:tr>
        <w:trPr>
          <w:cantSplit/>
          <w:tblHeader/>
        </w:trPr>
        <w:tc>
          <w:tcPr>
            <w:tcW w:w="200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Decile</w:t>
            </w:r>
          </w:p>
        </w:tc>
        <w:tc>
          <w:tcPr>
            <w:tcW w:w="260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Score range</w:t>
            </w:r>
          </w:p>
        </w:tc>
        <w:tc>
          <w:tcPr>
            <w:tcW w:w="160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Counties</w:t>
            </w:r>
          </w:p>
        </w:tc>
        <w:tc>
          <w:tcPr>
            <w:tcW w:w="388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Share with a severe restriction</w:t>
            </w:r>
          </w:p>
        </w:tc>
      </w:tr>
      <w:tr>
        <w:trPr>
          <w:cantSplit/>
        </w:trPr>
        <w:tc>
          <w:tcPr>
            <w:tcW w:w="2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1 (lowest)</w:t>
            </w:r>
          </w:p>
        </w:tc>
        <w:tc>
          <w:tcPr>
            <w:tcW w:w="2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0.015 to 0.063</w:t>
            </w:r>
          </w:p>
        </w:tc>
        <w:tc>
          <w:tcPr>
            <w:tcW w:w="1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315</w:t>
            </w:r>
          </w:p>
        </w:tc>
        <w:tc>
          <w:tcPr>
            <w:tcW w:w="38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3.5%</w:t>
            </w:r>
          </w:p>
        </w:tc>
      </w:tr>
      <w:tr>
        <w:trPr>
          <w:cantSplit/>
        </w:trPr>
        <w:tc>
          <w:tcPr>
            <w:tcW w:w="2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2</w:t>
            </w:r>
          </w:p>
        </w:tc>
        <w:tc>
          <w:tcPr>
            <w:tcW w:w="2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0.063 to 0.083</w:t>
            </w:r>
          </w:p>
        </w:tc>
        <w:tc>
          <w:tcPr>
            <w:tcW w:w="1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314</w:t>
            </w:r>
          </w:p>
        </w:tc>
        <w:tc>
          <w:tcPr>
            <w:tcW w:w="38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6.4%</w:t>
            </w:r>
          </w:p>
        </w:tc>
      </w:tr>
      <w:tr>
        <w:trPr>
          <w:cantSplit/>
        </w:trPr>
        <w:tc>
          <w:tcPr>
            <w:tcW w:w="2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3</w:t>
            </w:r>
          </w:p>
        </w:tc>
        <w:tc>
          <w:tcPr>
            <w:tcW w:w="2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0.083 to 0.105</w:t>
            </w:r>
          </w:p>
        </w:tc>
        <w:tc>
          <w:tcPr>
            <w:tcW w:w="1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314</w:t>
            </w:r>
          </w:p>
        </w:tc>
        <w:tc>
          <w:tcPr>
            <w:tcW w:w="38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7.0%</w:t>
            </w:r>
          </w:p>
        </w:tc>
      </w:tr>
      <w:tr>
        <w:trPr>
          <w:cantSplit/>
        </w:trPr>
        <w:tc>
          <w:tcPr>
            <w:tcW w:w="2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4</w:t>
            </w:r>
          </w:p>
        </w:tc>
        <w:tc>
          <w:tcPr>
            <w:tcW w:w="2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0.105 to 0.131</w:t>
            </w:r>
          </w:p>
        </w:tc>
        <w:tc>
          <w:tcPr>
            <w:tcW w:w="1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315</w:t>
            </w:r>
          </w:p>
        </w:tc>
        <w:tc>
          <w:tcPr>
            <w:tcW w:w="38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13.3%</w:t>
            </w:r>
          </w:p>
        </w:tc>
      </w:tr>
      <w:tr>
        <w:trPr>
          <w:cantSplit/>
        </w:trPr>
        <w:tc>
          <w:tcPr>
            <w:tcW w:w="2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5</w:t>
            </w:r>
          </w:p>
        </w:tc>
        <w:tc>
          <w:tcPr>
            <w:tcW w:w="2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0.131 to 0.164</w:t>
            </w:r>
          </w:p>
        </w:tc>
        <w:tc>
          <w:tcPr>
            <w:tcW w:w="1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314</w:t>
            </w:r>
          </w:p>
        </w:tc>
        <w:tc>
          <w:tcPr>
            <w:tcW w:w="38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15.9%</w:t>
            </w:r>
          </w:p>
        </w:tc>
      </w:tr>
      <w:tr>
        <w:trPr>
          <w:cantSplit/>
        </w:trPr>
        <w:tc>
          <w:tcPr>
            <w:tcW w:w="2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6</w:t>
            </w:r>
          </w:p>
        </w:tc>
        <w:tc>
          <w:tcPr>
            <w:tcW w:w="2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0.164 to 0.210</w:t>
            </w:r>
          </w:p>
        </w:tc>
        <w:tc>
          <w:tcPr>
            <w:tcW w:w="1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314</w:t>
            </w:r>
          </w:p>
        </w:tc>
        <w:tc>
          <w:tcPr>
            <w:tcW w:w="38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20.4%</w:t>
            </w:r>
          </w:p>
        </w:tc>
      </w:tr>
      <w:tr>
        <w:trPr>
          <w:cantSplit/>
        </w:trPr>
        <w:tc>
          <w:tcPr>
            <w:tcW w:w="2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7</w:t>
            </w:r>
          </w:p>
        </w:tc>
        <w:tc>
          <w:tcPr>
            <w:tcW w:w="2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0.210 to 0.279</w:t>
            </w:r>
          </w:p>
        </w:tc>
        <w:tc>
          <w:tcPr>
            <w:tcW w:w="1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315</w:t>
            </w:r>
          </w:p>
        </w:tc>
        <w:tc>
          <w:tcPr>
            <w:tcW w:w="38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28.3%</w:t>
            </w:r>
          </w:p>
        </w:tc>
      </w:tr>
      <w:tr>
        <w:trPr>
          <w:cantSplit/>
        </w:trPr>
        <w:tc>
          <w:tcPr>
            <w:tcW w:w="2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b/>
                <w:sz w:val="18"/>
              </w:rPr>
              <w:t>8: Harris</w:t>
            </w:r>
          </w:p>
        </w:tc>
        <w:tc>
          <w:tcPr>
            <w:tcW w:w="2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b/>
                <w:sz w:val="18"/>
              </w:rPr>
              <w:t>0.280 to 0.386</w:t>
            </w:r>
          </w:p>
        </w:tc>
        <w:tc>
          <w:tcPr>
            <w:tcW w:w="1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b/>
                <w:sz w:val="18"/>
              </w:rPr>
              <w:t>314</w:t>
            </w:r>
          </w:p>
        </w:tc>
        <w:tc>
          <w:tcPr>
            <w:tcW w:w="38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b/>
                <w:sz w:val="18"/>
              </w:rPr>
              <w:t>33.4%</w:t>
            </w:r>
          </w:p>
        </w:tc>
      </w:tr>
      <w:tr>
        <w:trPr>
          <w:cantSplit/>
        </w:trPr>
        <w:tc>
          <w:tcPr>
            <w:tcW w:w="2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9</w:t>
            </w:r>
          </w:p>
        </w:tc>
        <w:tc>
          <w:tcPr>
            <w:tcW w:w="2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0.386 to 0.546</w:t>
            </w:r>
          </w:p>
        </w:tc>
        <w:tc>
          <w:tcPr>
            <w:tcW w:w="1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314</w:t>
            </w:r>
          </w:p>
        </w:tc>
        <w:tc>
          <w:tcPr>
            <w:tcW w:w="38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44.3%</w:t>
            </w:r>
          </w:p>
        </w:tc>
      </w:tr>
      <w:tr>
        <w:trPr>
          <w:cantSplit/>
        </w:trPr>
        <w:tc>
          <w:tcPr>
            <w:tcW w:w="2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10 (highest)</w:t>
            </w:r>
          </w:p>
        </w:tc>
        <w:tc>
          <w:tcPr>
            <w:tcW w:w="2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0.546 to 0.930</w:t>
            </w:r>
          </w:p>
        </w:tc>
        <w:tc>
          <w:tcPr>
            <w:tcW w:w="1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315</w:t>
            </w:r>
          </w:p>
        </w:tc>
        <w:tc>
          <w:tcPr>
            <w:tcW w:w="38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65.1%</w:t>
            </w:r>
          </w:p>
        </w:tc>
      </w:tr>
    </w:tbl>
    <w:p>
      <w:pPr>
        <w:spacing w:after="40"/>
      </w:pPr>
    </w:p>
    <w:p>
      <w:pPr>
        <w:keepNext/>
        <w:spacing w:before="120" w:after="80"/>
      </w:pPr>
      <w:r>
        <w:rPr>
          <w:b/>
          <w:i/>
        </w:rPr>
        <w:t xml:space="preserve">Table 2 </w:t>
      </w:r>
      <w:r>
        <w:rPr>
          <w:i/>
        </w:rPr>
        <w:t>Harris against national, state and peer benchmarks</w:t>
      </w:r>
      <w:r>
        <w:rPr>
          <w:rStyle w:val="FootnoteReference"/>
        </w:rPr>
        <w:footnoteReference w:id="4"/>
      </w:r>
    </w:p>
    <w:tbl>
      <w:tblPr>
        <w:tblStyle w:val="TableNormal"/>
        <w:tblW w:w="10080" w:type="dxa"/>
        <w:tblLayout w:type="fixed"/>
        <w:tblLook w:val="04A0" w:firstRow="1" w:lastRow="0" w:firstColumn="1" w:lastColumn="0" w:noHBand="0" w:noVBand="1"/>
      </w:tblPr>
      <w:tblGrid>
        <w:gridCol w:w="3280"/>
        <w:gridCol w:w="1700"/>
        <w:gridCol w:w="1700"/>
        <w:gridCol w:w="1700"/>
        <w:gridCol w:w="1700"/>
      </w:tblGrid>
      <w:tr>
        <w:trPr>
          <w:cantSplit/>
          <w:tblHeader/>
        </w:trPr>
        <w:tc>
          <w:tcPr>
            <w:tcW w:w="328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Measure</w:t>
            </w:r>
          </w:p>
        </w:tc>
        <w:tc>
          <w:tcPr>
            <w:tcW w:w="170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Harris</w:t>
            </w:r>
          </w:p>
        </w:tc>
        <w:tc>
          <w:tcPr>
            <w:tcW w:w="170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U.S. percentile</w:t>
            </w:r>
          </w:p>
        </w:tc>
        <w:tc>
          <w:tcPr>
            <w:tcW w:w="170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TX percentile</w:t>
            </w:r>
          </w:p>
        </w:tc>
        <w:tc>
          <w:tcPr>
            <w:tcW w:w="170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Peer median</w:t>
            </w:r>
          </w:p>
        </w:tc>
      </w:tr>
      <w:tr>
        <w:trPr>
          <w:cantSplit/>
        </w:trPr>
        <w:tc>
          <w:tcPr>
            <w:tcW w:w="32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Restriction score</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0.36</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78</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93</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0.39</w:t>
            </w:r>
          </w:p>
        </w:tc>
      </w:tr>
      <w:tr>
        <w:trPr>
          <w:cantSplit/>
        </w:trPr>
        <w:tc>
          <w:tcPr>
            <w:tcW w:w="32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Opposition records (this review)</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5</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95</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100</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1</w:t>
            </w:r>
          </w:p>
        </w:tc>
      </w:tr>
      <w:tr>
        <w:trPr>
          <w:cantSplit/>
        </w:trPr>
        <w:tc>
          <w:tcPr>
            <w:tcW w:w="32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Records per 100,000 residents</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0.1</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56</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82</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0.0</w:t>
            </w:r>
          </w:p>
        </w:tc>
      </w:tr>
      <w:tr>
        <w:trPr>
          <w:cantSplit/>
        </w:trPr>
        <w:tc>
          <w:tcPr>
            <w:tcW w:w="32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Interconnection requests, MW (model input)</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7,779</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97</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96</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2,679</w:t>
            </w:r>
          </w:p>
        </w:tc>
      </w:tr>
      <w:tr>
        <w:trPr>
          <w:cantSplit/>
        </w:trPr>
        <w:tc>
          <w:tcPr>
            <w:tcW w:w="32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Operating solar, MW</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136</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89</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73</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125</w:t>
            </w:r>
          </w:p>
        </w:tc>
      </w:tr>
      <w:tr>
        <w:trPr>
          <w:cantSplit/>
        </w:trPr>
        <w:tc>
          <w:tcPr>
            <w:tcW w:w="32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Operating wind, MW</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41</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32</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w:t>
            </w:r>
          </w:p>
        </w:tc>
      </w:tr>
      <w:tr>
        <w:trPr>
          <w:cantSplit/>
        </w:trPr>
        <w:tc>
          <w:tcPr>
            <w:tcW w:w="32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Population (model input)</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4,838,303</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100</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100</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2,117,366</w:t>
            </w:r>
          </w:p>
        </w:tc>
      </w:tr>
      <w:tr>
        <w:trPr>
          <w:cantSplit/>
        </w:trPr>
        <w:tc>
          <w:tcPr>
            <w:tcW w:w="32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Residents per square mile</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2,834</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99</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99</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1,659</w:t>
            </w:r>
          </w:p>
        </w:tc>
      </w:tr>
      <w:tr>
        <w:trPr>
          <w:cantSplit/>
        </w:trPr>
        <w:tc>
          <w:tcPr>
            <w:tcW w:w="32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Median household income</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$74,983</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73</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80</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$79,630</w:t>
            </w:r>
          </w:p>
        </w:tc>
      </w:tr>
      <w:tr>
        <w:trPr>
          <w:cantSplit/>
        </w:trPr>
        <w:tc>
          <w:tcPr>
            <w:tcW w:w="32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Bachelor's degree or higher</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34.2%</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84</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91</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35.9%</w:t>
            </w:r>
          </w:p>
        </w:tc>
      </w:tr>
      <w:tr>
        <w:trPr>
          <w:cantSplit/>
        </w:trPr>
        <w:tc>
          <w:tcPr>
            <w:tcW w:w="32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2024 presidential margin</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D+5.5</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88</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96</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D+11.7</w:t>
            </w:r>
          </w:p>
        </w:tc>
      </w:tr>
    </w:tbl>
    <w:p>
      <w:pPr>
        <w:spacing w:after="40"/>
      </w:pPr>
    </w:p>
    <w:p>
      <w:pPr>
        <w:spacing w:after="200"/>
      </w:pPr>
      <w:r>
        <w:t>Benchmarked to the average U.S. county, Harris's population and its interconnection queue account for about two-thirds of the movement in its score. Its neighbors pull the other way: only one of seven carries a severe restriction on record. Its partisan margin, near the top of the national range for Democratic lean, contributes nothing, because the 2024 margin did not keep a stable sign across the model's cross-validation folds and was dropped.</w:t>
      </w:r>
    </w:p>
    <w:p>
      <w:pPr>
        <w:keepNext/>
        <w:spacing w:before="120" w:after="80"/>
      </w:pPr>
      <w:r>
        <w:rPr>
          <w:b/>
          <w:i/>
        </w:rPr>
        <w:t xml:space="preserve">Table 3 </w:t>
      </w:r>
      <w:r>
        <w:rPr>
          <w:i/>
        </w:rPr>
        <w:t>Contribution of each model trait to Harris's score</w:t>
      </w:r>
      <w:r>
        <w:rPr>
          <w:rStyle w:val="FootnoteReference"/>
        </w:rPr>
        <w:footnoteReference w:id="5"/>
      </w:r>
    </w:p>
    <w:tbl>
      <w:tblPr>
        <w:tblStyle w:val="TableNormal"/>
        <w:tblW w:w="10080" w:type="dxa"/>
        <w:tblLayout w:type="fixed"/>
        <w:tblLook w:val="04A0" w:firstRow="1" w:lastRow="0" w:firstColumn="1" w:lastColumn="0" w:noHBand="0" w:noVBand="1"/>
      </w:tblPr>
      <w:tblGrid>
        <w:gridCol w:w="2600"/>
        <w:gridCol w:w="2000"/>
        <w:gridCol w:w="1500"/>
        <w:gridCol w:w="900"/>
        <w:gridCol w:w="1400"/>
        <w:gridCol w:w="1680"/>
      </w:tblGrid>
      <w:tr>
        <w:trPr>
          <w:cantSplit/>
          <w:tblHeader/>
        </w:trPr>
        <w:tc>
          <w:tcPr>
            <w:tcW w:w="260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County trait</w:t>
            </w:r>
          </w:p>
        </w:tc>
        <w:tc>
          <w:tcPr>
            <w:tcW w:w="200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Harris (U.S. average)</w:t>
            </w:r>
          </w:p>
        </w:tc>
        <w:tc>
          <w:tcPr>
            <w:tcW w:w="150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Model direction</w:t>
            </w:r>
          </w:p>
        </w:tc>
        <w:tc>
          <w:tcPr>
            <w:tcW w:w="90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Trust tier</w:t>
            </w:r>
          </w:p>
        </w:tc>
        <w:tc>
          <w:tcPr>
            <w:tcW w:w="140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Lift (log-odds)</w:t>
            </w:r>
          </w:p>
        </w:tc>
        <w:tc>
          <w:tcPr>
            <w:tcW w:w="168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Share of movement</w:t>
            </w:r>
          </w:p>
        </w:tc>
      </w:tr>
      <w:tr>
        <w:trPr>
          <w:cantSplit/>
        </w:trPr>
        <w:tc>
          <w:tcPr>
            <w:tcW w:w="2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Population</w:t>
            </w:r>
          </w:p>
        </w:tc>
        <w:tc>
          <w:tcPr>
            <w:tcW w:w="2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4,838,303 (28,995)</w:t>
            </w:r>
          </w:p>
        </w:tc>
        <w:tc>
          <w:tcPr>
            <w:tcW w:w="1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Higher raises score</w:t>
            </w:r>
          </w:p>
        </w:tc>
        <w:tc>
          <w:tcPr>
            <w:tcW w:w="9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3</w:t>
            </w:r>
          </w:p>
        </w:tc>
        <w:tc>
          <w:tcPr>
            <w:tcW w:w="14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+0.59</w:t>
            </w:r>
          </w:p>
        </w:tc>
        <w:tc>
          <w:tcPr>
            <w:tcW w:w="16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47%</w:t>
            </w:r>
          </w:p>
        </w:tc>
      </w:tr>
      <w:tr>
        <w:trPr>
          <w:cantSplit/>
        </w:trPr>
        <w:tc>
          <w:tcPr>
            <w:tcW w:w="2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Interconnection requests (MW)</w:t>
            </w:r>
          </w:p>
        </w:tc>
        <w:tc>
          <w:tcPr>
            <w:tcW w:w="2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7,779 (177)</w:t>
            </w:r>
          </w:p>
        </w:tc>
        <w:tc>
          <w:tcPr>
            <w:tcW w:w="1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Higher raises score</w:t>
            </w:r>
          </w:p>
        </w:tc>
        <w:tc>
          <w:tcPr>
            <w:tcW w:w="9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1</w:t>
            </w:r>
          </w:p>
        </w:tc>
        <w:tc>
          <w:tcPr>
            <w:tcW w:w="14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+0.26</w:t>
            </w:r>
          </w:p>
        </w:tc>
        <w:tc>
          <w:tcPr>
            <w:tcW w:w="16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21%</w:t>
            </w:r>
          </w:p>
        </w:tc>
      </w:tr>
      <w:tr>
        <w:trPr>
          <w:cantSplit/>
        </w:trPr>
        <w:tc>
          <w:tcPr>
            <w:tcW w:w="2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Neighbors with a severe restriction</w:t>
            </w:r>
          </w:p>
        </w:tc>
        <w:tc>
          <w:tcPr>
            <w:tcW w:w="2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14% (24%)</w:t>
            </w:r>
          </w:p>
        </w:tc>
        <w:tc>
          <w:tcPr>
            <w:tcW w:w="1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Higher raises score</w:t>
            </w:r>
          </w:p>
        </w:tc>
        <w:tc>
          <w:tcPr>
            <w:tcW w:w="9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2</w:t>
            </w:r>
          </w:p>
        </w:tc>
        <w:tc>
          <w:tcPr>
            <w:tcW w:w="14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-0.25</w:t>
            </w:r>
          </w:p>
        </w:tc>
        <w:tc>
          <w:tcPr>
            <w:tcW w:w="16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20%</w:t>
            </w:r>
          </w:p>
        </w:tc>
      </w:tr>
      <w:tr>
        <w:trPr>
          <w:cantSplit/>
        </w:trPr>
        <w:tc>
          <w:tcPr>
            <w:tcW w:w="2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Median household income</w:t>
            </w:r>
          </w:p>
        </w:tc>
        <w:tc>
          <w:tcPr>
            <w:tcW w:w="2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$74,983 ($65,870)</w:t>
            </w:r>
          </w:p>
        </w:tc>
        <w:tc>
          <w:tcPr>
            <w:tcW w:w="1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Higher raises score</w:t>
            </w:r>
          </w:p>
        </w:tc>
        <w:tc>
          <w:tcPr>
            <w:tcW w:w="9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3</w:t>
            </w:r>
          </w:p>
        </w:tc>
        <w:tc>
          <w:tcPr>
            <w:tcW w:w="14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+0.12</w:t>
            </w:r>
          </w:p>
        </w:tc>
        <w:tc>
          <w:tcPr>
            <w:tcW w:w="16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9%</w:t>
            </w:r>
          </w:p>
        </w:tc>
      </w:tr>
      <w:tr>
        <w:trPr>
          <w:cantSplit/>
        </w:trPr>
        <w:tc>
          <w:tcPr>
            <w:tcW w:w="26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Operating wind capacity</w:t>
            </w:r>
          </w:p>
        </w:tc>
        <w:tc>
          <w:tcPr>
            <w:tcW w:w="2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0 (1.3)</w:t>
            </w:r>
          </w:p>
        </w:tc>
        <w:tc>
          <w:tcPr>
            <w:tcW w:w="1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Higher raises score</w:t>
            </w:r>
          </w:p>
        </w:tc>
        <w:tc>
          <w:tcPr>
            <w:tcW w:w="9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1</w:t>
            </w:r>
          </w:p>
        </w:tc>
        <w:tc>
          <w:tcPr>
            <w:tcW w:w="14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-0.04</w:t>
            </w:r>
          </w:p>
        </w:tc>
        <w:tc>
          <w:tcPr>
            <w:tcW w:w="16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3%</w:t>
            </w:r>
          </w:p>
        </w:tc>
      </w:tr>
    </w:tbl>
    <w:p>
      <w:pPr>
        <w:spacing w:after="40"/>
      </w:pPr>
    </w:p>
    <w:p>
      <w:pPr>
        <w:spacing w:after="200"/>
      </w:pPr>
      <w:r>
        <w:t xml:space="preserve">Harris's record sits in line with its expected risk. Its structural peers, </w:t>
      </w:r>
      <w:r>
        <w:rPr>
          <w:i/>
        </w:rPr>
        <w:t>e.g.,</w:t>
      </w:r>
      <w:r>
        <w:t xml:space="preserve"> other American counties matched on population, density, education and 2024 margin,</w:t>
      </w:r>
      <w:r>
        <w:rPr>
          <w:rStyle w:val="FootnoteReference"/>
        </w:rPr>
        <w:footnoteReference w:id="6"/>
      </w:r>
      <w:r>
        <w:t xml:space="preserve"> have a median score of 0.39, and five of the ten carry a recorded severe restriction. Harris's five records place it in the 95</w:t>
      </w:r>
      <w:r>
        <w:rPr>
          <w:vertAlign w:val="superscript"/>
        </w:rPr>
        <w:t>th</w:t>
      </w:r>
      <w:r>
        <w:t xml:space="preserve"> percentile nationally by count, but spread across five million residents they amount to 0.1 per 100,000, the 56</w:t>
      </w:r>
      <w:r>
        <w:rPr>
          <w:vertAlign w:val="superscript"/>
        </w:rPr>
        <w:t>th</w:t>
      </w:r>
      <w:r>
        <w:t xml:space="preserve"> percentile.</w:t>
      </w:r>
    </w:p>
    <w:p>
      <w:pPr>
        <w:spacing w:after="200"/>
      </w:pPr>
      <w:r>
        <w:rPr>
          <w:b/>
        </w:rPr>
        <w:t>Comparable outcomes:</w:t>
      </w:r>
      <w:r>
        <w:t xml:space="preserve"> The platform records few decided contested projects in Texas, and those it holds are mostly rural wind and solar fights. In the Houston region, battery outcomes have split: Tomball (2023) and Katy (2024, in Waller County) denied projects near homes; Baytown (2025) and League City (2024 to 2025) approved projects with conditions; and the large industrial-site projects in Houston and unincorporated Harris advanced without a recorded fight. Only 7 of 575 contested projects nationally carry a date finer than a year, so we do not report decision timelines for renewables.</w:t>
      </w:r>
    </w:p>
    <w:p>
      <w:pPr>
        <w:keepNext/>
        <w:spacing w:before="120" w:after="80"/>
      </w:pPr>
      <w:r>
        <w:rPr>
          <w:b/>
          <w:i/>
        </w:rPr>
        <w:t xml:space="preserve">Table 4 </w:t>
      </w:r>
      <w:r>
        <w:rPr>
          <w:i/>
        </w:rPr>
        <w:t>Neighboring counties</w:t>
      </w:r>
      <w:r>
        <w:rPr>
          <w:rStyle w:val="FootnoteReference"/>
        </w:rPr>
        <w:footnoteReference w:id="7"/>
      </w:r>
    </w:p>
    <w:tbl>
      <w:tblPr>
        <w:tblStyle w:val="TableNormal"/>
        <w:tblW w:w="10080" w:type="dxa"/>
        <w:tblLayout w:type="fixed"/>
        <w:tblLook w:val="04A0" w:firstRow="1" w:lastRow="0" w:firstColumn="1" w:lastColumn="0" w:noHBand="0" w:noVBand="1"/>
      </w:tblPr>
      <w:tblGrid>
        <w:gridCol w:w="2000"/>
        <w:gridCol w:w="1500"/>
        <w:gridCol w:w="1700"/>
        <w:gridCol w:w="1500"/>
        <w:gridCol w:w="1800"/>
        <w:gridCol w:w="1580"/>
      </w:tblGrid>
      <w:tr>
        <w:trPr>
          <w:cantSplit/>
          <w:tblHeader/>
        </w:trPr>
        <w:tc>
          <w:tcPr>
            <w:tcW w:w="200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Neighboring county</w:t>
            </w:r>
          </w:p>
        </w:tc>
        <w:tc>
          <w:tcPr>
            <w:tcW w:w="150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Restriction score</w:t>
            </w:r>
          </w:p>
        </w:tc>
        <w:tc>
          <w:tcPr>
            <w:tcW w:w="170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Severe restriction on record</w:t>
            </w:r>
          </w:p>
        </w:tc>
        <w:tc>
          <w:tcPr>
            <w:tcW w:w="150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Opposition records</w:t>
            </w:r>
          </w:p>
        </w:tc>
        <w:tc>
          <w:tcPr>
            <w:tcW w:w="180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Interconnection requests, MW</w:t>
            </w:r>
          </w:p>
        </w:tc>
        <w:tc>
          <w:tcPr>
            <w:tcW w:w="158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Population</w:t>
            </w:r>
          </w:p>
        </w:tc>
      </w:tr>
      <w:tr>
        <w:trPr>
          <w:cantSplit/>
        </w:trPr>
        <w:tc>
          <w:tcPr>
            <w:tcW w:w="2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Fort Bend, TX</w:t>
            </w:r>
          </w:p>
        </w:tc>
        <w:tc>
          <w:tcPr>
            <w:tcW w:w="1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0.72</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no</w:t>
            </w:r>
          </w:p>
        </w:tc>
        <w:tc>
          <w:tcPr>
            <w:tcW w:w="1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w:t>
            </w:r>
          </w:p>
        </w:tc>
        <w:tc>
          <w:tcPr>
            <w:tcW w:w="18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4,352</w:t>
            </w:r>
          </w:p>
        </w:tc>
        <w:tc>
          <w:tcPr>
            <w:tcW w:w="15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893,767</w:t>
            </w:r>
          </w:p>
        </w:tc>
      </w:tr>
      <w:tr>
        <w:trPr>
          <w:cantSplit/>
        </w:trPr>
        <w:tc>
          <w:tcPr>
            <w:tcW w:w="2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Montgomery, TX</w:t>
            </w:r>
          </w:p>
        </w:tc>
        <w:tc>
          <w:tcPr>
            <w:tcW w:w="1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0.45</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no</w:t>
            </w:r>
          </w:p>
        </w:tc>
        <w:tc>
          <w:tcPr>
            <w:tcW w:w="1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w:t>
            </w:r>
          </w:p>
        </w:tc>
        <w:tc>
          <w:tcPr>
            <w:tcW w:w="18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623</w:t>
            </w:r>
          </w:p>
        </w:tc>
        <w:tc>
          <w:tcPr>
            <w:tcW w:w="15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684,432</w:t>
            </w:r>
          </w:p>
        </w:tc>
      </w:tr>
      <w:tr>
        <w:trPr>
          <w:cantSplit/>
        </w:trPr>
        <w:tc>
          <w:tcPr>
            <w:tcW w:w="2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Galveston, TX</w:t>
            </w:r>
          </w:p>
        </w:tc>
        <w:tc>
          <w:tcPr>
            <w:tcW w:w="1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0.43</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no</w:t>
            </w:r>
          </w:p>
        </w:tc>
        <w:tc>
          <w:tcPr>
            <w:tcW w:w="1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w:t>
            </w:r>
          </w:p>
        </w:tc>
        <w:tc>
          <w:tcPr>
            <w:tcW w:w="18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3,098</w:t>
            </w:r>
          </w:p>
        </w:tc>
        <w:tc>
          <w:tcPr>
            <w:tcW w:w="15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358,990</w:t>
            </w:r>
          </w:p>
        </w:tc>
      </w:tr>
      <w:tr>
        <w:trPr>
          <w:cantSplit/>
        </w:trPr>
        <w:tc>
          <w:tcPr>
            <w:tcW w:w="2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Brazoria, TX</w:t>
            </w:r>
          </w:p>
        </w:tc>
        <w:tc>
          <w:tcPr>
            <w:tcW w:w="1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0.38</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no</w:t>
            </w:r>
          </w:p>
        </w:tc>
        <w:tc>
          <w:tcPr>
            <w:tcW w:w="1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w:t>
            </w:r>
          </w:p>
        </w:tc>
        <w:tc>
          <w:tcPr>
            <w:tcW w:w="18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15,471</w:t>
            </w:r>
          </w:p>
        </w:tc>
        <w:tc>
          <w:tcPr>
            <w:tcW w:w="15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391,255</w:t>
            </w:r>
          </w:p>
        </w:tc>
      </w:tr>
      <w:tr>
        <w:trPr>
          <w:cantSplit/>
        </w:trPr>
        <w:tc>
          <w:tcPr>
            <w:tcW w:w="2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Chambers, TX</w:t>
            </w:r>
          </w:p>
        </w:tc>
        <w:tc>
          <w:tcPr>
            <w:tcW w:w="1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0.34</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no</w:t>
            </w:r>
          </w:p>
        </w:tc>
        <w:tc>
          <w:tcPr>
            <w:tcW w:w="1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w:t>
            </w:r>
          </w:p>
        </w:tc>
        <w:tc>
          <w:tcPr>
            <w:tcW w:w="18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1,181</w:t>
            </w:r>
          </w:p>
        </w:tc>
        <w:tc>
          <w:tcPr>
            <w:tcW w:w="15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51,498</w:t>
            </w:r>
          </w:p>
        </w:tc>
      </w:tr>
      <w:tr>
        <w:trPr>
          <w:cantSplit/>
        </w:trPr>
        <w:tc>
          <w:tcPr>
            <w:tcW w:w="2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Waller, TX</w:t>
            </w:r>
          </w:p>
        </w:tc>
        <w:tc>
          <w:tcPr>
            <w:tcW w:w="1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0.34</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yes</w:t>
            </w:r>
          </w:p>
        </w:tc>
        <w:tc>
          <w:tcPr>
            <w:tcW w:w="1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1</w:t>
            </w:r>
          </w:p>
        </w:tc>
        <w:tc>
          <w:tcPr>
            <w:tcW w:w="18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2,275</w:t>
            </w:r>
          </w:p>
        </w:tc>
        <w:tc>
          <w:tcPr>
            <w:tcW w:w="15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61,552</w:t>
            </w:r>
          </w:p>
        </w:tc>
      </w:tr>
      <w:tr>
        <w:trPr>
          <w:cantSplit/>
        </w:trPr>
        <w:tc>
          <w:tcPr>
            <w:tcW w:w="20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Liberty, TX</w:t>
            </w:r>
          </w:p>
        </w:tc>
        <w:tc>
          <w:tcPr>
            <w:tcW w:w="1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0.20</w:t>
            </w:r>
          </w:p>
        </w:tc>
        <w:tc>
          <w:tcPr>
            <w:tcW w:w="1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no</w:t>
            </w:r>
          </w:p>
        </w:tc>
        <w:tc>
          <w:tcPr>
            <w:tcW w:w="1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0</w:t>
            </w:r>
          </w:p>
        </w:tc>
        <w:tc>
          <w:tcPr>
            <w:tcW w:w="18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2,583</w:t>
            </w:r>
          </w:p>
        </w:tc>
        <w:tc>
          <w:tcPr>
            <w:tcW w:w="15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103,380</w:t>
            </w:r>
          </w:p>
        </w:tc>
      </w:tr>
    </w:tbl>
    <w:p>
      <w:pPr>
        <w:spacing w:after="40"/>
      </w:pPr>
    </w:p>
    <w:p>
      <w:pPr>
        <w:pStyle w:val="Heading2"/>
        <w:spacing w:before="240" w:after="80"/>
      </w:pPr>
      <w:r>
        <w:t>How to Read Hawthorn Intelligence Reports</w:t>
      </w:r>
    </w:p>
    <w:p>
      <w:pPr>
        <w:spacing w:after="200"/>
      </w:pPr>
      <w:r>
        <w:rPr>
          <w:b/>
        </w:rPr>
        <w:t>County Restriction Score and decile:</w:t>
      </w:r>
      <w:r>
        <w:t xml:space="preserve"> A calibrated 0 to 1 measure of how closely a county resembles counties that have enacted severe wind, solar or battery-storage restrictions (an explicit moratorium or ban, or terms likely to act as one, such as a solar or storage setback of 1,000 feet or more), reported with its likely range and its national decile (Table 1). It is a resemblance measure over county profiles, not a forecast for any specific project, and its drivers are predictive associations, not causes.</w:t>
      </w:r>
    </w:p>
    <w:p>
      <w:pPr>
        <w:spacing w:after="200"/>
      </w:pPr>
      <w:r>
        <w:rPr>
          <w:b/>
        </w:rPr>
        <w:t>Evidence status:</w:t>
      </w:r>
      <w:r>
        <w:t xml:space="preserve"> How thoroughly a county's restriction record has been checked against the instruments themselves. It describes verification effort, not the likelihood of a restriction.</w:t>
      </w:r>
    </w:p>
    <w:p>
      <w:pPr>
        <w:keepNext/>
        <w:spacing w:before="120" w:after="80"/>
      </w:pPr>
      <w:r>
        <w:rPr>
          <w:b/>
          <w:i/>
        </w:rPr>
        <w:t xml:space="preserve">Table 5 </w:t>
      </w:r>
      <w:r>
        <w:rPr>
          <w:i/>
        </w:rPr>
        <w:t>Evidence status</w:t>
      </w:r>
      <w:r>
        <w:rPr>
          <w:rStyle w:val="FootnoteReference"/>
        </w:rPr>
        <w:footnoteReference w:id="8"/>
      </w:r>
    </w:p>
    <w:tbl>
      <w:tblPr>
        <w:tblStyle w:val="TableNormal"/>
        <w:tblW w:w="10080" w:type="dxa"/>
        <w:tblLayout w:type="fixed"/>
        <w:tblLook w:val="04A0" w:firstRow="1" w:lastRow="0" w:firstColumn="1" w:lastColumn="0" w:noHBand="0" w:noVBand="1"/>
      </w:tblPr>
      <w:tblGrid>
        <w:gridCol w:w="1900"/>
        <w:gridCol w:w="6080"/>
        <w:gridCol w:w="2100"/>
      </w:tblGrid>
      <w:tr>
        <w:trPr>
          <w:cantSplit/>
          <w:tblHeader/>
        </w:trPr>
        <w:tc>
          <w:tcPr>
            <w:tcW w:w="190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Status</w:t>
            </w:r>
          </w:p>
        </w:tc>
        <w:tc>
          <w:tcPr>
            <w:tcW w:w="608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Meaning</w:t>
            </w:r>
          </w:p>
        </w:tc>
        <w:tc>
          <w:tcPr>
            <w:tcW w:w="210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U.S. counties</w:t>
            </w:r>
          </w:p>
        </w:tc>
      </w:tr>
      <w:tr>
        <w:trPr>
          <w:cantSplit/>
        </w:trPr>
        <w:tc>
          <w:tcPr>
            <w:tcW w:w="19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Verified (Harris)</w:t>
            </w:r>
          </w:p>
        </w:tc>
        <w:tc>
          <w:tcPr>
            <w:tcW w:w="60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At least one restriction checked against the instrument itself or the minutes that adopted it</w:t>
            </w:r>
          </w:p>
        </w:tc>
        <w:tc>
          <w:tcPr>
            <w:tcW w:w="21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72 (2.2%)</w:t>
            </w:r>
          </w:p>
        </w:tc>
      </w:tr>
      <w:tr>
        <w:trPr>
          <w:cantSplit/>
        </w:trPr>
        <w:tc>
          <w:tcPr>
            <w:tcW w:w="19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Recorded</w:t>
            </w:r>
          </w:p>
        </w:tc>
        <w:tc>
          <w:tcPr>
            <w:tcW w:w="60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Restrictions or contested projects on record from news, trackers or compiled databases, none yet read against the instrument</w:t>
            </w:r>
          </w:p>
        </w:tc>
        <w:tc>
          <w:tcPr>
            <w:tcW w:w="21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1,340 (41.6%)</w:t>
            </w:r>
          </w:p>
        </w:tc>
      </w:tr>
      <w:tr>
        <w:trPr>
          <w:cantSplit/>
        </w:trPr>
        <w:tc>
          <w:tcPr>
            <w:tcW w:w="19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Checked, none found</w:t>
            </w:r>
          </w:p>
        </w:tc>
        <w:tc>
          <w:tcPr>
            <w:tcW w:w="60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A reviewed search of the county's codes, minutes and news found no restriction (graded A to C by independence of sources)</w:t>
            </w:r>
          </w:p>
        </w:tc>
        <w:tc>
          <w:tcPr>
            <w:tcW w:w="21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2 (0.1%)</w:t>
            </w:r>
          </w:p>
        </w:tc>
      </w:tr>
      <w:tr>
        <w:trPr>
          <w:cantSplit/>
        </w:trPr>
        <w:tc>
          <w:tcPr>
            <w:tcW w:w="19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Unexamined</w:t>
            </w:r>
          </w:p>
        </w:tc>
        <w:tc>
          <w:tcPr>
            <w:tcW w:w="60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No record and no documented check; absence of a record is not evidence of absence</w:t>
            </w:r>
          </w:p>
        </w:tc>
        <w:tc>
          <w:tcPr>
            <w:tcW w:w="21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1,808 (56.1%)</w:t>
            </w:r>
          </w:p>
        </w:tc>
      </w:tr>
    </w:tbl>
    <w:p>
      <w:pPr>
        <w:spacing w:after="40"/>
      </w:pPr>
    </w:p>
    <w:p>
      <w:pPr>
        <w:spacing w:after="200"/>
      </w:pPr>
      <w:r>
        <w:rPr>
          <w:b/>
        </w:rPr>
        <w:t>Outcome tiers:</w:t>
      </w:r>
      <w:r>
        <w:t xml:space="preserve"> Hawthorn Intelligence records project results with activity-descriptive tiers. Only terminal dispositions count as decided; a vote that has not produced a final disposition stays pending.</w:t>
      </w:r>
    </w:p>
    <w:p>
      <w:pPr>
        <w:keepNext/>
        <w:spacing w:before="120" w:after="80"/>
      </w:pPr>
      <w:r>
        <w:rPr>
          <w:b/>
          <w:i/>
        </w:rPr>
        <w:t xml:space="preserve">Table 6 </w:t>
      </w:r>
      <w:r>
        <w:rPr>
          <w:i/>
        </w:rPr>
        <w:t>Outcome tiers</w:t>
      </w:r>
      <w:r>
        <w:rPr>
          <w:rStyle w:val="FootnoteReference"/>
        </w:rPr>
        <w:footnoteReference w:id="9"/>
      </w:r>
    </w:p>
    <w:tbl>
      <w:tblPr>
        <w:tblStyle w:val="TableNormal"/>
        <w:tblW w:w="10080" w:type="dxa"/>
        <w:tblLayout w:type="fixed"/>
        <w:tblLook w:val="04A0" w:firstRow="1" w:lastRow="0" w:firstColumn="1" w:lastColumn="0" w:noHBand="0" w:noVBand="1"/>
      </w:tblPr>
      <w:tblGrid>
        <w:gridCol w:w="2400"/>
        <w:gridCol w:w="4200"/>
        <w:gridCol w:w="3480"/>
      </w:tblGrid>
      <w:tr>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Outcome tier</w:t>
            </w:r>
          </w:p>
        </w:tc>
        <w:tc>
          <w:tcPr>
            <w:tcW w:w="420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Definition</w:t>
            </w:r>
          </w:p>
        </w:tc>
        <w:tc>
          <w:tcPr>
            <w:tcW w:w="3480" w:type="dxa"/>
            <w:tcBorders>
              <w:top w:val="single" w:sz="4" w:space="0" w:color="BFBFBF"/>
              <w:left w:val="single" w:sz="4" w:space="0" w:color="BFBFBF"/>
              <w:bottom w:val="single" w:sz="4" w:space="0" w:color="BFBFBF"/>
              <w:right w:val="single" w:sz="4" w:space="0" w:color="BFBFBF"/>
            </w:tcBorders>
            <w:shd w:val="clear" w:color="auto" w:fill="E7E6E6"/>
            <w:tcMar>
              <w:top w:w="30" w:type="dxa"/>
              <w:left w:w="80" w:type="dxa"/>
              <w:bottom w:w="30" w:type="dxa"/>
              <w:right w:w="80" w:type="dxa"/>
            </w:tcMar>
          </w:tcPr>
          <w:p>
            <w:pPr>
              <w:keepNext/>
              <w:spacing w:after="0"/>
            </w:pPr>
            <w:r>
              <w:rPr>
                <w:b/>
                <w:sz w:val="18"/>
              </w:rPr>
              <w:t>Harris projects</w:t>
            </w:r>
          </w:p>
        </w:tc>
      </w:tr>
      <w:tr>
        <w:trPr>
          <w:cantSplit/>
        </w:trPr>
        <w:tc>
          <w:tcPr>
            <w:tcW w:w="24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advanced_confirmed</w:t>
            </w:r>
          </w:p>
        </w:tc>
        <w:tc>
          <w:tcPr>
            <w:tcW w:w="42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Terminal approval; the project may proceed</w:t>
            </w:r>
          </w:p>
        </w:tc>
        <w:tc>
          <w:tcPr>
            <w:tcW w:w="34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Massey (Baytown, August 14, 2025)</w:t>
            </w:r>
          </w:p>
        </w:tc>
      </w:tr>
      <w:tr>
        <w:trPr>
          <w:cantSplit/>
        </w:trPr>
        <w:tc>
          <w:tcPr>
            <w:tcW w:w="24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restricted_conditional</w:t>
            </w:r>
          </w:p>
        </w:tc>
        <w:tc>
          <w:tcPr>
            <w:tcW w:w="42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Terminal approval carrying binding conditions</w:t>
            </w:r>
          </w:p>
        </w:tc>
        <w:tc>
          <w:tcPr>
            <w:tcW w:w="34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Claire (Baytown, November 13, 2025: 200-foot-plus setbacks, wall, emergency plan)</w:t>
            </w:r>
          </w:p>
        </w:tc>
      </w:tr>
      <w:tr>
        <w:trPr>
          <w:cantSplit/>
        </w:trPr>
        <w:tc>
          <w:tcPr>
            <w:tcW w:w="24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blocked_confirmed</w:t>
            </w:r>
          </w:p>
        </w:tc>
        <w:tc>
          <w:tcPr>
            <w:tcW w:w="42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Terminal stop: denied or withdrawn</w:t>
            </w:r>
          </w:p>
        </w:tc>
        <w:tc>
          <w:tcPr>
            <w:tcW w:w="34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keepNext/>
              <w:spacing w:after="0"/>
            </w:pPr>
            <w:r>
              <w:rPr>
                <w:sz w:val="18"/>
              </w:rPr>
              <w:t>Black Mountain, Pitchford Road (Tomball, June 19, 2023)</w:t>
            </w:r>
          </w:p>
        </w:tc>
      </w:tr>
      <w:tr>
        <w:trPr>
          <w:cantSplit/>
        </w:trPr>
        <w:tc>
          <w:tcPr>
            <w:tcW w:w="24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pending</w:t>
            </w:r>
          </w:p>
        </w:tc>
        <w:tc>
          <w:tcPr>
            <w:tcW w:w="42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No terminal disposition yet</w:t>
            </w:r>
          </w:p>
        </w:tc>
        <w:tc>
          <w:tcPr>
            <w:tcW w:w="348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pPr>
              <w:spacing w:after="0"/>
            </w:pPr>
            <w:r>
              <w:rPr>
                <w:sz w:val="18"/>
              </w:rPr>
              <w:t>AES Beacon and Sigma (Deepwater); other queued projects without a local decision</w:t>
            </w:r>
          </w:p>
        </w:tc>
      </w:tr>
    </w:tbl>
    <w:p>
      <w:pPr>
        <w:spacing w:after="40"/>
      </w:pPr>
    </w:p>
    <w:p>
      <w:pPr>
        <w:spacing w:after="200"/>
      </w:pPr>
      <w:r>
        <w:rPr>
          <w:b/>
        </w:rPr>
        <w:t>Trust tiers:</w:t>
      </w:r>
      <w:r>
        <w:t xml:space="preserve"> Model traits are tiered by exposure to detection bias. Tier 1 traits (operating wind capacity and interconnection requests, both from federal and grid-operator records) carry the least exposure. Tier 2 (neighbors' restrictions) inherits whatever the restriction record misses. Tier 3 traits (population and income) also track news coverage and are read with more caution (Table 3).</w:t>
      </w:r>
    </w:p>
    <w:p>
      <w:pPr>
        <w:pStyle w:val="Heading2"/>
        <w:spacing w:before="240" w:after="80"/>
      </w:pPr>
      <w:r>
        <w:t>Why developers are looking at Harris</w:t>
      </w:r>
    </w:p>
    <w:p>
      <w:pPr>
        <w:spacing w:after="200"/>
      </w:pPr>
      <w:r>
        <w:rPr>
          <w:b/>
        </w:rPr>
        <w:t>Power access:</w:t>
      </w:r>
      <w:r>
        <w:t xml:space="preserve"> Houston is a load pocket. Imports from the north have long been among ERCOT's costliest congestion points, and storage near the load captures those price spreads. Developers have also found ready-made interconnections at retired power plants: Jupiter's Callisto projects sit on the former H.O. Clarke plant site, AES's Beacon and Sigma at the former Deepwater station, and Black Mountain's Outer Loop at Greens Bayou. Demand is rising fast: CenterPoint has 12.2 GW of committed industrial load, </w:t>
      </w:r>
      <w:hyperlink r:id="rId13" w:history="1">
        <w:r>
          <w:rPr>
            <w:rStyle w:val="Hyperlink"/>
          </w:rPr>
          <w:t xml:space="preserve">expects</w:t>
        </w:r>
      </w:hyperlink>
      <w:r>
        <w:t xml:space="preserve"> 8 GW of data centers by 2029, and submitted more than 17 GW to ERCOT's </w:t>
      </w:r>
      <w:hyperlink r:id="rId17" w:history="1">
        <w:r>
          <w:rPr>
            <w:rStyle w:val="Hyperlink"/>
          </w:rPr>
          <w:t xml:space="preserve">"Batch Zero"</w:t>
        </w:r>
      </w:hyperlink>
      <w:r>
        <w:t xml:space="preserve"> large-load study. After Hurricane Beryl cut power to about 2.26 million CenterPoint customers in July 2024, the Public Utility Commission </w:t>
      </w:r>
      <w:hyperlink r:id="rId18" w:history="1">
        <w:r>
          <w:rPr>
            <w:rStyle w:val="Hyperlink"/>
          </w:rPr>
          <w:t xml:space="preserve">approved</w:t>
        </w:r>
      </w:hyperlink>
      <w:r>
        <w:t xml:space="preserve"> a roughly $2.7 billion resiliency plan, and the county itself broke ground in September 2026 on an </w:t>
      </w:r>
      <w:hyperlink r:id="rId19" w:history="1">
        <w:r>
          <w:rPr>
            <w:rStyle w:val="Hyperlink"/>
          </w:rPr>
          <w:t xml:space="preserve">$88 million community solar and storage program</w:t>
        </w:r>
      </w:hyperlink>
      <w:r>
        <w:t>.</w:t>
      </w:r>
    </w:p>
    <w:p>
      <w:pPr>
        <w:spacing w:after="200"/>
      </w:pPr>
      <w:r>
        <w:rPr>
          <w:b/>
        </w:rPr>
        <w:t>Land use</w:t>
      </w:r>
      <w:r>
        <w:t xml:space="preserve"> tends to be the friction point. Where the land is industrial, as at H.O. Clarke, Jupiter Power reportedly met no opposition. Where it is suburban, as with Claire's nine acres of Suburban Residential land in Baytown, proximity to homes becomes the issue. Pasadena's code makes the trade explicit: it permits storage only near utility property and away from homes, schools and flood zones.</w:t>
      </w:r>
    </w:p>
    <w:p>
      <w:pPr>
        <w:pStyle w:val="Heading2"/>
        <w:spacing w:before="240" w:after="80"/>
      </w:pPr>
      <w:r>
        <w:t>Restriction timeline</w:t>
      </w:r>
    </w:p>
    <w:p>
      <w:pPr>
        <w:pStyle w:val="ListParagraph"/>
        <w:numPr>
          <w:ilvl w:val="0"/>
          <w:numId w:val="9"/>
        </w:numPr>
        <w:spacing w:after="80"/>
      </w:pPr>
      <w:r>
        <w:t xml:space="preserve">June 19, 2023: Tomball City Council unanimously </w:t>
      </w:r>
      <w:hyperlink r:id="rId20" w:history="1">
        <w:r>
          <w:rPr>
            <w:rStyle w:val="Hyperlink"/>
          </w:rPr>
          <w:t xml:space="preserve">denies</w:t>
        </w:r>
      </w:hyperlink>
      <w:r>
        <w:t xml:space="preserve"> a conditional use permit for a Black Mountain Energy Storage battery on Pitchford Road.</w:t>
      </w:r>
    </w:p>
    <w:p>
      <w:pPr>
        <w:pStyle w:val="ListParagraph"/>
        <w:numPr>
          <w:ilvl w:val="0"/>
          <w:numId w:val="9"/>
        </w:numPr>
        <w:spacing w:after="80"/>
      </w:pPr>
      <w:r>
        <w:t xml:space="preserve">October 8, 2024: Pasadena City Council unanimously </w:t>
      </w:r>
      <w:hyperlink r:id="rId21" w:history="1">
        <w:r>
          <w:rPr>
            <w:rStyle w:val="Hyperlink"/>
          </w:rPr>
          <w:t xml:space="preserve">adopts</w:t>
        </w:r>
      </w:hyperlink>
      <w:r>
        <w:t xml:space="preserve"> Ordinance 2024-198, a 90-day moratorium on commercial battery permits in the city and its extraterritorial jurisdiction.</w:t>
      </w:r>
    </w:p>
    <w:p>
      <w:pPr>
        <w:pStyle w:val="ListParagraph"/>
        <w:numPr>
          <w:ilvl w:val="0"/>
          <w:numId w:val="9"/>
        </w:numPr>
        <w:spacing w:after="80"/>
      </w:pPr>
      <w:r>
        <w:t xml:space="preserve">January 7, 2025: Pasadena unanimously </w:t>
      </w:r>
      <w:hyperlink r:id="rId22" w:history="1">
        <w:r>
          <w:rPr>
            <w:rStyle w:val="Hyperlink"/>
          </w:rPr>
          <w:t xml:space="preserve">extends</w:t>
        </w:r>
      </w:hyperlink>
      <w:r>
        <w:t xml:space="preserve"> the moratorium 90 days (Ordinance 2025-001).</w:t>
      </w:r>
    </w:p>
    <w:p>
      <w:pPr>
        <w:pStyle w:val="ListParagraph"/>
        <w:numPr>
          <w:ilvl w:val="0"/>
          <w:numId w:val="9"/>
        </w:numPr>
        <w:spacing w:after="80"/>
      </w:pPr>
      <w:r>
        <w:t xml:space="preserve">April 1, 2025: Pasadena unanimously </w:t>
      </w:r>
      <w:hyperlink r:id="rId14" w:history="1">
        <w:r>
          <w:rPr>
            <w:rStyle w:val="Hyperlink"/>
          </w:rPr>
          <w:t xml:space="preserve">adopts</w:t>
        </w:r>
      </w:hyperlink>
      <w:r>
        <w:t xml:space="preserve"> Ordinance 2025-082, Article XII "Energy Storage Systems": five-acre cap, 500 feet from residences, 1,000 feet from critical facilities, special use permit with plume study.</w:t>
      </w:r>
    </w:p>
    <w:p>
      <w:pPr>
        <w:pStyle w:val="ListParagraph"/>
        <w:numPr>
          <w:ilvl w:val="0"/>
          <w:numId w:val="9"/>
        </w:numPr>
        <w:spacing w:after="80"/>
      </w:pPr>
      <w:r>
        <w:t xml:space="preserve">August 14, 2025: Baytown City Council </w:t>
      </w:r>
      <w:hyperlink r:id="rId23" w:history="1">
        <w:r>
          <w:rPr>
            <w:rStyle w:val="Hyperlink"/>
          </w:rPr>
          <w:t xml:space="preserve">approves</w:t>
        </w:r>
      </w:hyperlink>
      <w:r>
        <w:t xml:space="preserve"> the 100 MW Massey project over resident and union objections.</w:t>
      </w:r>
    </w:p>
    <w:p>
      <w:pPr>
        <w:pStyle w:val="ListParagraph"/>
        <w:numPr>
          <w:ilvl w:val="0"/>
          <w:numId w:val="9"/>
        </w:numPr>
        <w:spacing w:after="80"/>
      </w:pPr>
      <w:r>
        <w:t>September 1, 2025: State laws HB 3809 (battery decommissioning) and HB 3824 (battery fire safety, with limits on inconsistent local rules) take effect.</w:t>
      </w:r>
    </w:p>
    <w:p>
      <w:pPr>
        <w:pStyle w:val="ListParagraph"/>
        <w:numPr>
          <w:ilvl w:val="0"/>
          <w:numId w:val="9"/>
        </w:numPr>
        <w:spacing w:after="80"/>
      </w:pPr>
      <w:r>
        <w:t xml:space="preserve">November 13, 2025: Baytown </w:t>
      </w:r>
      <w:hyperlink r:id="rId24" w:history="1">
        <w:r>
          <w:rPr>
            <w:rStyle w:val="Hyperlink"/>
          </w:rPr>
          <w:t xml:space="preserve">approves</w:t>
        </w:r>
      </w:hyperlink>
      <w:r>
        <w:t xml:space="preserve"> the 406 MW Claire project in a Suburban Residential zone, reportedly 4-3.</w:t>
      </w:r>
    </w:p>
    <w:p>
      <w:pPr>
        <w:pStyle w:val="ListParagraph"/>
        <w:numPr>
          <w:ilvl w:val="0"/>
          <w:numId w:val="9"/>
        </w:numPr>
        <w:spacing w:after="80"/>
      </w:pPr>
      <w:r>
        <w:t xml:space="preserve">April 23, 2026: Harris County Fire Marshal Laurie Christensen, for Commissioners Court, </w:t>
      </w:r>
      <w:hyperlink r:id="rId25" w:history="1">
        <w:r>
          <w:rPr>
            <w:rStyle w:val="Hyperlink"/>
          </w:rPr>
          <w:t xml:space="preserve">asks</w:t>
        </w:r>
      </w:hyperlink>
      <w:r>
        <w:t xml:space="preserve"> a House committee for statewide NFPA 855-based standards.</w:t>
      </w:r>
    </w:p>
    <w:p>
      <w:pPr>
        <w:spacing w:after="200"/>
      </w:pPr>
      <w:r>
        <w:rPr>
          <w:b/>
        </w:rPr>
        <w:t>How the state law was written:</w:t>
      </w:r>
      <w:r>
        <w:t xml:space="preserve"> HB 3824, signed June 20, 2025, directs the Commissioner of Insurance to adopt fire standards "based solely on" UL and NFPA 855 for batteries of 1 MWh or more entering service on or after January 1, 2027, and </w:t>
      </w:r>
      <w:hyperlink r:id="rId26" w:history="1">
        <w:r>
          <w:rPr>
            <w:rStyle w:val="Hyperlink"/>
          </w:rPr>
          <w:t xml:space="preserve">provides</w:t>
        </w:r>
      </w:hyperlink>
      <w:r>
        <w:t xml:space="preserve"> that "a municipality or county may not adopt, enforce, or maintain an ordinance, order, or rule regulating conduct in a field of regulation that is inconsistent with the standards." Pasadena's code mixes fire-design rules with land-use siting rules; which parts survive will depend on the department's final rules, which were still an </w:t>
      </w:r>
      <w:hyperlink r:id="rId27" w:history="1">
        <w:r>
          <w:rPr>
            <w:rStyle w:val="Hyperlink"/>
          </w:rPr>
          <w:t xml:space="preserve">informal working draft</w:t>
        </w:r>
      </w:hyperlink>
      <w:r>
        <w:t xml:space="preserve"> as of October 16, 2026.</w:t>
      </w:r>
    </w:p>
    <w:p>
      <w:pPr>
        <w:pStyle w:val="Heading2"/>
        <w:spacing w:before="240" w:after="80"/>
      </w:pPr>
      <w:r>
        <w:t>Project outcomes</w:t>
      </w:r>
    </w:p>
    <w:p>
      <w:pPr>
        <w:pStyle w:val="ListParagraph"/>
        <w:numPr>
          <w:ilvl w:val="0"/>
          <w:numId w:val="12"/>
        </w:numPr>
        <w:spacing w:after="80"/>
      </w:pPr>
      <w:r>
        <w:rPr>
          <w:b/>
        </w:rPr>
        <w:t>Claire BESS</w:t>
      </w:r>
      <w:r>
        <w:t xml:space="preserve"> (Balanced Rock Power; BRP Blue Topaz 3 LLC): up to 406 MW on about nine acres at 1010 Bob Smith Road, Baytown, zoned Suburban Residential, next to a CenterPoint substation, interconnecting at Cedar Bayou 138 kV. The planning commission </w:t>
      </w:r>
      <w:hyperlink r:id="rId28" w:history="1">
        <w:r>
          <w:rPr>
            <w:rStyle w:val="Hyperlink"/>
          </w:rPr>
          <w:t xml:space="preserve">recommended approval 6-2</w:t>
        </w:r>
      </w:hyperlink>
      <w:r>
        <w:t xml:space="preserve"> on November 11, 2025, after the developer widened setbacks from 40 to more than 200 feet; council approved it November 13, by a 4-3 vote as reported by the Baytown Sun. The developer projects more than $40 million in property taxes over 20 years; operation is planned for December 2027.</w:t>
      </w:r>
    </w:p>
    <w:p>
      <w:pPr>
        <w:pStyle w:val="ListParagraph"/>
        <w:numPr>
          <w:ilvl w:val="0"/>
          <w:numId w:val="12"/>
        </w:numPr>
        <w:spacing w:after="80"/>
      </w:pPr>
      <w:r>
        <w:rPr>
          <w:b/>
        </w:rPr>
        <w:t>Massey Energy Storage</w:t>
      </w:r>
      <w:r>
        <w:t xml:space="preserve"> (Cypress Creek Renewables): 100 MW on about 15.5 acres at 2015 Massey Tompkins Road, Baytown; rezoned to General Commercial with a special use permit on August 14, 2025. LiUNA Local 350's president said the union was considering a ballot measure; we found no evidence it went forward. The developer projects about $20 million in taxes over 20 years.</w:t>
      </w:r>
    </w:p>
    <w:p>
      <w:pPr>
        <w:pStyle w:val="ListParagraph"/>
        <w:numPr>
          <w:ilvl w:val="0"/>
          <w:numId w:val="12"/>
        </w:numPr>
        <w:spacing w:after="80"/>
      </w:pPr>
      <w:r>
        <w:rPr>
          <w:b/>
        </w:rPr>
        <w:t>Pitchford Road BESS</w:t>
      </w:r>
      <w:r>
        <w:t xml:space="preserve"> (Black Mountain Energy Storage; landowner Michael Kirtley), Tomball: council rezoned the land to light industrial but unanimously denied the conditional use permit on June 19, 2023; size not reported.</w:t>
      </w:r>
    </w:p>
    <w:p>
      <w:pPr>
        <w:pStyle w:val="ListParagraph"/>
        <w:numPr>
          <w:ilvl w:val="0"/>
          <w:numId w:val="12"/>
        </w:numPr>
        <w:spacing w:after="80"/>
      </w:pPr>
      <w:r>
        <w:rPr>
          <w:b/>
        </w:rPr>
        <w:t>AES Beacon and Sigma Storage</w:t>
      </w:r>
      <w:r>
        <w:t>: about 408 MW each at the Deepwater 345 kV and 138 kV substations in the Pasadena area, in ERCOT study with operation projected for October 2029; no local decision recorded.</w:t>
      </w:r>
    </w:p>
    <w:p>
      <w:pPr>
        <w:pStyle w:val="Heading2"/>
        <w:spacing w:before="240" w:after="80"/>
      </w:pPr>
      <w:r>
        <w:t>Opposition</w:t>
      </w:r>
    </w:p>
    <w:p>
      <w:pPr>
        <w:spacing w:after="200"/>
      </w:pPr>
      <w:r>
        <w:t>Organized groups on record: none specific to Harris County.</w:t>
      </w:r>
    </w:p>
    <w:p>
      <w:pPr>
        <w:pStyle w:val="ListParagraph"/>
        <w:numPr>
          <w:ilvl w:val="0"/>
          <w:numId w:val="13"/>
        </w:numPr>
        <w:spacing w:after="80"/>
      </w:pPr>
      <w:r>
        <w:t xml:space="preserve">LiUNA Local 350, the laborers' union, whose president Robert Ramos </w:t>
      </w:r>
      <w:hyperlink r:id="rId29" w:history="1">
        <w:r>
          <w:rPr>
            <w:rStyle w:val="Hyperlink"/>
          </w:rPr>
          <w:t xml:space="preserve">opposed</w:t>
        </w:r>
      </w:hyperlink>
      <w:r>
        <w:t xml:space="preserve"> the Massey project and raised a possible ballot measure in August 2025.</w:t>
      </w:r>
    </w:p>
    <w:p>
      <w:pPr>
        <w:pStyle w:val="ListParagraph"/>
        <w:numPr>
          <w:ilvl w:val="0"/>
          <w:numId w:val="13"/>
        </w:numPr>
        <w:spacing w:after="80"/>
      </w:pPr>
      <w:r>
        <w:t>Residents of Baytown's Country Club View neighborhood, who opposed the Claire project at the November 2025 hearings.</w:t>
      </w:r>
    </w:p>
    <w:p>
      <w:pPr>
        <w:spacing w:after="200"/>
      </w:pPr>
      <w:r>
        <w:t xml:space="preserve">Concerns raised on the record include fire and explosion risk, toxic plumes, proximity to homes and schools, hurricane and freeze resilience, flooding, and the capacity of local fire departments. Regionally, the League City petition (more than 700 signatures, 2024) and the Katy campaign against Ochoa (2024 to 2026) are the organized precedents. Waller County Judge Trey Duhon has </w:t>
      </w:r>
      <w:hyperlink r:id="rId30" w:history="1">
        <w:r>
          <w:rPr>
            <w:rStyle w:val="Hyperlink"/>
          </w:rPr>
          <w:t xml:space="preserve">promoted</w:t>
        </w:r>
      </w:hyperlink>
      <w:r>
        <w:t xml:space="preserve"> sub-regional planning commissions under Chapter 391 of the Local Government Code as a tool for counties to resist battery projects.</w:t>
      </w:r>
    </w:p>
    <w:p>
      <w:pPr>
        <w:pStyle w:val="Heading2"/>
        <w:spacing w:before="240" w:after="80"/>
      </w:pPr>
      <w:r>
        <w:t>Local Context</w:t>
      </w:r>
    </w:p>
    <w:p>
      <w:pPr>
        <w:spacing w:after="200"/>
      </w:pPr>
      <w:r>
        <w:t xml:space="preserve">County Judge Lina Hidalgo (D) is not seeking a third term. Former Houston City Council members Letitia Plummer (D) and Orlando Sanchez (R) meet on November 3, 2026; a University of Houston Hobby School </w:t>
      </w:r>
      <w:hyperlink r:id="rId31" w:history="1">
        <w:r>
          <w:rPr>
            <w:rStyle w:val="Hyperlink"/>
          </w:rPr>
          <w:t xml:space="preserve">poll</w:t>
        </w:r>
      </w:hyperlink>
      <w:r>
        <w:t xml:space="preserve"> fielded October 3 to 8 had Plummer at 47 percent and Sanchez at 40. Energy and storage were not among the polled issues; voters ranked crime, property taxes, voting rights and flooding highest. Both candidates have backed "community lighthouses" for power and cooling during outages; neither has stated a position on battery siting. Commissioners Adrian Garcia (Precinct 2) and Lesley Briones (Precinct 4) are also on the ballot.</w:t>
      </w:r>
    </w:p>
    <w:p>
      <w:pPr>
        <w:spacing w:after="200"/>
      </w:pPr>
      <w:r>
        <w:t>In Pasadena, Thomas Schoenbein, who moved or seconded both moratorium ordinances as a councilmember, was elected mayor in 2025. Every Pasadena vote on storage was unanimous.</w:t>
      </w:r>
    </w:p>
    <w:p>
      <w:pPr>
        <w:pStyle w:val="Heading2"/>
        <w:spacing w:before="240" w:after="80"/>
      </w:pPr>
      <w:r>
        <w:t>State Context</w:t>
      </w:r>
    </w:p>
    <w:p>
      <w:pPr>
        <w:spacing w:after="200"/>
      </w:pPr>
      <w:r>
        <w:t xml:space="preserve">Texas has no state siting permit for wind, solar or storage plants, and the 2025 session left that unchanged: SB 819, which would have created one for renewable plants of 10 MW or more, passed the Senate and </w:t>
      </w:r>
      <w:hyperlink r:id="rId32" w:history="1">
        <w:r>
          <w:rPr>
            <w:rStyle w:val="Hyperlink"/>
          </w:rPr>
          <w:t xml:space="preserve">died</w:t>
        </w:r>
      </w:hyperlink>
      <w:r>
        <w:t xml:space="preserve"> in House State Affairs, as did SB 388 and SB 715. What passed was storage-specific. HB 3809 adds decommissioning and financial-assurance terms to battery leases signed from September 1, 2025. HB 3824 creates state fire standards for batteries entering service from 2027 and limits local rules inconsistent with them. SB 6 reshapes how large loads such as data centers connect to the ERCOT grid.</w:t>
      </w:r>
    </w:p>
    <w:p>
      <w:pPr>
        <w:spacing w:after="200"/>
      </w:pPr>
      <w:r>
        <w:t xml:space="preserve">The pressure has not eased. The House State Affairs Committee held an interim </w:t>
      </w:r>
      <w:hyperlink r:id="rId33" w:history="1">
        <w:r>
          <w:rPr>
            <w:rStyle w:val="Hyperlink"/>
          </w:rPr>
          <w:t xml:space="preserve">hearing</w:t>
        </w:r>
      </w:hyperlink>
      <w:r>
        <w:t xml:space="preserve"> on battery safety on April 23, 2026, where public comments were dominated by rural opponents; Senate committees took up renewable decommissioning and storage in September 2026. Industry, led by the Advanced Power Alliance, argues the 2025 laws "strike the right balance"; the Republican Party of Texas has called for tighter limits. The 90th Legislature convenes in January 2027.</w:t>
      </w:r>
    </w:p>
    <w:p>
      <w:pPr>
        <w:pStyle w:val="Heading2"/>
        <w:spacing w:before="240" w:after="80"/>
      </w:pPr>
      <w:r>
        <w:t>What to watch</w:t>
      </w:r>
    </w:p>
    <w:p>
      <w:pPr>
        <w:pStyle w:val="ListParagraph"/>
        <w:numPr>
          <w:ilvl w:val="0"/>
          <w:numId w:val="9"/>
        </w:numPr>
        <w:spacing w:after="80"/>
      </w:pPr>
      <w:r>
        <w:t>Texas Department of Insurance: formal proposal and adoption of HB 3824 battery fire-safety rules, governing projects entering service on or after January 1, 2027</w:t>
      </w:r>
    </w:p>
    <w:p>
      <w:pPr>
        <w:pStyle w:val="ListParagraph"/>
        <w:numPr>
          <w:ilvl w:val="0"/>
          <w:numId w:val="9"/>
        </w:numPr>
        <w:spacing w:after="80"/>
      </w:pPr>
      <w:r>
        <w:t>November 3, 2026: county judge (Plummer v. Sanchez) and Commissioners Court Precincts 2 and 4</w:t>
      </w:r>
    </w:p>
    <w:p>
      <w:pPr>
        <w:pStyle w:val="ListParagraph"/>
        <w:numPr>
          <w:ilvl w:val="0"/>
          <w:numId w:val="9"/>
        </w:numPr>
        <w:spacing w:after="80"/>
      </w:pPr>
      <w:r>
        <w:t>January 2027: 90th Legislature convenes; renewable permitting and battery setback bills expected</w:t>
      </w:r>
    </w:p>
    <w:p>
      <w:pPr>
        <w:pStyle w:val="ListParagraph"/>
        <w:numPr>
          <w:ilvl w:val="0"/>
          <w:numId w:val="9"/>
        </w:numPr>
        <w:spacing w:after="80"/>
      </w:pPr>
      <w:r>
        <w:t>Baytown: Claire (planned December 2027) and Massey (planned January 2028), and any ballot measure</w:t>
      </w:r>
    </w:p>
    <w:p>
      <w:pPr>
        <w:pStyle w:val="ListParagraph"/>
        <w:numPr>
          <w:ilvl w:val="0"/>
          <w:numId w:val="9"/>
        </w:numPr>
        <w:spacing w:after="80"/>
      </w:pPr>
      <w:r>
        <w:t>AES Beacon and Sigma at Deepwater (projected October 2029) and the application of Pasadena's Article XII</w:t>
      </w:r>
    </w:p>
    <w:p>
      <w:pPr>
        <w:pStyle w:val="ListParagraph"/>
        <w:numPr>
          <w:ilvl w:val="0"/>
          <w:numId w:val="9"/>
        </w:numPr>
        <w:spacing w:after="80"/>
      </w:pPr>
      <w:r>
        <w:t>CenterPoint's data-center load additions and ERCOT's Batch Zero results</w:t>
      </w:r>
    </w:p>
    <w:p>
      <w:pPr>
        <w:pStyle w:val="Heading2"/>
        <w:spacing w:before="240" w:after="80"/>
      </w:pPr>
      <w:r>
        <w:t>Sources</w:t>
      </w:r>
    </w:p>
    <w:p>
      <w:pPr>
        <w:spacing w:after="40"/>
      </w:pPr>
      <w:r>
        <w:rPr>
          <w:sz w:val="16"/>
        </w:rPr>
        <w:t xml:space="preserve">S1. U.S. Census Bureau, Vintage 2025 county population estimates. </w:t>
      </w:r>
      <w:hyperlink r:id="rId9" w:history="1">
        <w:r>
          <w:rPr>
            <w:rStyle w:val="Hyperlink"/>
            <w:sz w:val="16"/>
            <w:szCs w:val="16"/>
          </w:rPr>
          <w:t xml:space="preserve">https://www2.census.gov/programs-surveys/popest/datasets/2020-2025/counties/totals/co-est2025-alldata.csv</w:t>
        </w:r>
      </w:hyperlink>
    </w:p>
    <w:p>
      <w:pPr>
        <w:spacing w:after="40"/>
      </w:pPr>
      <w:r>
        <w:rPr>
          <w:sz w:val="16"/>
        </w:rPr>
        <w:t>S2. U.S. Census Bureau, American Community Survey 2020-2024 5-year estimates (B19013, S1501), via pricephillips/renewable-opposition county_covariates.csv.</w:t>
      </w:r>
    </w:p>
    <w:p>
      <w:pPr>
        <w:spacing w:after="40"/>
      </w:pPr>
      <w:r>
        <w:rPr>
          <w:sz w:val="16"/>
        </w:rPr>
        <w:t xml:space="preserve">S3. MIT Election Data and Science Lab, County Presidential Election Returns 2000-2024, doi:10.7910/DVN/VOQCHQ. </w:t>
      </w:r>
      <w:hyperlink r:id="rId10" w:history="1">
        <w:r>
          <w:rPr>
            <w:rStyle w:val="Hyperlink"/>
            <w:sz w:val="16"/>
            <w:szCs w:val="16"/>
          </w:rPr>
          <w:t xml:space="preserve">https://electionlab.mit.edu/data</w:t>
        </w:r>
      </w:hyperlink>
    </w:p>
    <w:p>
      <w:pPr>
        <w:spacing w:after="40"/>
      </w:pPr>
      <w:r>
        <w:rPr>
          <w:sz w:val="16"/>
        </w:rPr>
        <w:t xml:space="preserve">S4. U.S. Energy Information Administration, Preliminary Monthly Electric Generator Inventory (EIA-860M), August 2026. </w:t>
      </w:r>
      <w:hyperlink r:id="rId11" w:history="1">
        <w:r>
          <w:rPr>
            <w:rStyle w:val="Hyperlink"/>
            <w:sz w:val="16"/>
            <w:szCs w:val="16"/>
          </w:rPr>
          <w:t xml:space="preserve">https://www.eia.gov/electricity/data/eia860m/</w:t>
        </w:r>
      </w:hyperlink>
    </w:p>
    <w:p>
      <w:pPr>
        <w:spacing w:after="40"/>
      </w:pPr>
      <w:r>
        <w:rPr>
          <w:sz w:val="16"/>
        </w:rPr>
        <w:t xml:space="preserve">S5. Quicksand Check, Harris County, TX: Energy projects and permits (summary of ERCOT GIS report, September 2026). </w:t>
      </w:r>
      <w:hyperlink r:id="rId12" w:history="1">
        <w:r>
          <w:rPr>
            <w:rStyle w:val="Hyperlink"/>
            <w:sz w:val="16"/>
            <w:szCs w:val="16"/>
          </w:rPr>
          <w:t xml:space="preserve">https://quicksandcheck.com/texas/harris-county/</w:t>
        </w:r>
      </w:hyperlink>
    </w:p>
    <w:p>
      <w:pPr>
        <w:spacing w:after="40"/>
      </w:pPr>
      <w:r>
        <w:rPr>
          <w:sz w:val="16"/>
        </w:rPr>
        <w:t xml:space="preserve">S6. City of Pasadena, City Council minutes, Oct. 1, 2024. </w:t>
      </w:r>
      <w:hyperlink r:id="rId34" w:history="1">
        <w:r>
          <w:rPr>
            <w:rStyle w:val="Hyperlink"/>
            <w:sz w:val="16"/>
            <w:szCs w:val="16"/>
          </w:rPr>
          <w:t xml:space="preserve">https://www.pasadenatx.gov/AgendaCenter/ViewFile/Minutes/_10012024-531</w:t>
        </w:r>
      </w:hyperlink>
    </w:p>
    <w:p>
      <w:pPr>
        <w:spacing w:after="40"/>
      </w:pPr>
      <w:r>
        <w:rPr>
          <w:sz w:val="16"/>
        </w:rPr>
        <w:t xml:space="preserve">S7. City of Pasadena, City Council minutes, Oct. 8, 2024. </w:t>
      </w:r>
      <w:hyperlink r:id="rId21" w:history="1">
        <w:r>
          <w:rPr>
            <w:rStyle w:val="Hyperlink"/>
            <w:sz w:val="16"/>
            <w:szCs w:val="16"/>
          </w:rPr>
          <w:t xml:space="preserve">https://www.pasadenatx.gov/AgendaCenter/ViewFile/Minutes/_10082024-533</w:t>
        </w:r>
      </w:hyperlink>
    </w:p>
    <w:p>
      <w:pPr>
        <w:spacing w:after="40"/>
      </w:pPr>
      <w:r>
        <w:rPr>
          <w:sz w:val="16"/>
        </w:rPr>
        <w:t xml:space="preserve">S8. City of Pasadena, agenda packet with Ordinance 2025-001, Jan. 6, 2025. </w:t>
      </w:r>
      <w:hyperlink r:id="rId35" w:history="1">
        <w:r>
          <w:rPr>
            <w:rStyle w:val="Hyperlink"/>
            <w:sz w:val="16"/>
            <w:szCs w:val="16"/>
          </w:rPr>
          <w:t xml:space="preserve">https://www.pasadenatx.gov/AgendaCenter/ViewFile/Agenda/_01062025-552</w:t>
        </w:r>
      </w:hyperlink>
    </w:p>
    <w:p>
      <w:pPr>
        <w:spacing w:after="40"/>
      </w:pPr>
      <w:r>
        <w:rPr>
          <w:sz w:val="16"/>
        </w:rPr>
        <w:t xml:space="preserve">S9. City of Pasadena, City Council minutes, Jan. 7, 2025. </w:t>
      </w:r>
      <w:hyperlink r:id="rId22" w:history="1">
        <w:r>
          <w:rPr>
            <w:rStyle w:val="Hyperlink"/>
            <w:sz w:val="16"/>
            <w:szCs w:val="16"/>
          </w:rPr>
          <w:t xml:space="preserve">https://www.pasadenatx.gov/AgendaCenter/ViewFile/Minutes/_01072025-553</w:t>
        </w:r>
      </w:hyperlink>
    </w:p>
    <w:p>
      <w:pPr>
        <w:spacing w:after="40"/>
      </w:pPr>
      <w:r>
        <w:rPr>
          <w:sz w:val="16"/>
        </w:rPr>
        <w:t xml:space="preserve">S10. City of Pasadena, agenda packet with Ordinance 2025-082 and Article XII, Mar. 18, 2025. </w:t>
      </w:r>
      <w:hyperlink r:id="rId36" w:history="1">
        <w:r>
          <w:rPr>
            <w:rStyle w:val="Hyperlink"/>
            <w:sz w:val="16"/>
            <w:szCs w:val="16"/>
          </w:rPr>
          <w:t xml:space="preserve">https://www.pasadenatx.gov/AgendaCenter/ViewFile/Agenda/_03182025-571</w:t>
        </w:r>
      </w:hyperlink>
    </w:p>
    <w:p>
      <w:pPr>
        <w:spacing w:after="40"/>
      </w:pPr>
      <w:r>
        <w:rPr>
          <w:sz w:val="16"/>
        </w:rPr>
        <w:t xml:space="preserve">S11. City of Pasadena, City Council minutes, Apr. 1, 2025. </w:t>
      </w:r>
      <w:hyperlink r:id="rId14" w:history="1">
        <w:r>
          <w:rPr>
            <w:rStyle w:val="Hyperlink"/>
            <w:sz w:val="16"/>
            <w:szCs w:val="16"/>
          </w:rPr>
          <w:t xml:space="preserve">https://www.pasadenatx.gov/AgendaCenter/ViewFile/Minutes/_04012025-574</w:t>
        </w:r>
      </w:hyperlink>
    </w:p>
    <w:p>
      <w:pPr>
        <w:spacing w:after="40"/>
      </w:pPr>
      <w:r>
        <w:rPr>
          <w:sz w:val="16"/>
        </w:rPr>
        <w:t xml:space="preserve">S12. City of Pasadena, City Council agenda, Oct. 20, 2026. </w:t>
      </w:r>
      <w:hyperlink r:id="rId37" w:history="1">
        <w:r>
          <w:rPr>
            <w:rStyle w:val="Hyperlink"/>
            <w:sz w:val="16"/>
            <w:szCs w:val="16"/>
          </w:rPr>
          <w:t xml:space="preserve">https://www.pasadenatx.gov/AgendaCenter/ViewFile/Agenda/_10202026-735</w:t>
        </w:r>
      </w:hyperlink>
    </w:p>
    <w:p>
      <w:pPr>
        <w:spacing w:after="40"/>
      </w:pPr>
      <w:r>
        <w:rPr>
          <w:sz w:val="16"/>
        </w:rPr>
        <w:t xml:space="preserve">S13. City of Baytown, 2015 Massey Tompkins special use permit and zoning map amendment, Aug. 27, 2025. </w:t>
      </w:r>
      <w:hyperlink r:id="rId23" w:history="1">
        <w:r>
          <w:rPr>
            <w:rStyle w:val="Hyperlink"/>
            <w:sz w:val="16"/>
            <w:szCs w:val="16"/>
          </w:rPr>
          <w:t xml:space="preserve">https://baytown.org/CivicAlerts.asp?AID=1231</w:t>
        </w:r>
      </w:hyperlink>
    </w:p>
    <w:p>
      <w:pPr>
        <w:spacing w:after="40"/>
      </w:pPr>
      <w:r>
        <w:rPr>
          <w:sz w:val="16"/>
        </w:rPr>
        <w:t xml:space="preserve">S14. City of Baytown, 1010 Bob Smith Road zoning map amendment and special use permit, Jan. 22, 2026. </w:t>
      </w:r>
      <w:hyperlink r:id="rId24" w:history="1">
        <w:r>
          <w:rPr>
            <w:rStyle w:val="Hyperlink"/>
            <w:sz w:val="16"/>
            <w:szCs w:val="16"/>
          </w:rPr>
          <w:t xml:space="preserve">https://baytown.org/CivicAlerts.asp?AID=1362</w:t>
        </w:r>
      </w:hyperlink>
    </w:p>
    <w:p>
      <w:pPr>
        <w:spacing w:after="40"/>
      </w:pPr>
      <w:r>
        <w:rPr>
          <w:sz w:val="16"/>
        </w:rPr>
        <w:t xml:space="preserve">S15. Baytown Sun, Concerns expressed over battery storage complex, Aug. 20, 2025. </w:t>
      </w:r>
      <w:hyperlink r:id="rId29" w:history="1">
        <w:r>
          <w:rPr>
            <w:rStyle w:val="Hyperlink"/>
            <w:sz w:val="16"/>
            <w:szCs w:val="16"/>
          </w:rPr>
          <w:t xml:space="preserve">https://baytownsun.com/news/concerns-expressed-over-battery-storage-complex/article_3bf1ec16-f4c2-4bec-98c9-ebc2066b94c6.html</w:t>
        </w:r>
      </w:hyperlink>
    </w:p>
    <w:p>
      <w:pPr>
        <w:spacing w:after="40"/>
      </w:pPr>
      <w:r>
        <w:rPr>
          <w:sz w:val="16"/>
        </w:rPr>
        <w:t xml:space="preserve">S16. Baytown Sun, Baytown Planning &amp; Zoning recommends approval of 9-acre battery storage facility in residential area, Nov. 12, 2025. </w:t>
      </w:r>
      <w:hyperlink r:id="rId28" w:history="1">
        <w:r>
          <w:rPr>
            <w:rStyle w:val="Hyperlink"/>
            <w:sz w:val="16"/>
            <w:szCs w:val="16"/>
          </w:rPr>
          <w:t xml:space="preserve">https://baytownsun.com/local/baytown-planning-zoning-recommends-approval-of-9-acre-battery-storage-facility-in-residential-area/article_dda8b8c0-a892-4c64-94ad-2e0e91e6e920.html</w:t>
        </w:r>
      </w:hyperlink>
    </w:p>
    <w:p>
      <w:pPr>
        <w:spacing w:after="40"/>
      </w:pPr>
      <w:r>
        <w:rPr>
          <w:sz w:val="16"/>
        </w:rPr>
        <w:t xml:space="preserve">S17. Baytown Sun, Council approves battery storage, Nov. 2025. </w:t>
      </w:r>
      <w:hyperlink r:id="rId38" w:history="1">
        <w:r>
          <w:rPr>
            <w:rStyle w:val="Hyperlink"/>
            <w:sz w:val="16"/>
            <w:szCs w:val="16"/>
          </w:rPr>
          <w:t xml:space="preserve">https://baytownsun.com/local/council-approves-battery-storage/article_ad53181c-e3cb-43d0-bf1a-a1b684e4a532.html</w:t>
        </w:r>
      </w:hyperlink>
    </w:p>
    <w:p>
      <w:pPr>
        <w:spacing w:after="40"/>
      </w:pPr>
      <w:r>
        <w:rPr>
          <w:sz w:val="16"/>
        </w:rPr>
        <w:t xml:space="preserve">S18. City of Baytown, Special use permit, Garth Road battery energy storage system, 2023. </w:t>
      </w:r>
      <w:hyperlink r:id="rId39" w:history="1">
        <w:r>
          <w:rPr>
            <w:rStyle w:val="Hyperlink"/>
            <w:sz w:val="16"/>
            <w:szCs w:val="16"/>
          </w:rPr>
          <w:t xml:space="preserve">https://www.baytown.org/CivicAlerts.aspx?AID=808</w:t>
        </w:r>
      </w:hyperlink>
    </w:p>
    <w:p>
      <w:pPr>
        <w:spacing w:after="40"/>
      </w:pPr>
      <w:r>
        <w:rPr>
          <w:sz w:val="16"/>
        </w:rPr>
        <w:t xml:space="preserve">S19. Community Impact, Tomball City Council denies conditional use permit for battery storage system, June 21, 2023. </w:t>
      </w:r>
      <w:hyperlink r:id="rId20" w:history="1">
        <w:r>
          <w:rPr>
            <w:rStyle w:val="Hyperlink"/>
            <w:sz w:val="16"/>
            <w:szCs w:val="16"/>
          </w:rPr>
          <w:t xml:space="preserve">https://communityimpact.com/tomball-magnolia/government/tomball-city-council-denies-conditional-use-permit-for-battery-storage-system/</w:t>
        </w:r>
      </w:hyperlink>
    </w:p>
    <w:p>
      <w:pPr>
        <w:spacing w:after="40"/>
      </w:pPr>
      <w:r>
        <w:rPr>
          <w:sz w:val="16"/>
        </w:rPr>
        <w:t xml:space="preserve">S20. Harris County Fire Marshal's Office, Energy storage systems. </w:t>
      </w:r>
      <w:hyperlink r:id="rId15" w:history="1">
        <w:r>
          <w:rPr>
            <w:rStyle w:val="Hyperlink"/>
            <w:sz w:val="16"/>
            <w:szCs w:val="16"/>
          </w:rPr>
          <w:t xml:space="preserve">https://hcfchub.net/ova_dep/energy-storage-systems/</w:t>
        </w:r>
      </w:hyperlink>
    </w:p>
    <w:p>
      <w:pPr>
        <w:spacing w:after="40"/>
      </w:pPr>
      <w:r>
        <w:rPr>
          <w:sz w:val="16"/>
        </w:rPr>
        <w:t xml:space="preserve">S21. Texas House Committee on State Affairs, compilation of public comments, hearing of Apr. 23, 2026. </w:t>
      </w:r>
      <w:hyperlink r:id="rId25" w:history="1">
        <w:r>
          <w:rPr>
            <w:rStyle w:val="Hyperlink"/>
            <w:sz w:val="16"/>
            <w:szCs w:val="16"/>
          </w:rPr>
          <w:t xml:space="preserve">https://capitol.texas.gov/tlodocs/89R/handouts/C4502026042310001/63fa389c-78a1-45e9-9914-c39bb46ecf2c.PDF</w:t>
        </w:r>
      </w:hyperlink>
    </w:p>
    <w:p>
      <w:pPr>
        <w:spacing w:after="40"/>
      </w:pPr>
      <w:r>
        <w:rPr>
          <w:sz w:val="16"/>
        </w:rPr>
        <w:t xml:space="preserve">S22. Advanced Power Alliance, testimony before the House Committee on State Affairs, Apr. 23, 2026. </w:t>
      </w:r>
      <w:hyperlink r:id="rId33" w:history="1">
        <w:r>
          <w:rPr>
            <w:rStyle w:val="Hyperlink"/>
            <w:sz w:val="16"/>
            <w:szCs w:val="16"/>
          </w:rPr>
          <w:t xml:space="preserve">https://poweralliance.org/2026/04/23/advanced-power-alliance-testifies-before-texas-house-committee-on-state-affairs-2/</w:t>
        </w:r>
      </w:hyperlink>
    </w:p>
    <w:p>
      <w:pPr>
        <w:spacing w:after="40"/>
      </w:pPr>
      <w:r>
        <w:rPr>
          <w:sz w:val="16"/>
        </w:rPr>
        <w:t xml:space="preserve">S23. Texas Legislature, HB 3824 (89R), enrolled text. </w:t>
      </w:r>
      <w:hyperlink r:id="rId26" w:history="1">
        <w:r>
          <w:rPr>
            <w:rStyle w:val="Hyperlink"/>
            <w:sz w:val="16"/>
            <w:szCs w:val="16"/>
          </w:rPr>
          <w:t xml:space="preserve">https://capitol.texas.gov/tlodocs/89R/billtext/html/HB03824F.htm</w:t>
        </w:r>
      </w:hyperlink>
    </w:p>
    <w:p>
      <w:pPr>
        <w:spacing w:after="40"/>
      </w:pPr>
      <w:r>
        <w:rPr>
          <w:sz w:val="16"/>
        </w:rPr>
        <w:t xml:space="preserve">S24. Texas Legislature, HB 3809 (89R), bill analysis. </w:t>
      </w:r>
      <w:hyperlink r:id="rId40" w:history="1">
        <w:r>
          <w:rPr>
            <w:rStyle w:val="Hyperlink"/>
            <w:sz w:val="16"/>
            <w:szCs w:val="16"/>
          </w:rPr>
          <w:t xml:space="preserve">https://capitol.texas.gov/tlodocs/89R/analysis/html/HB03809S.htm</w:t>
        </w:r>
      </w:hyperlink>
    </w:p>
    <w:p>
      <w:pPr>
        <w:spacing w:after="40"/>
      </w:pPr>
      <w:r>
        <w:rPr>
          <w:sz w:val="16"/>
        </w:rPr>
        <w:t xml:space="preserve">S25. Texas Legislature, SB 6 (89R), enrolled bill analysis. </w:t>
      </w:r>
      <w:hyperlink r:id="rId41" w:history="1">
        <w:r>
          <w:rPr>
            <w:rStyle w:val="Hyperlink"/>
            <w:sz w:val="16"/>
            <w:szCs w:val="16"/>
          </w:rPr>
          <w:t xml:space="preserve">https://capitol.texas.gov/tlodocs/89R/analysis/html/SB00006F.htm</w:t>
        </w:r>
      </w:hyperlink>
    </w:p>
    <w:p>
      <w:pPr>
        <w:spacing w:after="40"/>
      </w:pPr>
      <w:r>
        <w:rPr>
          <w:sz w:val="16"/>
        </w:rPr>
        <w:t xml:space="preserve">S26. Texas Legislature, SB 819 (89R), bill history. </w:t>
      </w:r>
      <w:hyperlink r:id="rId32" w:history="1">
        <w:r>
          <w:rPr>
            <w:rStyle w:val="Hyperlink"/>
            <w:sz w:val="16"/>
            <w:szCs w:val="16"/>
          </w:rPr>
          <w:t xml:space="preserve">https://capitol.texas.gov/BillLookup/History.aspx?LegSess=89R&amp;Bill=SB819</w:t>
        </w:r>
      </w:hyperlink>
    </w:p>
    <w:p>
      <w:pPr>
        <w:spacing w:after="40"/>
      </w:pPr>
      <w:r>
        <w:rPr>
          <w:sz w:val="16"/>
        </w:rPr>
        <w:t xml:space="preserve">S27. Texas Department of Insurance, rules page (BESS safety informal working draft). </w:t>
      </w:r>
      <w:hyperlink r:id="rId27" w:history="1">
        <w:r>
          <w:rPr>
            <w:rStyle w:val="Hyperlink"/>
            <w:sz w:val="16"/>
            <w:szCs w:val="16"/>
          </w:rPr>
          <w:t xml:space="preserve">https://www.tdi.texas.gov/rules/index.html</w:t>
        </w:r>
      </w:hyperlink>
    </w:p>
    <w:p>
      <w:pPr>
        <w:spacing w:after="40"/>
      </w:pPr>
      <w:r>
        <w:rPr>
          <w:sz w:val="16"/>
        </w:rPr>
        <w:t xml:space="preserve">S28. Republican Party of Texas, Resolution to protect Texas counties from the rapid expansion of battery energy storage systems, Mar. 28, 2025. </w:t>
      </w:r>
      <w:hyperlink r:id="rId16" w:history="1">
        <w:r>
          <w:rPr>
            <w:rStyle w:val="Hyperlink"/>
            <w:sz w:val="16"/>
            <w:szCs w:val="16"/>
          </w:rPr>
          <w:t xml:space="preserve">https://texasgop.org/resolution-to-protect-texas-counties-from-the-rapid-expansion-of-battery-energy-storage-systems-bess/</w:t>
        </w:r>
      </w:hyperlink>
    </w:p>
    <w:p>
      <w:pPr>
        <w:spacing w:after="40"/>
      </w:pPr>
      <w:r>
        <w:rPr>
          <w:sz w:val="16"/>
        </w:rPr>
        <w:t xml:space="preserve">S29. Rigzone, CenterPoint targets 8 GW of data center load in 3 years, Apr. 26, 2026. </w:t>
      </w:r>
      <w:hyperlink r:id="rId13" w:history="1">
        <w:r>
          <w:rPr>
            <w:rStyle w:val="Hyperlink"/>
            <w:sz w:val="16"/>
            <w:szCs w:val="16"/>
          </w:rPr>
          <w:t xml:space="preserve">https://www.rigzone.com/news/centerpoint_targets_8_gw_of_data_center_load_in_3_years-26-apr-2026-183533-article/</w:t>
        </w:r>
      </w:hyperlink>
    </w:p>
    <w:p>
      <w:pPr>
        <w:spacing w:after="40"/>
      </w:pPr>
      <w:r>
        <w:rPr>
          <w:sz w:val="16"/>
        </w:rPr>
        <w:t xml:space="preserve">S30. Bracewell (Houston Business Journal), CenterPoint expects 14 GW of demand added to grid by 2031, July 28, 2026. </w:t>
      </w:r>
      <w:hyperlink r:id="rId17" w:history="1">
        <w:r>
          <w:rPr>
            <w:rStyle w:val="Hyperlink"/>
            <w:sz w:val="16"/>
            <w:szCs w:val="16"/>
          </w:rPr>
          <w:t xml:space="preserve">https://www.bracewell.com/news-events/centerpoint-expects-14-gw-of-demand-added-to-grid-by-2031-thanks-to-new-ercot-process/</w:t>
        </w:r>
      </w:hyperlink>
    </w:p>
    <w:p>
      <w:pPr>
        <w:spacing w:after="40"/>
      </w:pPr>
      <w:r>
        <w:rPr>
          <w:sz w:val="16"/>
        </w:rPr>
        <w:t xml:space="preserve">S31. Utility Dive, Texas regulators trim, approve $2.7B CenterPoint system resiliency plan, Aug. 25, 2025. </w:t>
      </w:r>
      <w:hyperlink r:id="rId18" w:history="1">
        <w:r>
          <w:rPr>
            <w:rStyle w:val="Hyperlink"/>
            <w:sz w:val="16"/>
            <w:szCs w:val="16"/>
          </w:rPr>
          <w:t xml:space="preserve">https://www.utilitydive.com/news/texas-regulators-trim-approve-27b-centerpoint-system-resiliency-plan/758476/</w:t>
        </w:r>
      </w:hyperlink>
    </w:p>
    <w:p>
      <w:pPr>
        <w:spacing w:after="40"/>
      </w:pPr>
      <w:r>
        <w:rPr>
          <w:sz w:val="16"/>
        </w:rPr>
        <w:t xml:space="preserve">S32. Community Impact, Harris County launches affordable clean energy program, Oct. 1, 2026. </w:t>
      </w:r>
      <w:hyperlink r:id="rId19" w:history="1">
        <w:r>
          <w:rPr>
            <w:rStyle w:val="Hyperlink"/>
            <w:sz w:val="16"/>
            <w:szCs w:val="16"/>
          </w:rPr>
          <w:t xml:space="preserve">https://communityimpact.com/bay-area/environment/harris-county-launches-affordable-clean-energy-program/</w:t>
        </w:r>
      </w:hyperlink>
    </w:p>
    <w:p>
      <w:pPr>
        <w:spacing w:after="40"/>
      </w:pPr>
      <w:r>
        <w:rPr>
          <w:sz w:val="16"/>
        </w:rPr>
        <w:t xml:space="preserve">S33. University of Houston Hobby School, Harris County Election 2026: countywide and Precincts 2 and 4, October 2026. </w:t>
      </w:r>
      <w:hyperlink r:id="rId31" w:history="1">
        <w:r>
          <w:rPr>
            <w:rStyle w:val="Hyperlink"/>
            <w:sz w:val="16"/>
            <w:szCs w:val="16"/>
          </w:rPr>
          <w:t xml:space="preserve">https://www.uh.edu/hobby/harris2026/county2026.pdf</w:t>
        </w:r>
      </w:hyperlink>
    </w:p>
    <w:p>
      <w:pPr>
        <w:spacing w:after="40"/>
      </w:pPr>
      <w:r>
        <w:rPr>
          <w:sz w:val="16"/>
        </w:rPr>
        <w:t xml:space="preserve">S34. Community Impact, Katy City Council denies permit for energy storage facility amid community pushback, Oct. 15, 2024. </w:t>
      </w:r>
      <w:hyperlink r:id="rId42" w:history="1">
        <w:r>
          <w:rPr>
            <w:rStyle w:val="Hyperlink"/>
            <w:sz w:val="16"/>
            <w:szCs w:val="16"/>
          </w:rPr>
          <w:t xml:space="preserve">https://communityimpact.com/houston/katy-north/government/2024/10/15/katy-city-council-denies-permit-for-energy-storage-facility-amid-community-pushback/</w:t>
        </w:r>
      </w:hyperlink>
    </w:p>
    <w:p>
      <w:pPr>
        <w:spacing w:after="40"/>
      </w:pPr>
      <w:r>
        <w:rPr>
          <w:sz w:val="16"/>
        </w:rPr>
        <w:t xml:space="preserve">S35. Click2Houston, Katy battery plant decision delayed; ERCOT says city's denial affects grid authority, Dec. 8, 2025. </w:t>
      </w:r>
      <w:hyperlink r:id="rId43" w:history="1">
        <w:r>
          <w:rPr>
            <w:rStyle w:val="Hyperlink"/>
            <w:sz w:val="16"/>
            <w:szCs w:val="16"/>
          </w:rPr>
          <w:t xml:space="preserve">https://www.click2houston.com/news/local/2025/12/08/katy-battery-plant-decision-delayed-ercot-says-citys-denial-affects-grid-authority/</w:t>
        </w:r>
      </w:hyperlink>
    </w:p>
    <w:p>
      <w:pPr>
        <w:spacing w:after="40"/>
      </w:pPr>
      <w:r>
        <w:rPr>
          <w:sz w:val="16"/>
        </w:rPr>
        <w:t xml:space="preserve">S36. Covering Katy, Ochoa Energy Storage withdraws application to build battery storage facility near Katy High School, July 14, 2026. </w:t>
      </w:r>
      <w:hyperlink r:id="rId44" w:history="1">
        <w:r>
          <w:rPr>
            <w:rStyle w:val="Hyperlink"/>
            <w:sz w:val="16"/>
            <w:szCs w:val="16"/>
          </w:rPr>
          <w:t xml:space="preserve">https://coveringkaty.com/news/katy/ochoa-energy-storage-withdraws-application-to-build-battery-/</w:t>
        </w:r>
      </w:hyperlink>
    </w:p>
    <w:p>
      <w:pPr>
        <w:spacing w:after="40"/>
      </w:pPr>
      <w:r>
        <w:rPr>
          <w:sz w:val="16"/>
        </w:rPr>
        <w:t xml:space="preserve">S37. Community Impact, Proposed battery storage facility in League City faces resident backlash, Mar. 26, 2024. </w:t>
      </w:r>
      <w:hyperlink r:id="rId45" w:history="1">
        <w:r>
          <w:rPr>
            <w:rStyle w:val="Hyperlink"/>
            <w:sz w:val="16"/>
            <w:szCs w:val="16"/>
          </w:rPr>
          <w:t xml:space="preserve">https://communityimpact.com/bay-area/development/proposed-battery-storage-facility-in-league-city-faces-resident-backlash/</w:t>
        </w:r>
      </w:hyperlink>
    </w:p>
    <w:p>
      <w:pPr>
        <w:spacing w:after="40"/>
      </w:pPr>
      <w:r>
        <w:rPr>
          <w:sz w:val="16"/>
        </w:rPr>
        <w:t xml:space="preserve">S38. City of League City, staff report, BESS ordinance, June 17, 2024. </w:t>
      </w:r>
      <w:hyperlink r:id="rId46" w:history="1">
        <w:r>
          <w:rPr>
            <w:rStyle w:val="Hyperlink"/>
            <w:sz w:val="16"/>
            <w:szCs w:val="16"/>
          </w:rPr>
          <w:t xml:space="preserve">https://www.leaguecitytx.gov/DocumentCenter/View/44947/4A-Staff-Report---BESS-Ordinance</w:t>
        </w:r>
      </w:hyperlink>
    </w:p>
    <w:p>
      <w:pPr>
        <w:spacing w:after="40"/>
      </w:pPr>
      <w:r>
        <w:rPr>
          <w:sz w:val="16"/>
        </w:rPr>
        <w:t xml:space="preserve">S39. Boerne Star, County makes move to help in fight against battery storage systems, Oct. 19, 2024. </w:t>
      </w:r>
      <w:hyperlink r:id="rId30" w:history="1">
        <w:r>
          <w:rPr>
            <w:rStyle w:val="Hyperlink"/>
            <w:sz w:val="16"/>
            <w:szCs w:val="16"/>
          </w:rPr>
          <w:t xml:space="preserve">https://www.boernestar.com/article/9257,county-makes-move-to-help-in-fight-against-battery-storage-systems</w:t>
        </w:r>
      </w:hyperlink>
    </w:p>
    <w:p>
      <w:pPr>
        <w:spacing w:after="40"/>
      </w:pPr>
      <w:r>
        <w:rPr>
          <w:sz w:val="16"/>
        </w:rPr>
        <w:t>S40. Hawthorn platform, pricephillips/renewable-opposition, commit 65df5c9 (restrictions, contested_projects, county_summary, county_covariates, queue_projects, facilities, county_adjacency), and the provisional county restriction model fitted October 16, 2026 under config/county_model_registration.json.</w:t>
      </w:r>
    </w:p>
    <w:p>
      <w:pPr>
        <w:pStyle w:val="Heading2"/>
        <w:spacing w:before="240" w:after="80"/>
      </w:pPr>
      <w:r>
        <w:t>Image credits</w:t>
      </w:r>
    </w:p>
    <w:p>
      <w:pPr>
        <w:spacing w:after="40"/>
      </w:pPr>
      <w:r>
        <w:rPr>
          <w:sz w:val="16"/>
        </w:rPr>
        <w:t>Page 1 county map: Hawthorn Intelligence, drawn from U.S. Census Bureau 2024 county boundaries (data/geo/counties_2024.topojson in the Hawthorn platform), in the style of David Benbennick's public-domain Wikimedia Commons county maps.</w:t>
      </w:r>
    </w:p>
    <w:sectPr w:rsidR="005946EE" w:rsidRPr="003F776A" w:rsidSect="00E11A44">
      <w:footerReference w:type="even" r:id="rId149"/>
      <w:footerReference w:type="default" r:id="rId15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01BE7D9" w14:textId="77777777" w:rsidR="00366813" w:rsidRDefault="00366813" w:rsidP="00E11A44">
      <w:r>
        <w:separator/>
      </w:r>
    </w:p>
  </w:endnote>
  <w:endnote w:type="continuationSeparator" w:id="0">
    <w:p w14:paraId="7F1D3C3F" w14:textId="77777777" w:rsidR="00366813" w:rsidRDefault="00366813" w:rsidP="00E11A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10910205"/>
      <w:docPartObj>
        <w:docPartGallery w:val="Page Numbers (Bottom of Page)"/>
        <w:docPartUnique/>
      </w:docPartObj>
    </w:sdtPr>
    <w:sdtEndPr>
      <w:rPr>
        <w:rStyle w:val="PageNumber"/>
      </w:rPr>
    </w:sdtEndPr>
    <w:sdtContent>
      <w:p w14:paraId="45C0DE88" w14:textId="30757198" w:rsidR="00C04B27" w:rsidRDefault="00C04B27" w:rsidP="00FA411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DFF2772" w14:textId="77777777" w:rsidR="00C04B27" w:rsidRDefault="00C04B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54050151"/>
      <w:docPartObj>
        <w:docPartGallery w:val="Page Numbers (Bottom of Page)"/>
        <w:docPartUnique/>
      </w:docPartObj>
    </w:sdtPr>
    <w:sdtEndPr>
      <w:rPr>
        <w:rStyle w:val="PageNumber"/>
      </w:rPr>
    </w:sdtEndPr>
    <w:sdtContent>
      <w:p w14:paraId="058F8DB0" w14:textId="66776AEF" w:rsidR="00C04B27" w:rsidRDefault="00C04B27" w:rsidP="00FA411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96D13B8" w14:textId="3FF3F7B7" w:rsidR="0081428A" w:rsidRDefault="00C04B27" w:rsidP="00C04B27">
    <w:pPr>
      <w:pStyle w:val="Footer"/>
      <w:ind w:right="360"/>
    </w:pPr>
    <w:r w:rsidRPr="000971D7">
      <w:rPr>
        <w:noProof/>
        <w:highlight w:val="yellow"/>
      </w:rPr>
      <w:drawing>
        <wp:anchor distT="0" distB="0" distL="114300" distR="114300" simplePos="0" relativeHeight="251658240" behindDoc="0" locked="0" layoutInCell="1" allowOverlap="1" wp14:anchorId="0D730020" wp14:editId="0FD87A89">
          <wp:simplePos x="0" y="0"/>
          <wp:positionH relativeFrom="margin">
            <wp:posOffset>0</wp:posOffset>
          </wp:positionH>
          <wp:positionV relativeFrom="margin">
            <wp:posOffset>8923020</wp:posOffset>
          </wp:positionV>
          <wp:extent cx="899795" cy="179705"/>
          <wp:effectExtent l="0" t="0" r="1905" b="0"/>
          <wp:wrapSquare wrapText="bothSides"/>
          <wp:docPr id="29" name="Picture 7" descr="A green text on a black background&#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descr="A green text on a black background&#10;&#10;Description automatically generated"/>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9795" cy="179705"/>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B52A3C9" w14:textId="77777777" w:rsidR="00366813" w:rsidRDefault="00366813" w:rsidP="00E11A44">
      <w:r>
        <w:separator/>
      </w:r>
    </w:p>
  </w:footnote>
  <w:footnote w:type="continuationSeparator" w:id="0">
    <w:p w14:paraId="3EE11083" w14:textId="77777777" w:rsidR="00366813" w:rsidRDefault="00366813" w:rsidP="00E11A44">
      <w:r>
        <w:continuationSeparator/>
      </w:r>
    </w:p>
  </w:footnote>
  <w:footnote w:id="1">
    <w:p>
      <w:pPr>
        <w:pStyle w:val="FootnoteText"/>
      </w:pPr>
      <w:r>
        <w:rPr>
          <w:rStyle w:val="FootnoteReference"/>
          <w:rFonts w:ascii="Georgia" w:hAnsi="Georgia"/>
          <w:sz w:val="16"/>
          <w:szCs w:val="16"/>
        </w:rPr>
        <w:footnoteRef/>
      </w:r>
      <w:r>
        <w:rPr>
          <w:rFonts w:ascii="Georgia" w:hAnsi="Georgia"/>
          <w:sz w:val="16"/>
          <w:szCs w:val="16"/>
        </w:rPr>
        <w:t xml:space="preserve"> With a likely range of 0.31 to 0.39 (10th to 90th percentile of 200 bootstrap refits), against a national base rate of 0.24.</w:t>
      </w:r>
    </w:p>
  </w:footnote>
  <w:footnote w:id="2">
    <w:p>
      <w:pPr>
        <w:pStyle w:val="FootnoteText"/>
      </w:pPr>
      <w:r>
        <w:rPr>
          <w:rStyle w:val="FootnoteReference"/>
          <w:rFonts w:ascii="Georgia" w:hAnsi="Georgia"/>
          <w:sz w:val="16"/>
          <w:szCs w:val="16"/>
        </w:rPr>
        <w:footnoteRef/>
      </w:r>
      <w:r>
        <w:rPr>
          <w:rFonts w:ascii="Georgia" w:hAnsi="Georgia"/>
          <w:sz w:val="16"/>
          <w:szCs w:val="16"/>
        </w:rPr>
        <w:t xml:space="preserve"> Model validation: cross-validated AUC (area under the ROC curve: the chance a restricted county outscores an unrestricted one) 0.78 (0.81 when whole states are held out), Brier (mean squared error of the scores) score 0.145 against a 0.181 no-skill baseline (skill 0.20), expected calibration error 0.016, across 3,144 counties; it passes the platform's pre-registered calibration gate. Median scores for restricted and unrestricted counties sit 21 points apart (0.34 and 0.14). This is a provisional fit made for this report; the platform's own county model is still being built.</w:t>
      </w:r>
    </w:p>
  </w:footnote>
  <w:footnote w:id="3">
    <w:p>
      <w:pPr>
        <w:pStyle w:val="FootnoteText"/>
      </w:pPr>
      <w:r>
        <w:rPr>
          <w:rStyle w:val="FootnoteReference"/>
          <w:rFonts w:ascii="Georgia" w:hAnsi="Georgia"/>
          <w:sz w:val="16"/>
          <w:szCs w:val="16"/>
        </w:rPr>
        <w:footnoteRef/>
      </w:r>
      <w:r>
        <w:rPr>
          <w:rFonts w:ascii="Georgia" w:hAnsi="Georgia"/>
          <w:sz w:val="16"/>
          <w:szCs w:val="16"/>
        </w:rPr>
        <w:t xml:space="preserve"> Deciles computed from all 3,144 scored counties (the 50 states and DC) as of October 16, 2026. A severe restriction is one scoring 3 or 4 on the platform's severity scale. Harris's own label rests on Pasadena's 2024 moratorium, which the platform lists as extended and in force; the city's minutes show it was replaced in April 2025 by Article XII, whose 500-foot residential setback would score 2. The label does not enter Harris's own out-of-fold score.</w:t>
      </w:r>
    </w:p>
  </w:footnote>
  <w:footnote w:id="4">
    <w:p>
      <w:pPr>
        <w:pStyle w:val="FootnoteText"/>
      </w:pPr>
      <w:r>
        <w:rPr>
          <w:rStyle w:val="FootnoteReference"/>
          <w:rFonts w:ascii="Georgia" w:hAnsi="Georgia"/>
          <w:sz w:val="16"/>
          <w:szCs w:val="16"/>
        </w:rPr>
        <w:footnoteRef/>
      </w:r>
      <w:r>
        <w:rPr>
          <w:rFonts w:ascii="Georgia" w:hAnsi="Georgia"/>
          <w:sz w:val="16"/>
          <w:szCs w:val="16"/>
        </w:rPr>
        <w:t xml:space="preserve"> Percentiles are mid-rank: the share of counties below Harris plus half of ties. The margin row ranks Democratic lean. Opposition records include the Pasadena storage code and the three contested projects this review found, which the platform's published data does not yet hold; all other counties' records are as published. Demographic rows show the model inputs (ACS 2020-2024).</w:t>
      </w:r>
    </w:p>
  </w:footnote>
  <w:footnote w:id="5">
    <w:p>
      <w:pPr>
        <w:pStyle w:val="FootnoteText"/>
      </w:pPr>
      <w:r>
        <w:rPr>
          <w:rStyle w:val="FootnoteReference"/>
          <w:rFonts w:ascii="Georgia" w:hAnsi="Georgia"/>
          <w:sz w:val="16"/>
          <w:szCs w:val="16"/>
        </w:rPr>
        <w:footnoteRef/>
      </w:r>
      <w:r>
        <w:rPr>
          <w:rFonts w:ascii="Georgia" w:hAnsi="Georgia"/>
          <w:sz w:val="16"/>
          <w:szCs w:val="16"/>
        </w:rPr>
        <w:t xml:space="preserve"> Lift is the median cross-validated coefficient times Harris's standardized, transformed value, summed to 0.69 log-odds above an average county. Share of movement is each trait's absolute lift as a share of the total. Averages are on the model's log scale.</w:t>
      </w:r>
    </w:p>
  </w:footnote>
  <w:footnote w:id="6">
    <w:p>
      <w:pPr>
        <w:pStyle w:val="FootnoteText"/>
      </w:pPr>
      <w:r>
        <w:rPr>
          <w:rStyle w:val="FootnoteReference"/>
          <w:rFonts w:ascii="Georgia" w:hAnsi="Georgia"/>
          <w:sz w:val="16"/>
          <w:szCs w:val="16"/>
        </w:rPr>
        <w:footnoteRef/>
      </w:r>
      <w:r>
        <w:rPr>
          <w:rFonts w:ascii="Georgia" w:hAnsi="Georgia"/>
          <w:sz w:val="16"/>
          <w:szCs w:val="16"/>
        </w:rPr>
        <w:t xml:space="preserve"> The peers are Tarrant, Dallas and Bexar (TX), Miami-Dade, Broward, Hillsborough and Orange (FL), and Sacramento, Los Angeles and Orange (CA); Orange (CA) scores highest at 0.91.</w:t>
      </w:r>
    </w:p>
  </w:footnote>
  <w:footnote w:id="7">
    <w:p>
      <w:pPr>
        <w:pStyle w:val="FootnoteText"/>
      </w:pPr>
      <w:r>
        <w:rPr>
          <w:rStyle w:val="FootnoteReference"/>
          <w:rFonts w:ascii="Georgia" w:hAnsi="Georgia"/>
          <w:sz w:val="16"/>
          <w:szCs w:val="16"/>
        </w:rPr>
        <w:footnoteRef/>
      </w:r>
      <w:r>
        <w:rPr>
          <w:rFonts w:ascii="Georgia" w:hAnsi="Georgia"/>
          <w:sz w:val="16"/>
          <w:szCs w:val="16"/>
        </w:rPr>
        <w:t xml:space="preserve"> Scores describe county profiles, not restriction status. Waller's severe record is the City of Waller's 2010 limit on small wind systems; Katy's denial of the 500 MW Ochoa project (2024, withdrawn 2026) is on a Waller County site and not yet in the platform. League City and Texas City in Galveston County have adopted storage rules that are not yet in the platform. Interconnection requests are from LBNL Queued Up (data through 2025); population is the ACS 2020-2024 model input.</w:t>
      </w:r>
    </w:p>
  </w:footnote>
  <w:footnote w:id="8">
    <w:p>
      <w:pPr>
        <w:pStyle w:val="FootnoteText"/>
      </w:pPr>
      <w:r>
        <w:rPr>
          <w:rStyle w:val="FootnoteReference"/>
          <w:rFonts w:ascii="Georgia" w:hAnsi="Georgia"/>
          <w:sz w:val="16"/>
          <w:szCs w:val="16"/>
        </w:rPr>
        <w:footnoteRef/>
      </w:r>
      <w:r>
        <w:rPr>
          <w:rFonts w:ascii="Georgia" w:hAnsi="Georgia"/>
          <w:sz w:val="16"/>
          <w:szCs w:val="16"/>
        </w:rPr>
        <w:t xml:space="preserve"> Distribution across 3,222 counties and county equivalents in the platform's published data as of October 13, 2026.</w:t>
      </w:r>
    </w:p>
  </w:footnote>
  <w:footnote w:id="9">
    <w:p>
      <w:pPr>
        <w:pStyle w:val="FootnoteText"/>
      </w:pPr>
      <w:r>
        <w:rPr>
          <w:rStyle w:val="FootnoteReference"/>
          <w:rFonts w:ascii="Georgia" w:hAnsi="Georgia"/>
          <w:sz w:val="16"/>
          <w:szCs w:val="16"/>
        </w:rPr>
        <w:footnoteRef/>
      </w:r>
      <w:r>
        <w:rPr>
          <w:rFonts w:ascii="Georgia" w:hAnsi="Georgia"/>
          <w:sz w:val="16"/>
          <w:szCs w:val="16"/>
        </w:rPr>
        <w:t xml:space="preserve"> Tiers for the Baytown and Tomball projects are assigned from the public record cited under Project outcomes; the Claire vote count rests on a Baytown Sun report we could not open.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E27473"/>
    <w:multiLevelType w:val="hybridMultilevel"/>
    <w:tmpl w:val="87FC4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5F0280"/>
    <w:multiLevelType w:val="hybridMultilevel"/>
    <w:tmpl w:val="D69EF024"/>
    <w:lvl w:ilvl="0" w:tplc="636EED78">
      <w:numFmt w:val="bullet"/>
      <w:lvlText w:val="-"/>
      <w:lvlJc w:val="left"/>
      <w:pPr>
        <w:ind w:left="720" w:hanging="360"/>
      </w:pPr>
      <w:rPr>
        <w:rFonts w:ascii="Georgia" w:eastAsiaTheme="minorHAnsi" w:hAnsi="Georgia" w:cs="Times New Roman (Body C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8C751A"/>
    <w:multiLevelType w:val="hybridMultilevel"/>
    <w:tmpl w:val="94949552"/>
    <w:lvl w:ilvl="0" w:tplc="636EED78">
      <w:numFmt w:val="bullet"/>
      <w:lvlText w:val="-"/>
      <w:lvlJc w:val="left"/>
      <w:pPr>
        <w:ind w:left="720" w:hanging="360"/>
      </w:pPr>
      <w:rPr>
        <w:rFonts w:ascii="Georgia" w:eastAsiaTheme="minorHAnsi" w:hAnsi="Georgia" w:cs="Times New Roman (Body C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D07E84"/>
    <w:multiLevelType w:val="multilevel"/>
    <w:tmpl w:val="E0EE8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124721"/>
    <w:multiLevelType w:val="hybridMultilevel"/>
    <w:tmpl w:val="100CDE60"/>
    <w:lvl w:ilvl="0" w:tplc="A606D5D2">
      <w:start w:val="1"/>
      <w:numFmt w:val="bullet"/>
      <w:lvlText w:val="•"/>
      <w:lvlJc w:val="left"/>
      <w:pPr>
        <w:ind w:left="360" w:hanging="240"/>
      </w:pPr>
    </w:lvl>
    <w:lvl w:ilvl="1" w:tplc="6AB65CCE">
      <w:numFmt w:val="decimal"/>
      <w:lvlText w:val=""/>
      <w:lvlJc w:val="left"/>
    </w:lvl>
    <w:lvl w:ilvl="2" w:tplc="C9E0209E">
      <w:numFmt w:val="decimal"/>
      <w:lvlText w:val=""/>
      <w:lvlJc w:val="left"/>
    </w:lvl>
    <w:lvl w:ilvl="3" w:tplc="930EF30A">
      <w:numFmt w:val="decimal"/>
      <w:lvlText w:val=""/>
      <w:lvlJc w:val="left"/>
    </w:lvl>
    <w:lvl w:ilvl="4" w:tplc="8F6EE14E">
      <w:numFmt w:val="decimal"/>
      <w:lvlText w:val=""/>
      <w:lvlJc w:val="left"/>
    </w:lvl>
    <w:lvl w:ilvl="5" w:tplc="F93E6B34">
      <w:numFmt w:val="decimal"/>
      <w:lvlText w:val=""/>
      <w:lvlJc w:val="left"/>
    </w:lvl>
    <w:lvl w:ilvl="6" w:tplc="2BA8233C">
      <w:numFmt w:val="decimal"/>
      <w:lvlText w:val=""/>
      <w:lvlJc w:val="left"/>
    </w:lvl>
    <w:lvl w:ilvl="7" w:tplc="2C60DF98">
      <w:numFmt w:val="decimal"/>
      <w:lvlText w:val=""/>
      <w:lvlJc w:val="left"/>
    </w:lvl>
    <w:lvl w:ilvl="8" w:tplc="693A50F4">
      <w:numFmt w:val="decimal"/>
      <w:lvlText w:val=""/>
      <w:lvlJc w:val="left"/>
    </w:lvl>
  </w:abstractNum>
  <w:abstractNum w:abstractNumId="5" w15:restartNumberingAfterBreak="0">
    <w:nsid w:val="490D349E"/>
    <w:multiLevelType w:val="hybridMultilevel"/>
    <w:tmpl w:val="815E53C0"/>
    <w:lvl w:ilvl="0" w:tplc="636EED78">
      <w:numFmt w:val="bullet"/>
      <w:lvlText w:val="-"/>
      <w:lvlJc w:val="left"/>
      <w:pPr>
        <w:ind w:left="720" w:hanging="360"/>
      </w:pPr>
      <w:rPr>
        <w:rFonts w:ascii="Georgia" w:eastAsiaTheme="minorHAnsi" w:hAnsi="Georgia" w:cs="Times New Roman (Body C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0B20698"/>
    <w:multiLevelType w:val="hybridMultilevel"/>
    <w:tmpl w:val="6060BC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6676F54"/>
    <w:multiLevelType w:val="hybridMultilevel"/>
    <w:tmpl w:val="87962A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E6B7DAA"/>
    <w:multiLevelType w:val="hybridMultilevel"/>
    <w:tmpl w:val="55C4A090"/>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9" w15:restartNumberingAfterBreak="0">
    <w:nsid w:val="6C996983"/>
    <w:multiLevelType w:val="hybridMultilevel"/>
    <w:tmpl w:val="3ACAA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EB830B2"/>
    <w:multiLevelType w:val="hybridMultilevel"/>
    <w:tmpl w:val="7E46C3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61374107">
    <w:abstractNumId w:val="1"/>
  </w:num>
  <w:num w:numId="2" w16cid:durableId="1245800776">
    <w:abstractNumId w:val="5"/>
  </w:num>
  <w:num w:numId="3" w16cid:durableId="923958287">
    <w:abstractNumId w:val="2"/>
  </w:num>
  <w:num w:numId="4" w16cid:durableId="1241794666">
    <w:abstractNumId w:val="4"/>
    <w:lvlOverride w:ilvl="0">
      <w:startOverride w:val="1"/>
    </w:lvlOverride>
  </w:num>
  <w:num w:numId="5" w16cid:durableId="458647231">
    <w:abstractNumId w:val="10"/>
  </w:num>
  <w:num w:numId="6" w16cid:durableId="376003952">
    <w:abstractNumId w:val="7"/>
  </w:num>
  <w:num w:numId="7" w16cid:durableId="1015500443">
    <w:abstractNumId w:val="8"/>
  </w:num>
  <w:num w:numId="8" w16cid:durableId="1826436875">
    <w:abstractNumId w:val="9"/>
  </w:num>
  <w:num w:numId="9" w16cid:durableId="970406196">
    <w:abstractNumId w:val="6"/>
  </w:num>
  <w:num w:numId="10" w16cid:durableId="1817408200">
    <w:abstractNumId w:val="3"/>
  </w:num>
  <w:num w:numId="11" w16cid:durableId="1432436436">
    <w:abstractNumId w:val="0"/>
  </w:num>
  <w:num w:numId="12">
    <w:abstractNumId w:val="10"/>
    <w:lvlOverride w:ilvl="0">
      <w:startOverride w:val="1"/>
    </w:lvlOverride>
  </w:num>
  <w:num w:numId="13">
    <w:abstractNumId w:val="1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attachedTemplate r:id="rId1"/>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A71"/>
    <w:rsid w:val="000012E9"/>
    <w:rsid w:val="00002F26"/>
    <w:rsid w:val="00052238"/>
    <w:rsid w:val="00085F75"/>
    <w:rsid w:val="00090CAE"/>
    <w:rsid w:val="00096BB9"/>
    <w:rsid w:val="000A7153"/>
    <w:rsid w:val="000B12E5"/>
    <w:rsid w:val="000B441C"/>
    <w:rsid w:val="000C7D8E"/>
    <w:rsid w:val="000D7BE7"/>
    <w:rsid w:val="000F4CD3"/>
    <w:rsid w:val="00113839"/>
    <w:rsid w:val="001230C8"/>
    <w:rsid w:val="00135834"/>
    <w:rsid w:val="00151761"/>
    <w:rsid w:val="001609FA"/>
    <w:rsid w:val="0016389A"/>
    <w:rsid w:val="00171E89"/>
    <w:rsid w:val="0017333B"/>
    <w:rsid w:val="0017639D"/>
    <w:rsid w:val="0019490A"/>
    <w:rsid w:val="001B7BFF"/>
    <w:rsid w:val="001B7EE7"/>
    <w:rsid w:val="001D1E49"/>
    <w:rsid w:val="001D2E23"/>
    <w:rsid w:val="001D2F2A"/>
    <w:rsid w:val="001D70C3"/>
    <w:rsid w:val="001E07E3"/>
    <w:rsid w:val="001E4437"/>
    <w:rsid w:val="001F2412"/>
    <w:rsid w:val="00222018"/>
    <w:rsid w:val="0022433B"/>
    <w:rsid w:val="00230BBC"/>
    <w:rsid w:val="00232302"/>
    <w:rsid w:val="0023752F"/>
    <w:rsid w:val="00244403"/>
    <w:rsid w:val="00254C3D"/>
    <w:rsid w:val="00256E9E"/>
    <w:rsid w:val="00281113"/>
    <w:rsid w:val="002879A6"/>
    <w:rsid w:val="00297C73"/>
    <w:rsid w:val="002B17A6"/>
    <w:rsid w:val="002B59FB"/>
    <w:rsid w:val="002D282F"/>
    <w:rsid w:val="002F273C"/>
    <w:rsid w:val="003024A6"/>
    <w:rsid w:val="00305772"/>
    <w:rsid w:val="003149DB"/>
    <w:rsid w:val="00315204"/>
    <w:rsid w:val="00325C31"/>
    <w:rsid w:val="00351312"/>
    <w:rsid w:val="003536FA"/>
    <w:rsid w:val="00353B25"/>
    <w:rsid w:val="00360C26"/>
    <w:rsid w:val="00366813"/>
    <w:rsid w:val="00372230"/>
    <w:rsid w:val="0037774E"/>
    <w:rsid w:val="0038285C"/>
    <w:rsid w:val="00386D6F"/>
    <w:rsid w:val="003A414B"/>
    <w:rsid w:val="003A4C6E"/>
    <w:rsid w:val="003A79D4"/>
    <w:rsid w:val="003C2F3A"/>
    <w:rsid w:val="003E54D8"/>
    <w:rsid w:val="003E65D3"/>
    <w:rsid w:val="003F0268"/>
    <w:rsid w:val="003F63DD"/>
    <w:rsid w:val="003F7219"/>
    <w:rsid w:val="003F776A"/>
    <w:rsid w:val="004032BA"/>
    <w:rsid w:val="00421137"/>
    <w:rsid w:val="00427D3C"/>
    <w:rsid w:val="00436EC3"/>
    <w:rsid w:val="00437D46"/>
    <w:rsid w:val="00441F82"/>
    <w:rsid w:val="00444B01"/>
    <w:rsid w:val="0045202E"/>
    <w:rsid w:val="00485909"/>
    <w:rsid w:val="004A0AB0"/>
    <w:rsid w:val="004B4DDA"/>
    <w:rsid w:val="004D00A2"/>
    <w:rsid w:val="004D71AE"/>
    <w:rsid w:val="004F7D95"/>
    <w:rsid w:val="0050213D"/>
    <w:rsid w:val="00502D03"/>
    <w:rsid w:val="0051487E"/>
    <w:rsid w:val="00524567"/>
    <w:rsid w:val="00535A3A"/>
    <w:rsid w:val="00536359"/>
    <w:rsid w:val="00562B06"/>
    <w:rsid w:val="00566E7E"/>
    <w:rsid w:val="005946EE"/>
    <w:rsid w:val="0059707B"/>
    <w:rsid w:val="005A64AA"/>
    <w:rsid w:val="005E607B"/>
    <w:rsid w:val="005F1947"/>
    <w:rsid w:val="005F254D"/>
    <w:rsid w:val="005F5CC8"/>
    <w:rsid w:val="00600BA3"/>
    <w:rsid w:val="00603721"/>
    <w:rsid w:val="00606BAB"/>
    <w:rsid w:val="006153E0"/>
    <w:rsid w:val="00631444"/>
    <w:rsid w:val="00654EB7"/>
    <w:rsid w:val="0067378A"/>
    <w:rsid w:val="00673F23"/>
    <w:rsid w:val="00681325"/>
    <w:rsid w:val="00682077"/>
    <w:rsid w:val="0068292B"/>
    <w:rsid w:val="00682E3A"/>
    <w:rsid w:val="006905B6"/>
    <w:rsid w:val="006A46A4"/>
    <w:rsid w:val="006B175D"/>
    <w:rsid w:val="006C2016"/>
    <w:rsid w:val="006C7750"/>
    <w:rsid w:val="006D0599"/>
    <w:rsid w:val="006D09F1"/>
    <w:rsid w:val="006D4F6F"/>
    <w:rsid w:val="006E5581"/>
    <w:rsid w:val="006F1DB8"/>
    <w:rsid w:val="007009B1"/>
    <w:rsid w:val="0070408E"/>
    <w:rsid w:val="007368F1"/>
    <w:rsid w:val="00741AD8"/>
    <w:rsid w:val="00762DBE"/>
    <w:rsid w:val="0076316F"/>
    <w:rsid w:val="00764B87"/>
    <w:rsid w:val="00774CBA"/>
    <w:rsid w:val="0077666F"/>
    <w:rsid w:val="00781A16"/>
    <w:rsid w:val="00782FBC"/>
    <w:rsid w:val="00782FC5"/>
    <w:rsid w:val="007907BB"/>
    <w:rsid w:val="007918FA"/>
    <w:rsid w:val="007A4695"/>
    <w:rsid w:val="007C0C31"/>
    <w:rsid w:val="007D1DB2"/>
    <w:rsid w:val="007E0B30"/>
    <w:rsid w:val="007E70F5"/>
    <w:rsid w:val="007F4D65"/>
    <w:rsid w:val="007F79B2"/>
    <w:rsid w:val="00804A65"/>
    <w:rsid w:val="0081084B"/>
    <w:rsid w:val="00810B1E"/>
    <w:rsid w:val="0081191E"/>
    <w:rsid w:val="0081428A"/>
    <w:rsid w:val="00855F85"/>
    <w:rsid w:val="00857BCA"/>
    <w:rsid w:val="0086257C"/>
    <w:rsid w:val="008B301E"/>
    <w:rsid w:val="008B51A6"/>
    <w:rsid w:val="008C06CC"/>
    <w:rsid w:val="008C1C1D"/>
    <w:rsid w:val="008C1F31"/>
    <w:rsid w:val="008D5C9C"/>
    <w:rsid w:val="008E4058"/>
    <w:rsid w:val="008F5562"/>
    <w:rsid w:val="0092327A"/>
    <w:rsid w:val="00927688"/>
    <w:rsid w:val="009322D0"/>
    <w:rsid w:val="009322E5"/>
    <w:rsid w:val="00933D58"/>
    <w:rsid w:val="00934070"/>
    <w:rsid w:val="00943251"/>
    <w:rsid w:val="00946EDE"/>
    <w:rsid w:val="0094796A"/>
    <w:rsid w:val="00973ECB"/>
    <w:rsid w:val="00977CF3"/>
    <w:rsid w:val="00995CF6"/>
    <w:rsid w:val="009B36E0"/>
    <w:rsid w:val="009B768F"/>
    <w:rsid w:val="009C0FA9"/>
    <w:rsid w:val="009D6343"/>
    <w:rsid w:val="009E40AB"/>
    <w:rsid w:val="009F060D"/>
    <w:rsid w:val="009F3E72"/>
    <w:rsid w:val="00A20284"/>
    <w:rsid w:val="00A2048C"/>
    <w:rsid w:val="00A26C4B"/>
    <w:rsid w:val="00A32B01"/>
    <w:rsid w:val="00A40E58"/>
    <w:rsid w:val="00A478B1"/>
    <w:rsid w:val="00A5124A"/>
    <w:rsid w:val="00A51947"/>
    <w:rsid w:val="00A659D2"/>
    <w:rsid w:val="00A717D9"/>
    <w:rsid w:val="00AC6429"/>
    <w:rsid w:val="00AC6DB0"/>
    <w:rsid w:val="00AC79EE"/>
    <w:rsid w:val="00AE3F1E"/>
    <w:rsid w:val="00AF7CD5"/>
    <w:rsid w:val="00B01277"/>
    <w:rsid w:val="00B16AAC"/>
    <w:rsid w:val="00B35035"/>
    <w:rsid w:val="00B35633"/>
    <w:rsid w:val="00B41355"/>
    <w:rsid w:val="00B43043"/>
    <w:rsid w:val="00B5658B"/>
    <w:rsid w:val="00B71D88"/>
    <w:rsid w:val="00B76A19"/>
    <w:rsid w:val="00B80367"/>
    <w:rsid w:val="00B828C1"/>
    <w:rsid w:val="00B84FF7"/>
    <w:rsid w:val="00B8777C"/>
    <w:rsid w:val="00B901F6"/>
    <w:rsid w:val="00B92891"/>
    <w:rsid w:val="00BA6CCD"/>
    <w:rsid w:val="00BB1D70"/>
    <w:rsid w:val="00BC457E"/>
    <w:rsid w:val="00BC4682"/>
    <w:rsid w:val="00C04B27"/>
    <w:rsid w:val="00C30E19"/>
    <w:rsid w:val="00C3419A"/>
    <w:rsid w:val="00C43374"/>
    <w:rsid w:val="00C46EB1"/>
    <w:rsid w:val="00C55A5B"/>
    <w:rsid w:val="00C6564F"/>
    <w:rsid w:val="00C70FD9"/>
    <w:rsid w:val="00C8078C"/>
    <w:rsid w:val="00C80FD4"/>
    <w:rsid w:val="00C85479"/>
    <w:rsid w:val="00C87DD1"/>
    <w:rsid w:val="00C90703"/>
    <w:rsid w:val="00C916B3"/>
    <w:rsid w:val="00C92288"/>
    <w:rsid w:val="00C92881"/>
    <w:rsid w:val="00CA3656"/>
    <w:rsid w:val="00CA7AD7"/>
    <w:rsid w:val="00CB197C"/>
    <w:rsid w:val="00CB5A71"/>
    <w:rsid w:val="00CC661E"/>
    <w:rsid w:val="00CD29AB"/>
    <w:rsid w:val="00CE07F4"/>
    <w:rsid w:val="00CF3151"/>
    <w:rsid w:val="00CF49F8"/>
    <w:rsid w:val="00CF718E"/>
    <w:rsid w:val="00D01257"/>
    <w:rsid w:val="00D053BB"/>
    <w:rsid w:val="00D06907"/>
    <w:rsid w:val="00D1663B"/>
    <w:rsid w:val="00D319FB"/>
    <w:rsid w:val="00D36DF2"/>
    <w:rsid w:val="00D604AC"/>
    <w:rsid w:val="00D72797"/>
    <w:rsid w:val="00D755BB"/>
    <w:rsid w:val="00D759AE"/>
    <w:rsid w:val="00D80AA0"/>
    <w:rsid w:val="00D93498"/>
    <w:rsid w:val="00DA2F6A"/>
    <w:rsid w:val="00DC071F"/>
    <w:rsid w:val="00DC2D18"/>
    <w:rsid w:val="00DC3405"/>
    <w:rsid w:val="00DC41BC"/>
    <w:rsid w:val="00DD559E"/>
    <w:rsid w:val="00DE7F9A"/>
    <w:rsid w:val="00DF69A2"/>
    <w:rsid w:val="00E01CF9"/>
    <w:rsid w:val="00E11A44"/>
    <w:rsid w:val="00E17935"/>
    <w:rsid w:val="00E53061"/>
    <w:rsid w:val="00E606C4"/>
    <w:rsid w:val="00E63B5E"/>
    <w:rsid w:val="00E75C0B"/>
    <w:rsid w:val="00E869A2"/>
    <w:rsid w:val="00EB0F28"/>
    <w:rsid w:val="00EB227A"/>
    <w:rsid w:val="00EC2376"/>
    <w:rsid w:val="00EC440A"/>
    <w:rsid w:val="00F0773E"/>
    <w:rsid w:val="00F13948"/>
    <w:rsid w:val="00F1419F"/>
    <w:rsid w:val="00F34435"/>
    <w:rsid w:val="00F42C89"/>
    <w:rsid w:val="00F46547"/>
    <w:rsid w:val="00F5109A"/>
    <w:rsid w:val="00F579FB"/>
    <w:rsid w:val="00F6581C"/>
    <w:rsid w:val="00F75545"/>
    <w:rsid w:val="00FA2A8A"/>
    <w:rsid w:val="00FA411E"/>
    <w:rsid w:val="00FA7C31"/>
    <w:rsid w:val="00FB1202"/>
    <w:rsid w:val="00FB393A"/>
    <w:rsid w:val="00FB5246"/>
    <w:rsid w:val="00FB5E6E"/>
    <w:rsid w:val="00FC34EA"/>
    <w:rsid w:val="00FD24B0"/>
    <w:rsid w:val="00FD39C1"/>
    <w:rsid w:val="00FD40BF"/>
    <w:rsid w:val="00FD792F"/>
    <w:rsid w:val="00FE42D6"/>
    <w:rsid w:val="2FE551D2"/>
    <w:rsid w:val="5394C88E"/>
    <w:rsid w:val="6E9AA6B9"/>
    <w:rsid w:val="7E7042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6F812"/>
  <w15:chartTrackingRefBased/>
  <w15:docId w15:val="{942C1725-115D-7B44-83C7-A1B548326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Theme="minorHAnsi" w:hAnsi="Georgia" w:cs="Times New Roman (Body CS)"/>
        <w:color w:val="196B24" w:themeColor="accent3"/>
        <w:kern w:val="2"/>
        <w:sz w:val="44"/>
        <w:szCs w:val="3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36FA"/>
    <w:rPr>
      <w:color w:val="auto"/>
      <w:sz w:val="24"/>
      <w:szCs w:val="24"/>
    </w:rPr>
  </w:style>
  <w:style w:type="paragraph" w:styleId="Heading1">
    <w:name w:val="heading 1"/>
    <w:basedOn w:val="Normal"/>
    <w:next w:val="Normal"/>
    <w:link w:val="Heading1Char"/>
    <w:uiPriority w:val="9"/>
    <w:qFormat/>
    <w:rsid w:val="003536FA"/>
    <w:pPr>
      <w:keepNext/>
      <w:keepLines/>
      <w:spacing w:before="240"/>
      <w:outlineLvl w:val="0"/>
    </w:pPr>
    <w:rPr>
      <w:rFonts w:eastAsiaTheme="majorEastAsia" w:cstheme="majorBidi"/>
      <w:color w:val="124F1A" w:themeColor="accent3" w:themeShade="BF"/>
      <w:sz w:val="36"/>
      <w:szCs w:val="36"/>
    </w:rPr>
  </w:style>
  <w:style w:type="paragraph" w:styleId="Heading2">
    <w:name w:val="heading 2"/>
    <w:basedOn w:val="Normal"/>
    <w:next w:val="Normal"/>
    <w:link w:val="Heading2Char"/>
    <w:uiPriority w:val="9"/>
    <w:unhideWhenUsed/>
    <w:qFormat/>
    <w:rsid w:val="003536FA"/>
    <w:pPr>
      <w:keepNext/>
      <w:keepLines/>
      <w:spacing w:before="40"/>
      <w:outlineLvl w:val="1"/>
    </w:pPr>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rsid w:val="003536FA"/>
    <w:pPr>
      <w:keepNext/>
      <w:keepLines/>
      <w:spacing w:before="40"/>
      <w:outlineLvl w:val="2"/>
    </w:pPr>
    <w:rPr>
      <w:rFonts w:eastAsiaTheme="majorEastAsia" w:cstheme="majorBidi"/>
      <w:b/>
      <w:bCs/>
      <w:color w:val="BF4E14" w:themeColor="accent2" w:themeShade="BF"/>
      <w:sz w:val="26"/>
      <w:szCs w:val="26"/>
    </w:rPr>
  </w:style>
  <w:style w:type="paragraph" w:styleId="Heading4">
    <w:name w:val="heading 4"/>
    <w:basedOn w:val="Normal"/>
    <w:next w:val="Normal"/>
    <w:link w:val="Heading4Char"/>
    <w:uiPriority w:val="9"/>
    <w:unhideWhenUsed/>
    <w:qFormat/>
    <w:rsid w:val="003536FA"/>
    <w:pPr>
      <w:keepNext/>
      <w:keepLines/>
      <w:spacing w:before="4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81A1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81A1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81A1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81A1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81A1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36FA"/>
    <w:rPr>
      <w:rFonts w:eastAsiaTheme="majorEastAsia" w:cstheme="majorBidi"/>
      <w:color w:val="124F1A" w:themeColor="accent3" w:themeShade="BF"/>
      <w:sz w:val="36"/>
      <w:szCs w:val="36"/>
    </w:rPr>
  </w:style>
  <w:style w:type="character" w:customStyle="1" w:styleId="Heading2Char">
    <w:name w:val="Heading 2 Char"/>
    <w:basedOn w:val="DefaultParagraphFont"/>
    <w:link w:val="Heading2"/>
    <w:uiPriority w:val="9"/>
    <w:rsid w:val="003536FA"/>
    <w:rPr>
      <w:rFonts w:eastAsiaTheme="majorEastAsia" w:cstheme="majorBidi"/>
      <w:color w:val="0F4761" w:themeColor="accent1" w:themeShade="BF"/>
      <w:sz w:val="28"/>
      <w:szCs w:val="28"/>
    </w:rPr>
  </w:style>
  <w:style w:type="character" w:customStyle="1" w:styleId="Heading3Char">
    <w:name w:val="Heading 3 Char"/>
    <w:basedOn w:val="DefaultParagraphFont"/>
    <w:link w:val="Heading3"/>
    <w:uiPriority w:val="9"/>
    <w:rsid w:val="003536FA"/>
    <w:rPr>
      <w:rFonts w:eastAsiaTheme="majorEastAsia" w:cstheme="majorBidi"/>
      <w:b/>
      <w:bCs/>
      <w:color w:val="BF4E14" w:themeColor="accent2" w:themeShade="BF"/>
      <w:sz w:val="26"/>
      <w:szCs w:val="26"/>
    </w:rPr>
  </w:style>
  <w:style w:type="character" w:customStyle="1" w:styleId="Heading4Char">
    <w:name w:val="Heading 4 Char"/>
    <w:basedOn w:val="DefaultParagraphFont"/>
    <w:link w:val="Heading4"/>
    <w:uiPriority w:val="9"/>
    <w:rsid w:val="003536FA"/>
    <w:rPr>
      <w:rFonts w:asciiTheme="majorHAnsi" w:eastAsiaTheme="majorEastAsia" w:hAnsiTheme="majorHAnsi" w:cstheme="majorBidi"/>
      <w:i/>
      <w:iCs/>
      <w:color w:val="0F4761" w:themeColor="accent1" w:themeShade="BF"/>
      <w:sz w:val="24"/>
      <w:szCs w:val="24"/>
    </w:rPr>
  </w:style>
  <w:style w:type="character" w:customStyle="1" w:styleId="Heading5Char">
    <w:name w:val="Heading 5 Char"/>
    <w:basedOn w:val="DefaultParagraphFont"/>
    <w:link w:val="Heading5"/>
    <w:uiPriority w:val="9"/>
    <w:semiHidden/>
    <w:rsid w:val="00781A16"/>
    <w:rPr>
      <w:rFonts w:asciiTheme="minorHAnsi" w:eastAsiaTheme="majorEastAsia" w:hAnsiTheme="minorHAnsi" w:cstheme="majorBidi"/>
      <w:color w:val="0F4761" w:themeColor="accent1" w:themeShade="BF"/>
      <w:sz w:val="24"/>
      <w:szCs w:val="24"/>
    </w:rPr>
  </w:style>
  <w:style w:type="character" w:customStyle="1" w:styleId="Heading6Char">
    <w:name w:val="Heading 6 Char"/>
    <w:basedOn w:val="DefaultParagraphFont"/>
    <w:link w:val="Heading6"/>
    <w:uiPriority w:val="9"/>
    <w:semiHidden/>
    <w:rsid w:val="00781A16"/>
    <w:rPr>
      <w:rFonts w:asciiTheme="minorHAnsi" w:eastAsiaTheme="majorEastAsia" w:hAnsiTheme="minorHAnsi" w:cstheme="majorBidi"/>
      <w:i/>
      <w:iCs/>
      <w:color w:val="595959" w:themeColor="text1" w:themeTint="A6"/>
      <w:sz w:val="24"/>
      <w:szCs w:val="24"/>
    </w:rPr>
  </w:style>
  <w:style w:type="character" w:customStyle="1" w:styleId="Heading7Char">
    <w:name w:val="Heading 7 Char"/>
    <w:basedOn w:val="DefaultParagraphFont"/>
    <w:link w:val="Heading7"/>
    <w:uiPriority w:val="9"/>
    <w:semiHidden/>
    <w:rsid w:val="00781A16"/>
    <w:rPr>
      <w:rFonts w:asciiTheme="minorHAnsi" w:eastAsiaTheme="majorEastAsia" w:hAnsiTheme="minorHAnsi"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781A16"/>
    <w:rPr>
      <w:rFonts w:asciiTheme="minorHAnsi" w:eastAsiaTheme="majorEastAsia" w:hAnsiTheme="minorHAnsi" w:cstheme="majorBidi"/>
      <w:i/>
      <w:iCs/>
      <w:color w:val="272727" w:themeColor="text1" w:themeTint="D8"/>
      <w:sz w:val="24"/>
      <w:szCs w:val="24"/>
    </w:rPr>
  </w:style>
  <w:style w:type="character" w:customStyle="1" w:styleId="Heading9Char">
    <w:name w:val="Heading 9 Char"/>
    <w:basedOn w:val="DefaultParagraphFont"/>
    <w:link w:val="Heading9"/>
    <w:uiPriority w:val="9"/>
    <w:semiHidden/>
    <w:rsid w:val="00781A16"/>
    <w:rPr>
      <w:rFonts w:asciiTheme="minorHAnsi" w:eastAsiaTheme="majorEastAsia" w:hAnsiTheme="minorHAnsi" w:cstheme="majorBidi"/>
      <w:color w:val="272727" w:themeColor="text1" w:themeTint="D8"/>
      <w:sz w:val="24"/>
      <w:szCs w:val="24"/>
    </w:rPr>
  </w:style>
  <w:style w:type="paragraph" w:styleId="Title">
    <w:name w:val="Title"/>
    <w:basedOn w:val="Normal"/>
    <w:next w:val="Normal"/>
    <w:link w:val="TitleChar"/>
    <w:uiPriority w:val="10"/>
    <w:qFormat/>
    <w:rsid w:val="00781A1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1A16"/>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781A1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1A1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81A1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81A16"/>
    <w:rPr>
      <w:i/>
      <w:iCs/>
      <w:color w:val="404040" w:themeColor="text1" w:themeTint="BF"/>
      <w:sz w:val="24"/>
      <w:szCs w:val="24"/>
    </w:rPr>
  </w:style>
  <w:style w:type="paragraph" w:styleId="ListParagraph">
    <w:name w:val="List Paragraph"/>
    <w:basedOn w:val="Normal"/>
    <w:qFormat/>
    <w:rsid w:val="00781A16"/>
    <w:pPr>
      <w:ind w:left="720"/>
      <w:contextualSpacing/>
    </w:pPr>
  </w:style>
  <w:style w:type="character" w:styleId="IntenseEmphasis">
    <w:name w:val="Intense Emphasis"/>
    <w:basedOn w:val="DefaultParagraphFont"/>
    <w:uiPriority w:val="21"/>
    <w:qFormat/>
    <w:rsid w:val="00781A16"/>
    <w:rPr>
      <w:i/>
      <w:iCs/>
      <w:color w:val="0F4761" w:themeColor="accent1" w:themeShade="BF"/>
    </w:rPr>
  </w:style>
  <w:style w:type="paragraph" w:styleId="IntenseQuote">
    <w:name w:val="Intense Quote"/>
    <w:basedOn w:val="Normal"/>
    <w:next w:val="Normal"/>
    <w:link w:val="IntenseQuoteChar"/>
    <w:uiPriority w:val="30"/>
    <w:qFormat/>
    <w:rsid w:val="00781A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1A16"/>
    <w:rPr>
      <w:i/>
      <w:iCs/>
      <w:color w:val="0F4761" w:themeColor="accent1" w:themeShade="BF"/>
      <w:sz w:val="24"/>
      <w:szCs w:val="24"/>
    </w:rPr>
  </w:style>
  <w:style w:type="character" w:styleId="IntenseReference">
    <w:name w:val="Intense Reference"/>
    <w:basedOn w:val="DefaultParagraphFont"/>
    <w:uiPriority w:val="32"/>
    <w:qFormat/>
    <w:rsid w:val="00781A16"/>
    <w:rPr>
      <w:b/>
      <w:bCs/>
      <w:smallCaps/>
      <w:color w:val="0F4761" w:themeColor="accent1" w:themeShade="BF"/>
      <w:spacing w:val="5"/>
    </w:rPr>
  </w:style>
  <w:style w:type="character" w:styleId="Hyperlink">
    <w:name w:val="Hyperlink"/>
    <w:uiPriority w:val="99"/>
    <w:unhideWhenUsed/>
    <w:rsid w:val="00781A16"/>
    <w:rPr>
      <w:color w:val="0563C1"/>
      <w:u w:val="single"/>
    </w:rPr>
  </w:style>
  <w:style w:type="paragraph" w:styleId="NoSpacing">
    <w:name w:val="No Spacing"/>
    <w:uiPriority w:val="1"/>
    <w:qFormat/>
    <w:rsid w:val="00973ECB"/>
    <w:rPr>
      <w:color w:val="auto"/>
      <w:sz w:val="24"/>
      <w:szCs w:val="24"/>
    </w:rPr>
  </w:style>
  <w:style w:type="paragraph" w:styleId="FootnoteText">
    <w:name w:val="footnote text"/>
    <w:basedOn w:val="Normal"/>
    <w:link w:val="FootnoteTextChar"/>
    <w:uiPriority w:val="99"/>
    <w:semiHidden/>
    <w:unhideWhenUsed/>
    <w:rsid w:val="00E11A44"/>
    <w:rPr>
      <w:rFonts w:ascii="Arial" w:eastAsia="Arial" w:hAnsi="Arial" w:cs="Arial"/>
      <w:kern w:val="0"/>
      <w:sz w:val="20"/>
      <w:szCs w:val="20"/>
      <w14:ligatures w14:val="none"/>
    </w:rPr>
  </w:style>
  <w:style w:type="character" w:customStyle="1" w:styleId="FootnoteTextChar">
    <w:name w:val="Footnote Text Char"/>
    <w:basedOn w:val="DefaultParagraphFont"/>
    <w:link w:val="FootnoteText"/>
    <w:uiPriority w:val="99"/>
    <w:semiHidden/>
    <w:rsid w:val="00E11A44"/>
    <w:rPr>
      <w:rFonts w:ascii="Arial" w:eastAsia="Arial" w:hAnsi="Arial" w:cs="Arial"/>
      <w:color w:val="auto"/>
      <w:kern w:val="0"/>
      <w:sz w:val="20"/>
      <w:szCs w:val="20"/>
      <w14:ligatures w14:val="none"/>
    </w:rPr>
  </w:style>
  <w:style w:type="character" w:styleId="FootnoteReference">
    <w:name w:val="footnote reference"/>
    <w:basedOn w:val="DefaultParagraphFont"/>
    <w:uiPriority w:val="99"/>
    <w:semiHidden/>
    <w:unhideWhenUsed/>
    <w:rsid w:val="00E11A44"/>
    <w:rPr>
      <w:vertAlign w:val="superscript"/>
    </w:rPr>
  </w:style>
  <w:style w:type="paragraph" w:styleId="Header">
    <w:name w:val="header"/>
    <w:basedOn w:val="Normal"/>
    <w:link w:val="HeaderChar"/>
    <w:uiPriority w:val="99"/>
    <w:unhideWhenUsed/>
    <w:rsid w:val="007009B1"/>
    <w:pPr>
      <w:tabs>
        <w:tab w:val="center" w:pos="4680"/>
        <w:tab w:val="right" w:pos="9360"/>
      </w:tabs>
    </w:pPr>
  </w:style>
  <w:style w:type="character" w:customStyle="1" w:styleId="HeaderChar">
    <w:name w:val="Header Char"/>
    <w:basedOn w:val="DefaultParagraphFont"/>
    <w:link w:val="Header"/>
    <w:uiPriority w:val="99"/>
    <w:rsid w:val="007009B1"/>
    <w:rPr>
      <w:color w:val="auto"/>
      <w:sz w:val="24"/>
      <w:szCs w:val="24"/>
    </w:rPr>
  </w:style>
  <w:style w:type="paragraph" w:styleId="Footer">
    <w:name w:val="footer"/>
    <w:basedOn w:val="Normal"/>
    <w:link w:val="FooterChar"/>
    <w:uiPriority w:val="99"/>
    <w:unhideWhenUsed/>
    <w:rsid w:val="007009B1"/>
    <w:pPr>
      <w:tabs>
        <w:tab w:val="center" w:pos="4680"/>
        <w:tab w:val="right" w:pos="9360"/>
      </w:tabs>
    </w:pPr>
  </w:style>
  <w:style w:type="character" w:customStyle="1" w:styleId="FooterChar">
    <w:name w:val="Footer Char"/>
    <w:basedOn w:val="DefaultParagraphFont"/>
    <w:link w:val="Footer"/>
    <w:uiPriority w:val="99"/>
    <w:rsid w:val="007009B1"/>
    <w:rPr>
      <w:color w:val="auto"/>
      <w:sz w:val="24"/>
      <w:szCs w:val="24"/>
    </w:rPr>
  </w:style>
  <w:style w:type="character" w:styleId="PageNumber">
    <w:name w:val="page number"/>
    <w:basedOn w:val="DefaultParagraphFont"/>
    <w:uiPriority w:val="99"/>
    <w:semiHidden/>
    <w:unhideWhenUsed/>
    <w:rsid w:val="00C04B27"/>
  </w:style>
  <w:style w:type="character" w:styleId="FollowedHyperlink">
    <w:name w:val="FollowedHyperlink"/>
    <w:basedOn w:val="DefaultParagraphFont"/>
    <w:uiPriority w:val="99"/>
    <w:semiHidden/>
    <w:unhideWhenUsed/>
    <w:rsid w:val="00DC2D18"/>
    <w:rPr>
      <w:color w:val="96607D" w:themeColor="followedHyperlink"/>
      <w:u w:val="single"/>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color w:val="auto"/>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8D5C9C"/>
    <w:rPr>
      <w:b/>
      <w:bCs/>
    </w:rPr>
  </w:style>
  <w:style w:type="character" w:customStyle="1" w:styleId="CommentSubjectChar">
    <w:name w:val="Comment Subject Char"/>
    <w:basedOn w:val="CommentTextChar"/>
    <w:link w:val="CommentSubject"/>
    <w:uiPriority w:val="99"/>
    <w:semiHidden/>
    <w:rsid w:val="008D5C9C"/>
    <w:rPr>
      <w:b/>
      <w:bCs/>
      <w:color w:val="auto"/>
      <w:sz w:val="20"/>
      <w:szCs w:val="20"/>
    </w:rPr>
  </w:style>
  <w:style w:type="paragraph" w:styleId="Revision">
    <w:name w:val="Revision"/>
    <w:hidden/>
    <w:uiPriority w:val="99"/>
    <w:semiHidden/>
    <w:rsid w:val="008D5C9C"/>
    <w:rPr>
      <w:color w:val="auto"/>
      <w:sz w:val="24"/>
      <w:szCs w:val="24"/>
    </w:rPr>
  </w:style>
  <w:style w:type="character" w:styleId="UnresolvedMention">
    <w:name w:val="Unresolved Mention"/>
    <w:basedOn w:val="DefaultParagraphFont"/>
    <w:uiPriority w:val="99"/>
    <w:semiHidden/>
    <w:unhideWhenUsed/>
    <w:rsid w:val="000B441C"/>
    <w:rPr>
      <w:color w:val="605E5C"/>
      <w:shd w:val="clear" w:color="auto" w:fill="E1DFDD"/>
    </w:rPr>
  </w:style>
  <w:style w:type="table" w:styleId="PlainTable5">
    <w:name w:val="Plain Table 5"/>
    <w:basedOn w:val="TableNormal"/>
    <w:uiPriority w:val="45"/>
    <w:rsid w:val="006905B6"/>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49" Type="http://schemas.openxmlformats.org/officeDocument/2006/relationships/footer" Target="footer1.xml"/><Relationship Id="rId5" Type="http://schemas.openxmlformats.org/officeDocument/2006/relationships/webSettings" Target="webSettings.xml"/><Relationship Id="rId15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1"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3" Type="http://schemas.openxmlformats.org/officeDocument/2006/relationships/styles" Target="styles.xml"/><Relationship Id="rId153" Type="http://schemas.openxmlformats.org/officeDocument/2006/relationships/theme" Target="theme/theme1.xml"/><Relationship Id="rId4" Type="http://schemas.openxmlformats.org/officeDocument/2006/relationships/settings" Target="settings.xml"/><Relationship Id="rId8" Type="http://schemas.openxmlformats.org/officeDocument/2006/relationships/image" Target="media/image6.png"/><Relationship Id="rId9" Type="http://schemas.openxmlformats.org/officeDocument/2006/relationships/hyperlink" Target="https://www2.census.gov/programs-surveys/popest/datasets/2020-2025/counties/totals/co-est2025-alldata.csv" TargetMode="External"/><Relationship Id="rId10" Type="http://schemas.openxmlformats.org/officeDocument/2006/relationships/hyperlink" Target="https://electionlab.mit.edu/data" TargetMode="External"/><Relationship Id="rId11" Type="http://schemas.openxmlformats.org/officeDocument/2006/relationships/hyperlink" Target="https://www.eia.gov/electricity/data/eia860m/" TargetMode="External"/><Relationship Id="rId12" Type="http://schemas.openxmlformats.org/officeDocument/2006/relationships/hyperlink" Target="https://quicksandcheck.com/texas/harris-county/" TargetMode="External"/><Relationship Id="rId13" Type="http://schemas.openxmlformats.org/officeDocument/2006/relationships/hyperlink" Target="https://www.rigzone.com/news/centerpoint_targets_8_gw_of_data_center_load_in_3_years-26-apr-2026-183533-article/" TargetMode="External"/><Relationship Id="rId14" Type="http://schemas.openxmlformats.org/officeDocument/2006/relationships/hyperlink" Target="https://www.pasadenatx.gov/AgendaCenter/ViewFile/Minutes/_04012025-574" TargetMode="External"/><Relationship Id="rId15" Type="http://schemas.openxmlformats.org/officeDocument/2006/relationships/hyperlink" Target="https://hcfchub.net/ova_dep/energy-storage-systems/" TargetMode="External"/><Relationship Id="rId16" Type="http://schemas.openxmlformats.org/officeDocument/2006/relationships/hyperlink" Target="https://texasgop.org/resolution-to-protect-texas-counties-from-the-rapid-expansion-of-battery-energy-storage-systems-bess/" TargetMode="External"/><Relationship Id="rId17" Type="http://schemas.openxmlformats.org/officeDocument/2006/relationships/hyperlink" Target="https://www.bracewell.com/news-events/centerpoint-expects-14-gw-of-demand-added-to-grid-by-2031-thanks-to-new-ercot-process/" TargetMode="External"/><Relationship Id="rId18" Type="http://schemas.openxmlformats.org/officeDocument/2006/relationships/hyperlink" Target="https://www.utilitydive.com/news/texas-regulators-trim-approve-27b-centerpoint-system-resiliency-plan/758476/" TargetMode="External"/><Relationship Id="rId19" Type="http://schemas.openxmlformats.org/officeDocument/2006/relationships/hyperlink" Target="https://communityimpact.com/bay-area/environment/harris-county-launches-affordable-clean-energy-program/" TargetMode="External"/><Relationship Id="rId20" Type="http://schemas.openxmlformats.org/officeDocument/2006/relationships/hyperlink" Target="https://communityimpact.com/tomball-magnolia/government/tomball-city-council-denies-conditional-use-permit-for-battery-storage-system/" TargetMode="External"/><Relationship Id="rId21" Type="http://schemas.openxmlformats.org/officeDocument/2006/relationships/hyperlink" Target="https://www.pasadenatx.gov/AgendaCenter/ViewFile/Minutes/_10082024-533" TargetMode="External"/><Relationship Id="rId22" Type="http://schemas.openxmlformats.org/officeDocument/2006/relationships/hyperlink" Target="https://www.pasadenatx.gov/AgendaCenter/ViewFile/Minutes/_01072025-553" TargetMode="External"/><Relationship Id="rId23" Type="http://schemas.openxmlformats.org/officeDocument/2006/relationships/hyperlink" Target="https://baytown.org/CivicAlerts.asp?AID=1231" TargetMode="External"/><Relationship Id="rId24" Type="http://schemas.openxmlformats.org/officeDocument/2006/relationships/hyperlink" Target="https://baytown.org/CivicAlerts.asp?AID=1362" TargetMode="External"/><Relationship Id="rId25" Type="http://schemas.openxmlformats.org/officeDocument/2006/relationships/hyperlink" Target="https://capitol.texas.gov/tlodocs/89R/handouts/C4502026042310001/63fa389c-78a1-45e9-9914-c39bb46ecf2c.PDF" TargetMode="External"/><Relationship Id="rId26" Type="http://schemas.openxmlformats.org/officeDocument/2006/relationships/hyperlink" Target="https://capitol.texas.gov/tlodocs/89R/billtext/html/HB03824F.htm" TargetMode="External"/><Relationship Id="rId27" Type="http://schemas.openxmlformats.org/officeDocument/2006/relationships/hyperlink" Target="https://www.tdi.texas.gov/rules/index.html" TargetMode="External"/><Relationship Id="rId28" Type="http://schemas.openxmlformats.org/officeDocument/2006/relationships/hyperlink" Target="https://baytownsun.com/local/baytown-planning-zoning-recommends-approval-of-9-acre-battery-storage-facility-in-residential-area/article_dda8b8c0-a892-4c64-94ad-2e0e91e6e920.html" TargetMode="External"/><Relationship Id="rId29" Type="http://schemas.openxmlformats.org/officeDocument/2006/relationships/hyperlink" Target="https://baytownsun.com/news/concerns-expressed-over-battery-storage-complex/article_3bf1ec16-f4c2-4bec-98c9-ebc2066b94c6.html" TargetMode="External"/><Relationship Id="rId30" Type="http://schemas.openxmlformats.org/officeDocument/2006/relationships/hyperlink" Target="https://www.boernestar.com/article/9257,county-makes-move-to-help-in-fight-against-battery-storage-systems" TargetMode="External"/><Relationship Id="rId31" Type="http://schemas.openxmlformats.org/officeDocument/2006/relationships/hyperlink" Target="https://www.uh.edu/hobby/harris2026/county2026.pdf" TargetMode="External"/><Relationship Id="rId32" Type="http://schemas.openxmlformats.org/officeDocument/2006/relationships/hyperlink" Target="https://capitol.texas.gov/BillLookup/History.aspx?LegSess=89R&amp;Bill=SB819" TargetMode="External"/><Relationship Id="rId33" Type="http://schemas.openxmlformats.org/officeDocument/2006/relationships/hyperlink" Target="https://poweralliance.org/2026/04/23/advanced-power-alliance-testifies-before-texas-house-committee-on-state-affairs-2/" TargetMode="External"/><Relationship Id="rId34" Type="http://schemas.openxmlformats.org/officeDocument/2006/relationships/hyperlink" Target="https://www.pasadenatx.gov/AgendaCenter/ViewFile/Minutes/_10012024-531" TargetMode="External"/><Relationship Id="rId35" Type="http://schemas.openxmlformats.org/officeDocument/2006/relationships/hyperlink" Target="https://www.pasadenatx.gov/AgendaCenter/ViewFile/Agenda/_01062025-552" TargetMode="External"/><Relationship Id="rId36" Type="http://schemas.openxmlformats.org/officeDocument/2006/relationships/hyperlink" Target="https://www.pasadenatx.gov/AgendaCenter/ViewFile/Agenda/_03182025-571" TargetMode="External"/><Relationship Id="rId37" Type="http://schemas.openxmlformats.org/officeDocument/2006/relationships/hyperlink" Target="https://www.pasadenatx.gov/AgendaCenter/ViewFile/Agenda/_10202026-735" TargetMode="External"/><Relationship Id="rId38" Type="http://schemas.openxmlformats.org/officeDocument/2006/relationships/hyperlink" Target="https://baytownsun.com/local/council-approves-battery-storage/article_ad53181c-e3cb-43d0-bf1a-a1b684e4a532.html" TargetMode="External"/><Relationship Id="rId39" Type="http://schemas.openxmlformats.org/officeDocument/2006/relationships/hyperlink" Target="https://www.baytown.org/CivicAlerts.aspx?AID=808" TargetMode="External"/><Relationship Id="rId40" Type="http://schemas.openxmlformats.org/officeDocument/2006/relationships/hyperlink" Target="https://capitol.texas.gov/tlodocs/89R/analysis/html/HB03809S.htm" TargetMode="External"/><Relationship Id="rId41" Type="http://schemas.openxmlformats.org/officeDocument/2006/relationships/hyperlink" Target="https://capitol.texas.gov/tlodocs/89R/analysis/html/SB00006F.htm" TargetMode="External"/><Relationship Id="rId42" Type="http://schemas.openxmlformats.org/officeDocument/2006/relationships/hyperlink" Target="https://communityimpact.com/houston/katy-north/government/2024/10/15/katy-city-council-denies-permit-for-energy-storage-facility-amid-community-pushback/" TargetMode="External"/><Relationship Id="rId43" Type="http://schemas.openxmlformats.org/officeDocument/2006/relationships/hyperlink" Target="https://www.click2houston.com/news/local/2025/12/08/katy-battery-plant-decision-delayed-ercot-says-citys-denial-affects-grid-authority/" TargetMode="External"/><Relationship Id="rId44" Type="http://schemas.openxmlformats.org/officeDocument/2006/relationships/hyperlink" Target="https://coveringkaty.com/news/katy/ochoa-energy-storage-withdraws-application-to-build-battery-/" TargetMode="External"/><Relationship Id="rId45" Type="http://schemas.openxmlformats.org/officeDocument/2006/relationships/hyperlink" Target="https://communityimpact.com/bay-area/development/proposed-battery-storage-facility-in-league-city-faces-resident-backlash/" TargetMode="External"/><Relationship Id="rId46" Type="http://schemas.openxmlformats.org/officeDocument/2006/relationships/hyperlink" Target="https://www.leaguecitytx.gov/DocumentCenter/View/44947/4A-Staff-Report---BESS-Ordinance"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pricephillips_1/Library/Group%20Containers/UBF8T346G9.Office/User%20Content.localized/Templates.localized/Jefferson%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A3F24F-BA9A-A14D-AF97-B48AA56D97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Jefferson Template.dotx</Template>
  <TotalTime>1</TotalTime>
  <Pages>14</Pages>
  <Words>8903</Words>
  <Characters>50753</Characters>
  <Application>Microsoft Office Word</Application>
  <DocSecurity>0</DocSecurity>
  <Lines>422</Lines>
  <Paragraphs>119</Paragraphs>
  <ScaleCrop>false</ScaleCrop>
  <Company/>
  <LinksUpToDate>false</LinksUpToDate>
  <CharactersWithSpaces>59537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Study: Harris County, Texas</dc:title>
  <dc:subject/>
  <dc:creator>Hawthorn Intelligence</dc:creator>
  <cp:keywords/>
  <dc:description/>
  <cp:lastModifiedBy>Price Phillips</cp:lastModifiedBy>
  <cp:revision>2</cp:revision>
  <dcterms:created xsi:type="dcterms:W3CDTF">2026-10-06T23:40:00Z</dcterms:created>
  <dcterms:modified xsi:type="dcterms:W3CDTF">2026-10-06T23:40:00Z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833ca4179ddc4440e32b1503b7343a276b82409d5fae394ed954e11378a838e9</vt:lpwstr>
  </property>
</Properties>
</file>