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Heading1"/>
        <w:spacing w:before="360" w:after="120"/>
      </w:pPr>
      <w:r>
        <w:rPr>
          <w:b/>
        </w:rPr>
        <w:t>Case Study</w:t>
      </w:r>
      <w:r>
        <w:t>: Nicholas County, Kentucky</w:t>
      </w:r>
    </w:p>
    <w:p>
      <w:pPr>
        <w:spacing w:after="200"/>
      </w:pPr>
      <w:r>
        <w:rPr>
          <w:b/>
        </w:rPr>
        <w:t>Hawthorn Intelligence</w:t>
      </w:r>
    </w:p>
    <w:p>
      <w:pPr>
        <w:spacing w:after="200"/>
      </w:pPr>
      <w:r>
        <w:drawing>
          <wp:anchor distT="0" distB="0" distL="114300" distR="114300" simplePos="0" relativeHeight="251660290" behindDoc="0" locked="0" layoutInCell="1" allowOverlap="1" wp14:anchorId="237B77BB" wp14:editId="52ACF41C">
            <wp:simplePos x="0" y="0"/>
            <wp:positionH relativeFrom="column">
              <wp:posOffset>3291840</wp:posOffset>
            </wp:positionH>
            <wp:positionV relativeFrom="paragraph">
              <wp:posOffset>134804</wp:posOffset>
            </wp:positionV>
            <wp:extent cx="3108960" cy="1340739"/>
            <wp:effectExtent l="0" t="0" r="0" b="5080"/>
            <wp:wrapSquare wrapText="bothSides"/>
            <wp:docPr id="2044851896" name="Picture 2" descr="Case Study: Nicholas County, Kentucky locator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se Study: Nicholas County, Kentucky locator ma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08960" cy="1340739"/>
                    </a:xfrm>
                    <a:prstGeom prst="rect">
                      <a:avLst/>
                    </a:prstGeom>
                    <a:noFill/>
                    <a:ln>
                      <a:noFill/>
                    </a:ln>
                  </pic:spPr>
                </pic:pic>
              </a:graphicData>
            </a:graphic>
            <wp14:sizeRelH relativeFrom="page">
              <wp14:pctWidth>0</wp14:pctWidth>
            </wp14:sizeRelH>
            <wp14:sizeRelV relativeFrom="page">
              <wp14:pctHeight>0</wp14:pctHeight>
            </wp14:sizeRelV>
          </wp:anchor>
        </w:drawing>
      </w:r>
      <w:r>
        <w:rPr>
          <w:i/>
        </w:rPr>
        <w:t>Data as of October 16, 2026</w:t>
      </w:r>
    </w:p>
    <w:p>
      <w:pPr>
        <w:pStyle w:val="Heading2"/>
        <w:spacing w:before="240" w:after="80"/>
      </w:pPr>
      <w:r>
        <w:t>Key Takeaways</w:t>
      </w:r>
    </w:p>
    <w:p>
      <w:pPr>
        <w:pStyle w:val="ListParagraph"/>
        <w:numPr>
          <w:ilvl w:val="0"/>
          <w:numId w:val="11"/>
        </w:numPr>
        <w:spacing w:after="80"/>
      </w:pPr>
      <w:r>
        <w:rPr>
          <w:b/>
        </w:rPr>
        <w:t>Restrictive on paper, untested in practice</w:t>
      </w:r>
      <w:r>
        <w:t>: a 2024 county solar ordinance requires a 2,000-foot setback from every non-participating property line and public road. In 2026 the fiscal court refused to amend it for a 45 MW solar project, then adopted one-year moratoria on wind (August 14) and on the solar systems the ordinance covers (September 18). The county has put both solar instruments before the state Siting Board in the first utility-scale case we found there.</w:t>
      </w:r>
    </w:p>
    <w:p>
      <w:pPr>
        <w:pStyle w:val="ListParagraph"/>
        <w:numPr>
          <w:ilvl w:val="0"/>
          <w:numId w:val="11"/>
        </w:numPr>
        <w:spacing w:after="80"/>
      </w:pPr>
      <w:r>
        <w:rPr>
          <w:b/>
        </w:rPr>
        <w:t>Official resistance, no visible public campaign</w:t>
      </w:r>
      <w:r>
        <w:t>: the weekly Carlisle Mercury covered each step but reported no petition, organized group or resident speaking against the project. The resistance on record comes from the fiscal court, which adopted the 2024 ordinance 6-0 with votes from both parties, rejected the developer's amendment unanimously and passed the solar moratorium 5-1.</w:t>
      </w:r>
    </w:p>
    <w:p>
      <w:pPr>
        <w:pStyle w:val="ListParagraph"/>
        <w:numPr>
          <w:ilvl w:val="0"/>
          <w:numId w:val="11"/>
        </w:numPr>
        <w:spacing w:after="80"/>
      </w:pPr>
      <w:r>
        <w:rPr>
          <w:b/>
        </w:rPr>
        <w:t>A profile that understates the record</w:t>
      </w:r>
      <w:r>
        <w:t>: Hawthorn Intelligence scores Nicholas at 0.05, the 4</w:t>
      </w:r>
      <w:r>
        <w:rPr>
          <w:vertAlign w:val="superscript"/>
        </w:rPr>
        <w:t>th</w:t>
      </w:r>
      <w:r>
        <w:t xml:space="preserve"> percentile (96% of U.S. counties score higher) for resemblance to counties with severe renewable restrictions. Yet all three of its instruments rank as severe on our scale; among the roughly 750 counties with a severe restriction, only four score lower.</w:t>
      </w:r>
    </w:p>
    <w:p>
      <w:pPr>
        <w:pStyle w:val="ListParagraph"/>
        <w:numPr>
          <w:ilvl w:val="0"/>
          <w:numId w:val="11"/>
        </w:numPr>
        <w:spacing w:after="80"/>
      </w:pPr>
      <w:r>
        <w:rPr>
          <w:b/>
        </w:rPr>
        <w:t>What to watch</w:t>
      </w:r>
      <w:r>
        <w:t>: whether the Kentucky Supreme Court takes up a June 2026 petition over solar ordinances in counties without zoning; South Fork Solar's application, due no earlier than late October 2026; the November 3 judge-executive and magistrate races; and the moratoria's ends in August and September 2027.</w:t>
      </w:r>
    </w:p>
    <w:p>
      <w:pPr>
        <w:pStyle w:val="Heading2"/>
        <w:spacing w:before="240" w:after="80"/>
      </w:pPr>
      <w:r>
        <w:t>Summary</w:t>
      </w:r>
    </w:p>
    <w:p>
      <w:pPr>
        <w:spacing w:after="200"/>
      </w:pPr>
      <w:r>
        <w:t>Nicholas County has set solar rules few utility-scale projects could meet, and those rules have not yet been tested. The fiscal court adopted a solar licensing ordinance in June 2024 with a 2,000-foot setback from any non-participating property line or public road. In July 2026 it voted unanimously against a developer's request to amend that ordinance for a 45 MW solar project, and in August it adopted a one-year moratorium on wind projects of any size. In September, a week after the solar project e-mailed its notice to the state Siting Board, the court added a one-year moratorium on the solar systems the 2024 ordinance covers.</w:t>
      </w:r>
    </w:p>
    <w:p>
      <w:pPr>
        <w:spacing w:after="200"/>
      </w:pPr>
      <w:r>
        <w:t>Hawthorn Intelligence assigns Nicholas a County Restriction Score of 0.05, about one-fifth of the national base rate of 0.24. That puts it in the lowest national decile (one tenth of U.S. counties, ranked by score), the 4</w:t>
      </w:r>
      <w:r>
        <w:rPr>
          <w:vertAlign w:val="superscript"/>
        </w:rPr>
        <w:t>th</w:t>
      </w:r>
      <w:r>
        <w:t xml:space="preserve"> percentile nationally and 98</w:t>
      </w:r>
      <w:r>
        <w:rPr>
          <w:vertAlign w:val="superscript"/>
        </w:rPr>
        <w:t>th</w:t>
      </w:r>
      <w:r>
        <w:t xml:space="preserve"> of 120 Kentucky counties. The score measures how closely a county's profile resembles counties that have enacted severe restrictions; it is not a forecast for any project. It is low because Nicholas is small, has no restricting neighbors and, in the model's data, no placed interconnection requests. The county's record points the other way: we read all three instruments, the two solar ordinances in the state Siting Board's case file and the wind moratorium as printed in the Carlisle Mercury, which makes the record Verified, our highest evidence status.</w:t>
      </w:r>
    </w:p>
    <w:p>
      <w:pPr>
        <w:spacing w:after="200"/>
      </w:pPr>
      <w:r>
        <w:t>The dispute has moved from the fiscal court to the state. South Fork Solar, a 45 MW project on about 315 acres between Millersburg and Carlisle, filed its notice of intent with the Siting Board in September 2026, two months after the court refused to amend the county ordinance for it. It states that the county ordinance "is not applicable to the Project" because Nicholas has no county-wide zoning, relying on a May 2026 Court of Appeals decision that struck down a similar ordinance in Breckinridge County. The county attorney answered with an October 9 memo, e-mailed to the Siting Board on October 12, presenting both the 2024 ordinance and the new moratorium as "existing valid" law. Breckinridge has asked the Kentucky Supreme Court to review the decision. Where a county ordinance does not apply, the state's own setback governs: 2,000 feet from residential neighborhoods, schools, hospitals and nursing homes.</w:t>
      </w:r>
    </w:p>
    <w:p>
      <w:pPr>
        <w:pStyle w:val="Heading1"/>
        <w:spacing w:before="360" w:after="120"/>
      </w:pPr>
      <w:r>
        <w:t>Hawthorn Intelligence</w:t>
      </w:r>
    </w:p>
    <w:p>
      <w:pPr>
        <w:pStyle w:val="Heading2"/>
        <w:spacing w:before="240" w:after="80"/>
      </w:pPr>
      <w:r>
        <w:t>Summary</w:t>
      </w:r>
    </w:p>
    <w:p>
      <w:pPr>
        <w:spacing w:after="200"/>
      </w:pPr>
      <w:r>
        <w:t>Nicholas County, home to about 7,900 people in the outer Bluegrass northeast of Lexington, adopted a county solar ordinance in 2024 and one-year moratoria on wind and solar in August and September 2026. South Fork Solar, the first merchant solar project we found there, is in the state Siting Board's pre-application stage and disputes that the county's rules apply. Its County Restriction Score of 0.05 places it in the lowest decile, while its own record, now verified against all three instruments, places it among the restricted counties.</w:t>
      </w:r>
    </w:p>
    <w:p>
      <w:pPr>
        <w:pStyle w:val="Heading2"/>
        <w:spacing w:before="240" w:after="80"/>
      </w:pPr>
      <w:r>
        <w:t>Hawthorn Intelligence Ratings</w:t>
      </w:r>
    </w:p>
    <w:tbl>
      <w:tblPr>
        <w:tblStyle w:val="PlainTable5"/>
        <w:tblW w:w="10080" w:type="dxa"/>
        <w:tblLayout w:type="fixed"/>
        <w:tblLook w:val="04A0" w:firstRow="1" w:lastRow="0" w:firstColumn="1" w:lastColumn="0" w:noHBand="0" w:noVBand="1"/>
      </w:tblPr>
      <w:tblGrid>
        <w:gridCol w:w="2700"/>
        <w:gridCol w:w="2500"/>
        <w:gridCol w:w="4880"/>
      </w:tblGrid>
      <w:tr>
        <w:trPr>
          <w:cantSplit/>
          <w:tblHeader/>
        </w:trPr>
        <w:tc>
          <w:tcPr>
            <w:tcW w:w="2700" w:type="dxa"/>
            <w:tcMar>
              <w:top w:w="30" w:type="dxa"/>
              <w:left w:w="80" w:type="dxa"/>
              <w:bottom w:w="30" w:type="dxa"/>
              <w:right w:w="80" w:type="dxa"/>
            </w:tcMar>
          </w:tcPr>
          <w:p>
            <w:pPr>
              <w:keepNext/>
              <w:spacing w:after="0"/>
            </w:pPr>
            <w:r>
              <w:rPr>
                <w:b/>
                <w:sz w:val="20"/>
              </w:rPr>
              <w:t>Hawthorn rating</w:t>
            </w:r>
          </w:p>
        </w:tc>
        <w:tc>
          <w:tcPr>
            <w:tcW w:w="2500" w:type="dxa"/>
            <w:tcMar>
              <w:top w:w="30" w:type="dxa"/>
              <w:left w:w="80" w:type="dxa"/>
              <w:bottom w:w="30" w:type="dxa"/>
              <w:right w:w="80" w:type="dxa"/>
            </w:tcMar>
          </w:tcPr>
          <w:p>
            <w:pPr>
              <w:keepNext/>
              <w:spacing w:after="0"/>
            </w:pPr>
            <w:r>
              <w:rPr>
                <w:b/>
                <w:sz w:val="20"/>
              </w:rPr>
              <w:t>Nicholas County</w:t>
            </w:r>
          </w:p>
        </w:tc>
        <w:tc>
          <w:tcPr>
            <w:tcW w:w="4880" w:type="dxa"/>
            <w:tcMar>
              <w:top w:w="30" w:type="dxa"/>
              <w:left w:w="80" w:type="dxa"/>
              <w:bottom w:w="30" w:type="dxa"/>
              <w:right w:w="80" w:type="dxa"/>
            </w:tcMar>
          </w:tcPr>
          <w:p>
            <w:pPr>
              <w:keepNext/>
              <w:spacing w:after="0"/>
            </w:pPr>
            <w:r>
              <w:rPr>
                <w:b/>
                <w:sz w:val="20"/>
              </w:rPr>
              <w:t>Explanation</w:t>
            </w:r>
          </w:p>
        </w:tc>
      </w:tr>
      <w:tr>
        <w:trPr>
          <w:cantSplit/>
        </w:trPr>
        <w:tc>
          <w:tcPr>
            <w:tcW w:w="2700" w:type="dxa"/>
            <w:tcMar>
              <w:top w:w="30" w:type="dxa"/>
              <w:left w:w="80" w:type="dxa"/>
              <w:bottom w:w="30" w:type="dxa"/>
              <w:right w:w="80" w:type="dxa"/>
            </w:tcMar>
          </w:tcPr>
          <w:p>
            <w:pPr>
              <w:keepNext/>
              <w:spacing w:after="0"/>
            </w:pPr>
            <w:r>
              <w:rPr>
                <w:sz w:val="20"/>
              </w:rPr>
              <w:t>County Restriction Score</w:t>
            </w:r>
          </w:p>
        </w:tc>
        <w:tc>
          <w:tcPr>
            <w:tcW w:w="2500" w:type="dxa"/>
            <w:tcMar>
              <w:top w:w="30" w:type="dxa"/>
              <w:left w:w="80" w:type="dxa"/>
              <w:bottom w:w="30" w:type="dxa"/>
              <w:right w:w="80" w:type="dxa"/>
            </w:tcMar>
          </w:tcPr>
          <w:p>
            <w:pPr>
              <w:keepNext/>
              <w:spacing w:after="0"/>
            </w:pPr>
            <w:r>
              <w:rPr>
                <w:b/>
                <w:sz w:val="20"/>
              </w:rPr>
              <w:t>0.05 (likely range 0.04 to 0.06)</w:t>
            </w:r>
          </w:p>
        </w:tc>
        <w:tc>
          <w:tcPr>
            <w:tcW w:w="4880" w:type="dxa"/>
            <w:tcMar>
              <w:top w:w="30" w:type="dxa"/>
              <w:left w:w="80" w:type="dxa"/>
              <w:bottom w:w="30" w:type="dxa"/>
              <w:right w:w="80" w:type="dxa"/>
            </w:tcMar>
          </w:tcPr>
          <w:p>
            <w:pPr>
              <w:keepNext/>
              <w:spacing w:after="0"/>
            </w:pPr>
            <w:r>
              <w:rPr>
                <w:sz w:val="20"/>
              </w:rPr>
              <w:t>Resemblance to counties with a severe wind, solar or storage restriction on record, on a 0 to 1 scale; national base rate 0.24</w:t>
            </w:r>
          </w:p>
        </w:tc>
      </w:tr>
      <w:tr>
        <w:trPr>
          <w:cantSplit/>
        </w:trPr>
        <w:tc>
          <w:tcPr>
            <w:tcW w:w="2700" w:type="dxa"/>
            <w:tcMar>
              <w:top w:w="30" w:type="dxa"/>
              <w:left w:w="80" w:type="dxa"/>
              <w:bottom w:w="30" w:type="dxa"/>
              <w:right w:w="80" w:type="dxa"/>
            </w:tcMar>
          </w:tcPr>
          <w:p>
            <w:pPr>
              <w:keepNext/>
              <w:spacing w:after="0"/>
            </w:pPr>
            <w:r>
              <w:rPr>
                <w:sz w:val="20"/>
              </w:rPr>
              <w:t>Score decile</w:t>
            </w:r>
          </w:p>
        </w:tc>
        <w:tc>
          <w:tcPr>
            <w:tcW w:w="2500" w:type="dxa"/>
            <w:tcMar>
              <w:top w:w="30" w:type="dxa"/>
              <w:left w:w="80" w:type="dxa"/>
              <w:bottom w:w="30" w:type="dxa"/>
              <w:right w:w="80" w:type="dxa"/>
            </w:tcMar>
          </w:tcPr>
          <w:p>
            <w:pPr>
              <w:keepNext/>
              <w:spacing w:after="0"/>
            </w:pPr>
            <w:r>
              <w:rPr>
                <w:b/>
                <w:sz w:val="20"/>
              </w:rPr>
              <w:t>1 of 10</w:t>
            </w:r>
          </w:p>
        </w:tc>
        <w:tc>
          <w:tcPr>
            <w:tcW w:w="4880" w:type="dxa"/>
            <w:tcMar>
              <w:top w:w="30" w:type="dxa"/>
              <w:left w:w="80" w:type="dxa"/>
              <w:bottom w:w="30" w:type="dxa"/>
              <w:right w:w="80" w:type="dxa"/>
            </w:tcMar>
          </w:tcPr>
          <w:p>
            <w:pPr>
              <w:keepNext/>
              <w:spacing w:after="0"/>
            </w:pPr>
            <w:r>
              <w:rPr>
                <w:sz w:val="20"/>
              </w:rPr>
              <w:t>Bottom tenth of 3,144 U.S. counties (scores below 0.063); 3.5 percent of decile 1 counties have a severe restriction</w:t>
            </w:r>
          </w:p>
        </w:tc>
      </w:tr>
      <w:tr>
        <w:trPr>
          <w:cantSplit/>
        </w:trPr>
        <w:tc>
          <w:tcPr>
            <w:tcW w:w="2700" w:type="dxa"/>
            <w:tcMar>
              <w:top w:w="30" w:type="dxa"/>
              <w:left w:w="80" w:type="dxa"/>
              <w:bottom w:w="30" w:type="dxa"/>
              <w:right w:w="80" w:type="dxa"/>
            </w:tcMar>
          </w:tcPr>
          <w:p>
            <w:pPr>
              <w:keepNext/>
              <w:spacing w:after="0"/>
            </w:pPr>
            <w:r>
              <w:rPr>
                <w:sz w:val="20"/>
              </w:rPr>
              <w:t>National and Kentucky standing</w:t>
            </w:r>
          </w:p>
        </w:tc>
        <w:tc>
          <w:tcPr>
            <w:tcW w:w="2500" w:type="dxa"/>
            <w:tcMar>
              <w:top w:w="30" w:type="dxa"/>
              <w:left w:w="80" w:type="dxa"/>
              <w:bottom w:w="30" w:type="dxa"/>
              <w:right w:w="80" w:type="dxa"/>
            </w:tcMar>
          </w:tcPr>
          <w:p>
            <w:pPr>
              <w:keepNext/>
              <w:spacing w:after="0"/>
            </w:pPr>
            <w:r>
              <w:rPr>
                <w:b/>
                <w:sz w:val="20"/>
              </w:rPr>
              <w:t>4</w:t>
            </w:r>
            <w:r>
              <w:rPr>
                <w:b/>
                <w:sz w:val="20"/>
                <w:vertAlign w:val="superscript"/>
              </w:rPr>
              <w:t>th</w:t>
            </w:r>
            <w:r>
              <w:rPr>
                <w:b/>
                <w:sz w:val="20"/>
              </w:rPr>
              <w:t xml:space="preserve"> percentile; 98</w:t>
            </w:r>
            <w:r>
              <w:rPr>
                <w:b/>
                <w:sz w:val="20"/>
                <w:vertAlign w:val="superscript"/>
              </w:rPr>
              <w:t>th</w:t>
            </w:r>
            <w:r>
              <w:rPr>
                <w:b/>
                <w:sz w:val="20"/>
              </w:rPr>
              <w:t xml:space="preserve"> of 120</w:t>
            </w:r>
          </w:p>
        </w:tc>
        <w:tc>
          <w:tcPr>
            <w:tcW w:w="4880" w:type="dxa"/>
            <w:tcMar>
              <w:top w:w="30" w:type="dxa"/>
              <w:left w:w="80" w:type="dxa"/>
              <w:bottom w:w="30" w:type="dxa"/>
              <w:right w:w="80" w:type="dxa"/>
            </w:tcMar>
          </w:tcPr>
          <w:p>
            <w:pPr>
              <w:keepNext/>
              <w:spacing w:after="0"/>
            </w:pPr>
            <w:r>
              <w:rPr>
                <w:sz w:val="20"/>
              </w:rPr>
              <w:t>Share of U.S. counties scoring below Nicholas; rank among Kentucky counties</w:t>
            </w:r>
          </w:p>
        </w:tc>
      </w:tr>
      <w:tr>
        <w:trPr>
          <w:cantSplit/>
        </w:trPr>
        <w:tc>
          <w:tcPr>
            <w:tcW w:w="2700" w:type="dxa"/>
            <w:tcMar>
              <w:top w:w="30" w:type="dxa"/>
              <w:left w:w="80" w:type="dxa"/>
              <w:bottom w:w="30" w:type="dxa"/>
              <w:right w:w="80" w:type="dxa"/>
            </w:tcMar>
          </w:tcPr>
          <w:p>
            <w:pPr>
              <w:keepNext/>
              <w:spacing w:after="0"/>
            </w:pPr>
            <w:r>
              <w:rPr>
                <w:sz w:val="20"/>
              </w:rPr>
              <w:t>Evidence status</w:t>
            </w:r>
          </w:p>
        </w:tc>
        <w:tc>
          <w:tcPr>
            <w:tcW w:w="2500" w:type="dxa"/>
            <w:tcMar>
              <w:top w:w="30" w:type="dxa"/>
              <w:left w:w="80" w:type="dxa"/>
              <w:bottom w:w="30" w:type="dxa"/>
              <w:right w:w="80" w:type="dxa"/>
            </w:tcMar>
          </w:tcPr>
          <w:p>
            <w:pPr>
              <w:keepNext/>
              <w:spacing w:after="0"/>
            </w:pPr>
            <w:r>
              <w:rPr>
                <w:b/>
                <w:sz w:val="20"/>
              </w:rPr>
              <w:t>Verified (this review)</w:t>
            </w:r>
          </w:p>
        </w:tc>
        <w:tc>
          <w:tcPr>
            <w:tcW w:w="4880" w:type="dxa"/>
            <w:tcMar>
              <w:top w:w="30" w:type="dxa"/>
              <w:left w:w="80" w:type="dxa"/>
              <w:bottom w:w="30" w:type="dxa"/>
              <w:right w:w="80" w:type="dxa"/>
            </w:tcMar>
          </w:tcPr>
          <w:p>
            <w:pPr>
              <w:keepNext/>
              <w:spacing w:after="0"/>
            </w:pPr>
            <w:r>
              <w:rPr>
                <w:sz w:val="20"/>
              </w:rPr>
              <w:t>The two solar instruments read in the Siting Board record (Case 2026-00256) and the wind moratorium in the Carlisle Mercury; supersedes the platform's October 9 "checked, none found" entry</w:t>
            </w:r>
          </w:p>
        </w:tc>
      </w:tr>
      <w:tr>
        <w:trPr>
          <w:cantSplit/>
        </w:trPr>
        <w:tc>
          <w:tcPr>
            <w:tcW w:w="2700" w:type="dxa"/>
            <w:tcMar>
              <w:top w:w="30" w:type="dxa"/>
              <w:left w:w="80" w:type="dxa"/>
              <w:bottom w:w="30" w:type="dxa"/>
              <w:right w:w="80" w:type="dxa"/>
            </w:tcMar>
          </w:tcPr>
          <w:p>
            <w:pPr>
              <w:keepNext/>
              <w:spacing w:after="0"/>
            </w:pPr>
            <w:r>
              <w:rPr>
                <w:sz w:val="20"/>
              </w:rPr>
              <w:t>Project outcome tiers</w:t>
            </w:r>
          </w:p>
        </w:tc>
        <w:tc>
          <w:tcPr>
            <w:tcW w:w="2500" w:type="dxa"/>
            <w:tcMar>
              <w:top w:w="30" w:type="dxa"/>
              <w:left w:w="80" w:type="dxa"/>
              <w:bottom w:w="30" w:type="dxa"/>
              <w:right w:w="80" w:type="dxa"/>
            </w:tcMar>
          </w:tcPr>
          <w:p>
            <w:pPr>
              <w:keepNext/>
              <w:spacing w:after="0"/>
            </w:pPr>
            <w:r>
              <w:rPr>
                <w:b/>
                <w:sz w:val="20"/>
              </w:rPr>
              <w:t>0 decided; 1 pending</w:t>
            </w:r>
          </w:p>
        </w:tc>
        <w:tc>
          <w:tcPr>
            <w:tcW w:w="4880" w:type="dxa"/>
            <w:tcMar>
              <w:top w:w="30" w:type="dxa"/>
              <w:left w:w="80" w:type="dxa"/>
              <w:bottom w:w="30" w:type="dxa"/>
              <w:right w:w="80" w:type="dxa"/>
            </w:tcMar>
          </w:tcPr>
          <w:p>
            <w:pPr>
              <w:keepNext/>
              <w:spacing w:after="0"/>
            </w:pPr>
            <w:r>
              <w:rPr>
                <w:sz w:val="20"/>
              </w:rPr>
              <w:t>South Fork Solar (45 MW), pre-application at the Siting Board</w:t>
            </w:r>
          </w:p>
        </w:tc>
      </w:tr>
      <w:tr>
        <w:trPr>
          <w:cantSplit/>
        </w:trPr>
        <w:tc>
          <w:tcPr>
            <w:tcW w:w="2700" w:type="dxa"/>
            <w:tcMar>
              <w:top w:w="30" w:type="dxa"/>
              <w:left w:w="80" w:type="dxa"/>
              <w:bottom w:w="30" w:type="dxa"/>
              <w:right w:w="80" w:type="dxa"/>
            </w:tcMar>
          </w:tcPr>
          <w:p>
            <w:pPr>
              <w:spacing w:after="0"/>
            </w:pPr>
            <w:r>
              <w:rPr>
                <w:sz w:val="20"/>
              </w:rPr>
              <w:t>Opposition intensity</w:t>
            </w:r>
          </w:p>
        </w:tc>
        <w:tc>
          <w:tcPr>
            <w:tcW w:w="2500" w:type="dxa"/>
            <w:tcMar>
              <w:top w:w="30" w:type="dxa"/>
              <w:left w:w="80" w:type="dxa"/>
              <w:bottom w:w="30" w:type="dxa"/>
              <w:right w:w="80" w:type="dxa"/>
            </w:tcMar>
          </w:tcPr>
          <w:p>
            <w:pPr>
              <w:spacing w:after="0"/>
            </w:pPr>
            <w:r>
              <w:rPr>
                <w:b/>
                <w:sz w:val="20"/>
              </w:rPr>
              <w:t>93</w:t>
            </w:r>
            <w:r>
              <w:rPr>
                <w:b/>
                <w:sz w:val="20"/>
                <w:vertAlign w:val="superscript"/>
              </w:rPr>
              <w:t>rd</w:t>
            </w:r>
            <w:r>
              <w:rPr>
                <w:b/>
                <w:sz w:val="20"/>
              </w:rPr>
              <w:t xml:space="preserve"> percentile (records); 98</w:t>
            </w:r>
            <w:r>
              <w:rPr>
                <w:b/>
                <w:sz w:val="20"/>
                <w:vertAlign w:val="superscript"/>
              </w:rPr>
              <w:t>th</w:t>
            </w:r>
            <w:r>
              <w:rPr>
                <w:b/>
                <w:sz w:val="20"/>
              </w:rPr>
              <w:t xml:space="preserve"> (per 100,000 residents)</w:t>
            </w:r>
          </w:p>
        </w:tc>
        <w:tc>
          <w:tcPr>
            <w:tcW w:w="4880" w:type="dxa"/>
            <w:tcMar>
              <w:top w:w="30" w:type="dxa"/>
              <w:left w:w="80" w:type="dxa"/>
              <w:bottom w:w="30" w:type="dxa"/>
              <w:right w:w="80" w:type="dxa"/>
            </w:tcMar>
          </w:tcPr>
          <w:p>
            <w:pPr>
              <w:spacing w:after="0"/>
            </w:pPr>
            <w:r>
              <w:rPr>
                <w:sz w:val="20"/>
              </w:rPr>
              <w:t>Three restriction instruments and one contested project, against all U.S. counties</w:t>
            </w:r>
          </w:p>
        </w:tc>
      </w:tr>
    </w:tbl>
    <w:p>
      <w:pPr>
        <w:spacing w:after="40"/>
      </w:pPr>
    </w:p>
    <w:p>
      <w:pPr>
        <w:spacing w:after="200"/>
      </w:pPr>
      <w:r>
        <w:t>Ratings as of October 16, 2026. The score is a calibrated, cross-validated resemblance measure, not a forecast for any project. Opposition intensity counts the records this review added; the platform's published data held none for Nicholas on October 13. "How to Read Hawthorn Intelligence Reports" below defines each scale.</w:t>
      </w:r>
    </w:p>
    <w:p>
      <w:pPr>
        <w:pStyle w:val="Heading2"/>
        <w:spacing w:before="240" w:after="80"/>
      </w:pPr>
      <w:r>
        <w:t>At a glance</w:t>
      </w:r>
    </w:p>
    <w:p>
      <w:pPr>
        <w:pStyle w:val="ListParagraph"/>
        <w:numPr>
          <w:ilvl w:val="0"/>
          <w:numId w:val="9"/>
        </w:numPr>
        <w:spacing w:after="80"/>
      </w:pPr>
      <w:hyperlink r:id="rId9" w:history="1">
        <w:r>
          <w:rPr>
            <w:rStyle w:val="Hyperlink"/>
          </w:rPr>
          <w:t xml:space="preserve">Population</w:t>
        </w:r>
      </w:hyperlink>
      <w:r>
        <w:t xml:space="preserve"> 7,949 (July 2025 estimate) on 195 square miles; Carlisle is the county's one city, and a sliver of Millersburg (14 residents in 2020) crosses in from Bourbon County</w:t>
      </w:r>
    </w:p>
    <w:p>
      <w:pPr>
        <w:pStyle w:val="ListParagraph"/>
        <w:numPr>
          <w:ilvl w:val="0"/>
          <w:numId w:val="9"/>
        </w:numPr>
        <w:spacing w:after="80"/>
      </w:pPr>
      <w:r>
        <w:t>Median household income $59,531; 9.8 percent of adults 25 and older hold a bachelor's degree or higher (ACS 2020-2024)</w:t>
      </w:r>
    </w:p>
    <w:p>
      <w:pPr>
        <w:pStyle w:val="ListParagraph"/>
        <w:numPr>
          <w:ilvl w:val="0"/>
          <w:numId w:val="9"/>
        </w:numPr>
        <w:spacing w:after="80"/>
      </w:pPr>
      <w:hyperlink r:id="rId10" w:history="1">
        <w:r>
          <w:rPr>
            <w:rStyle w:val="Hyperlink"/>
          </w:rPr>
          <w:t xml:space="preserve">2024</w:t>
        </w:r>
      </w:hyperlink>
      <w:r>
        <w:t xml:space="preserve"> presidential vote: Trump 73.8 percent, Harris 24.8 percent</w:t>
      </w:r>
    </w:p>
    <w:p>
      <w:pPr>
        <w:pStyle w:val="ListParagraph"/>
        <w:numPr>
          <w:ilvl w:val="1"/>
          <w:numId w:val="9"/>
        </w:numPr>
        <w:spacing w:after="80"/>
      </w:pPr>
      <w:r>
        <w:t>Partisan trend: the Republican margin widened from 41.2 points in 2016 to 42.8 in 2020 and 49.0 in 2024</w:t>
      </w:r>
    </w:p>
    <w:p>
      <w:pPr>
        <w:pStyle w:val="ListParagraph"/>
        <w:numPr>
          <w:ilvl w:val="0"/>
          <w:numId w:val="9"/>
        </w:numPr>
        <w:spacing w:after="80"/>
      </w:pPr>
      <w:r>
        <w:t>Farm economy: 467 farms on 76,674 acres; cattle sales of $14.8 million and tobacco of $4.4 million, 13</w:t>
      </w:r>
      <w:r>
        <w:rPr>
          <w:vertAlign w:val="superscript"/>
        </w:rPr>
        <w:t>th</w:t>
      </w:r>
      <w:r>
        <w:t xml:space="preserve"> among Kentucky's tobacco counties (</w:t>
      </w:r>
      <w:hyperlink r:id="rId11" w:history="1">
        <w:r>
          <w:rPr>
            <w:rStyle w:val="Hyperlink"/>
          </w:rPr>
          <w:t xml:space="preserve">USDA 2022 Census of Agriculture</w:t>
        </w:r>
      </w:hyperlink>
      <w:r>
        <w:t>)</w:t>
      </w:r>
    </w:p>
    <w:p>
      <w:pPr>
        <w:pStyle w:val="ListParagraph"/>
        <w:numPr>
          <w:ilvl w:val="0"/>
          <w:numId w:val="9"/>
        </w:numPr>
        <w:spacing w:after="80"/>
      </w:pPr>
      <w:r>
        <w:t>Grid: Kentucky Utilities serves Carlisle; Blue Grass Energy and Fleming-Mason Energy, both members of East Kentucky Power Cooperative (EKPC), serve rural areas</w:t>
      </w:r>
    </w:p>
    <w:p>
      <w:pPr>
        <w:pStyle w:val="ListParagraph"/>
        <w:numPr>
          <w:ilvl w:val="0"/>
          <w:numId w:val="9"/>
        </w:numPr>
        <w:spacing w:after="80"/>
      </w:pPr>
      <w:r>
        <w:t>Proposed projects: South Fork Solar (45 MW, two PJM queue positions) and a 3.5 MW distributed solar project at Headquarters; in December 2025 the county attorney reported a wind company seeking 6,000 acres</w:t>
      </w:r>
    </w:p>
    <w:p>
      <w:pPr>
        <w:pStyle w:val="ListParagraph"/>
        <w:numPr>
          <w:ilvl w:val="0"/>
          <w:numId w:val="9"/>
        </w:numPr>
        <w:spacing w:after="80"/>
      </w:pPr>
      <w:r>
        <w:t xml:space="preserve">Enacted restrictions: yes, the solar ordinance (June 2024) and solar moratorium (September 2026) </w:t>
      </w:r>
      <w:hyperlink r:id="rId12" w:history="1">
        <w:r>
          <w:rPr>
            <w:rStyle w:val="Hyperlink"/>
          </w:rPr>
          <w:t xml:space="preserve">read in the Siting Board record</w:t>
        </w:r>
      </w:hyperlink>
      <w:r>
        <w:t xml:space="preserve">, and the wind moratorium (August 2026) </w:t>
      </w:r>
      <w:hyperlink r:id="rId13" w:history="1">
        <w:r>
          <w:rPr>
            <w:rStyle w:val="Hyperlink"/>
          </w:rPr>
          <w:t xml:space="preserve">as printed</w:t>
        </w:r>
      </w:hyperlink>
      <w:r>
        <w:t xml:space="preserve"> in the Carlisle Mercury</w:t>
      </w:r>
    </w:p>
    <w:p>
      <w:pPr>
        <w:pStyle w:val="Heading1"/>
        <w:spacing w:before="360" w:after="120"/>
      </w:pPr>
      <w:r>
        <w:t>A county that wrote its own rules</w:t>
      </w:r>
    </w:p>
    <w:p>
      <w:pPr>
        <w:spacing w:after="200"/>
      </w:pPr>
      <w:r>
        <w:t>Nicholas County has no county planning commission and no county-wide zoning, but its fiscal court regulates solar anyway. In May and June 2024 it adopted Ordinance No. 06/2024-Solar, the "Solar Energy System Installation Requirements," by 6-0 votes on both readings, citing its home-rule powers (KRS 67.083) and KRS 278.718, which gives local ordinances primacy over the state's siting provisions, including setbacks.</w:t>
      </w:r>
    </w:p>
    <w:p>
      <w:pPr>
        <w:spacing w:after="200"/>
      </w:pPr>
      <w:r>
        <w:t>The ordinance requires a county license for any ground-mounted system over 2,500 square feet, a list of every non-participating owner within 2,500 feet, an eight-foot fence with a double row of evergreens, and a decommissioning plan with surety. Its most demanding term puts the footprint at least 2,000 feet from any non-participating property line and from any public road or rail line. The state's 2,000-foot setback is measured instead from residential neighborhoods, schools, hospitals and nursing homes. Under the county's rule, a square site needs to be more than 4,000 feet across before any panels fit; the county's average farm (164 acres) is about 2,700 feet across.</w:t>
      </w:r>
    </w:p>
    <w:p>
      <w:pPr>
        <w:spacing w:after="200"/>
      </w:pPr>
      <w:r>
        <w:t>On August 14, 2026, the court added two moratoria. It adopted Ordinance No. 26-August-02, a one-year moratorium on "turbine/wind energy projects of any size," together with a one-year moratorium on data centers. Both had their first reading on July 10, and the Mercury printed no tally for either. In December 2025 the county attorney had told the court that a wind company, Cordelio Power, was "looking to acquire 6000 acres in the county."</w:t>
      </w:r>
    </w:p>
    <w:p>
      <w:pPr>
        <w:spacing w:after="200"/>
      </w:pPr>
      <w:r>
        <w:t>On September 18, 2026, the court adopted Ordinance No. September-2026-18-01, a one-year moratorium on "the construction, development, and operation of solar systems of any size as referenced in existing ordinance," that is, the ground-mounted systems the 2024 ordinance licenses. Its stated purpose is to give the judge-executive, magistrates and consultants time to weigh "environmental impacts, utility capacity, economic benefits for the community, and best practices from other jurisdictions." The first reading passed 4-2 on September 11, with Magistrates Matt Hughes and Rodney Matthews voting no, and the second passed 5-1 at a special-called meeting, with Hughes voting no. It took effect on adoption and runs to about September 18, 2027. We found no petition or organized campaign before any of the three instruments.</w:t>
      </w:r>
    </w:p>
    <w:p>
      <w:pPr>
        <w:pStyle w:val="Heading2"/>
        <w:spacing w:before="240" w:after="80"/>
      </w:pPr>
      <w:r>
        <w:t>South Fork Solar</w:t>
      </w:r>
    </w:p>
    <w:p>
      <w:pPr>
        <w:spacing w:after="200"/>
      </w:pPr>
      <w:r>
        <w:rPr>
          <w:b/>
        </w:rPr>
        <w:t>South Fork Solar</w:t>
      </w:r>
      <w:r>
        <w:t xml:space="preserve"> is the county's first test. Heelstone Renewable Energy of North Carolina (owned by Qualitas Energy) would build about 45 MW of solar on about 315 acres of private land (the notice of intent's figure; Heelstone's local notices give about 250) at 3750 Carpenter Pike Road, two miles east of Millersburg and three miles west of Carlisle. It holds two PJM queue positions at EKPC's Millersburg 69 kV point of interconnection: AH1-570 (25 MW, entered September 2021) and AH1-571 (20 MW), 45 MW together.</w:t>
      </w:r>
    </w:p>
    <w:p>
      <w:pPr>
        <w:spacing w:after="200"/>
      </w:pPr>
      <w:r>
        <w:t>Heelstone went to the county first. At a June 9, 2026 workshop it asked the fiscal court for a text amendment to the 2024 ordinance, which "as written, would prohibit" the project, the Carlisle Mercury reported. As planned, South Fork would have 50-foot setbacks against the ordinance's 2,000 feet, with "a dozen or so" adjacent properties, and Heelstone asked to be "grandfathered in." Residents asked about property values, contamination and erosion. Heelstone said it had spent $5 million to $6 million on the project, which would cost $70 million to $75 million, and planned construction for 2028. On July 10 the court "voted unanimously to uphold their current solar ordinance and reject a text amendment."</w:t>
      </w:r>
    </w:p>
    <w:p>
      <w:pPr>
        <w:spacing w:after="200"/>
      </w:pPr>
      <w:r>
        <w:t>At more than 10 MW, South Fork needs a construction certificate from the Kentucky State Board on Electric Generation and Transmission Siting. Its notice of intent, first e-mailed September 4 and filed on the commission's portal September 25, states that no residential neighborhood, school, hospital or nursing home lies within 2,000 feet, so it needs no deviation from the state setback. On the county ordinance, the developer is explicit: it "is not applicable to the Project because Nicholas County has not adopted county-wide planning and zoning." On October 2 the Siting Board refused South Fork's request to treat its notice as filed September 4, which puts the earliest application date at about October 25.</w:t>
      </w:r>
    </w:p>
    <w:p>
      <w:pPr>
        <w:pStyle w:val="Heading2"/>
        <w:spacing w:before="240" w:after="80"/>
      </w:pPr>
      <w:r>
        <w:t>Other projects</w:t>
      </w:r>
    </w:p>
    <w:p>
      <w:pPr>
        <w:spacing w:after="200"/>
      </w:pPr>
      <w:r>
        <w:t>A 3.5 MW distributed solar project by EDPR NA Distributed Generation entered the PJM queue in April 2026 at the Headquarters 12 kV point in Nicholas County, with a proposed operation date of August 2027. It is too small for the Siting Board and falls under the county's licensing ordinance and its moratorium. No battery storage or cryptocurrency-mining proposal has surfaced in the county, and we found no filing by the wind company the county attorney named in December 2025 or by any data-center developer.</w:t>
      </w:r>
    </w:p>
    <w:p>
      <w:pPr>
        <w:pStyle w:val="Heading2"/>
        <w:spacing w:before="240" w:after="80"/>
      </w:pPr>
      <w:r>
        <w:t>Organized Opposition</w:t>
      </w:r>
    </w:p>
    <w:p>
      <w:pPr>
        <w:spacing w:after="200"/>
      </w:pPr>
      <w:r>
        <w:t>We found no organized resident opposition: no group, petition or public comment on the Siting Board docket as of October 16. The weekly Carlisle Mercury, which posts each issue online as a searchable PDF, covered the 2024 ordinance, the June workshop, the July vote and the wind, data-center and solar moratoria. It reports residents asking about property values, contamination and erosion at the workshop, and one resident speaking at the September 18 meeting: a Carpenter Pike landowner who had leased land to Heelstone and urged the court to vote no on the moratorium. A Mercury street poll that week found mixed views of large solar farms among four residents.</w:t>
      </w:r>
    </w:p>
    <w:p>
      <w:pPr>
        <w:spacing w:after="200"/>
      </w:pPr>
      <w:r>
        <w:t>The resistance on record is official. Democratic magistrates moved and seconded the 2024 ordinance, and the court's Republicans voted for it too. The court rejected Heelstone's amendment unanimously in July 2026, and the county attorney placed both solar ordinances in the Siting Board record as "existing valid" law. In neighboring Harrison County, a local attorney framed an August 2026 data-center moratorium as a lesson from solar farms that had not been "as beneficial to the community as we first imagined."</w:t>
      </w:r>
    </w:p>
    <w:p>
      <w:pPr>
        <w:pStyle w:val="Heading2"/>
        <w:spacing w:before="240" w:after="80"/>
      </w:pPr>
      <w:r>
        <w:t>What to watch next</w:t>
      </w:r>
    </w:p>
    <w:p>
      <w:pPr>
        <w:pStyle w:val="ListParagraph"/>
        <w:numPr>
          <w:ilvl w:val="0"/>
          <w:numId w:val="9"/>
        </w:numPr>
        <w:spacing w:after="80"/>
      </w:pPr>
      <w:r>
        <w:t xml:space="preserve">Kentucky Supreme Court action on the Breckinridge petition, </w:t>
      </w:r>
      <w:r>
        <w:rPr>
          <w:i/>
        </w:rPr>
        <w:t>Clover Creek Solar v. Breckinridge County Fiscal Court</w:t>
      </w:r>
      <w:r>
        <w:t xml:space="preserve"> (No. 2026-SC-0263).</w:t>
      </w:r>
    </w:p>
    <w:p>
      <w:pPr>
        <w:pStyle w:val="ListParagraph"/>
        <w:numPr>
          <w:ilvl w:val="0"/>
          <w:numId w:val="9"/>
        </w:numPr>
        <w:spacing w:after="80"/>
      </w:pPr>
      <w:r>
        <w:t>About October 25, 2026: the earliest date South Fork Solar may file its Siting Board application; the governor's appointment of the board's ad hoc members for the case.</w:t>
      </w:r>
    </w:p>
    <w:p>
      <w:pPr>
        <w:pStyle w:val="ListParagraph"/>
        <w:numPr>
          <w:ilvl w:val="0"/>
          <w:numId w:val="9"/>
        </w:numPr>
        <w:spacing w:after="80"/>
      </w:pPr>
      <w:r>
        <w:t>November 3, 2026: the judge-executive rematch (Hamilton v. Randolph) and the magistrate races.</w:t>
      </w:r>
    </w:p>
    <w:p>
      <w:pPr>
        <w:pStyle w:val="ListParagraph"/>
        <w:numPr>
          <w:ilvl w:val="0"/>
          <w:numId w:val="9"/>
        </w:numPr>
        <w:spacing w:after="80"/>
      </w:pPr>
      <w:r>
        <w:t>Any amendment to Ordinance 06/2024-Solar during the moratorium.</w:t>
      </w:r>
    </w:p>
    <w:p>
      <w:pPr>
        <w:pStyle w:val="ListParagraph"/>
        <w:numPr>
          <w:ilvl w:val="0"/>
          <w:numId w:val="9"/>
        </w:numPr>
        <w:spacing w:after="80"/>
      </w:pPr>
      <w:r>
        <w:t>About August 14, 2027: scheduled end of the wind and data-center moratoria.</w:t>
      </w:r>
    </w:p>
    <w:p>
      <w:pPr>
        <w:pStyle w:val="ListParagraph"/>
        <w:numPr>
          <w:ilvl w:val="0"/>
          <w:numId w:val="9"/>
        </w:numPr>
        <w:spacing w:after="80"/>
      </w:pPr>
      <w:r>
        <w:t>About September 18, 2027: scheduled end of the solar moratorium, and whether the Headquarters project seeks a county license or waits it out.</w:t>
      </w:r>
    </w:p>
    <w:p>
      <w:pPr>
        <w:pStyle w:val="Heading1"/>
        <w:spacing w:before="360" w:after="120"/>
      </w:pPr>
      <w:r>
        <w:t>Hawthorn Intelligence Appendix</w:t>
      </w:r>
    </w:p>
    <w:p>
      <w:pPr>
        <w:spacing w:after="200"/>
      </w:pPr>
      <w:r>
        <w:rPr>
          <w:b/>
        </w:rPr>
        <w:t>Restriction score:</w:t>
      </w:r>
      <w:r>
        <w:t xml:space="preserve"> </w:t>
      </w:r>
      <w:r>
        <w:rPr>
          <w:i/>
        </w:rPr>
        <w:t>0.05/1</w:t>
      </w:r>
      <w:r>
        <w:rPr>
          <w:rStyle w:val="FootnoteReference"/>
        </w:rPr>
        <w:footnoteReference w:id="1"/>
      </w:r>
    </w:p>
    <w:p>
      <w:pPr>
        <w:spacing w:after="200"/>
      </w:pPr>
      <w:r>
        <w:t>Nicholas sits in the 4</w:t>
      </w:r>
      <w:r>
        <w:rPr>
          <w:vertAlign w:val="superscript"/>
        </w:rPr>
        <w:t>th</w:t>
      </w:r>
      <w:r>
        <w:t xml:space="preserve"> percentile nationally and the 19</w:t>
      </w:r>
      <w:r>
        <w:rPr>
          <w:vertAlign w:val="superscript"/>
        </w:rPr>
        <w:t>th</w:t>
      </w:r>
      <w:r>
        <w:t xml:space="preserve"> in Kentucky. Among the 747 counties the model treats as restricted, it would sit in the 1</w:t>
      </w:r>
      <w:r>
        <w:rPr>
          <w:vertAlign w:val="superscript"/>
        </w:rPr>
        <w:t>st</w:t>
      </w:r>
      <w:r>
        <w:t xml:space="preserve"> percentile once its own record is added. The model scores five county traits: population, median household income, operating wind capacity, megawatts of wind, solar and storage requested in interconnection queues, and the share of neighboring counties with a severe restriction.</w:t>
      </w:r>
      <w:r>
        <w:rPr>
          <w:rStyle w:val="FootnoteReference"/>
        </w:rPr>
        <w:footnoteReference w:id="2"/>
      </w:r>
      <w:r>
        <w:t xml:space="preserve"> In Kentucky, Daviess (0.42), Hancock (0.39) and Marshall (0.34) score highest; the state median is 0.09.</w:t>
      </w:r>
    </w:p>
    <w:p>
      <w:pPr>
        <w:spacing w:after="200"/>
      </w:pPr>
      <w:r>
        <w:rPr>
          <w:b/>
        </w:rPr>
        <w:t>Scale</w:t>
      </w:r>
    </w:p>
    <w:p>
      <w:pPr>
        <w:spacing w:after="200"/>
      </w:pPr>
      <w:r>
        <w:t>The score comes from Hawthorn's county model, a regularized logistic regression whose traits were chosen from nine candidates by a pre-registered stability rule and validated with five-fold cross-validation repeated five times. Every county is scored out of fold, and a cross-fitted recalibration keeps scores in line with observed rates (calibration slope 1.00). Across ten equal deciles of the 3,144 counties, the share with a severe restriction rises from 3.5 percent in the lowest to 65 percent in the highest. Nicholas is in the lowest.</w:t>
      </w:r>
    </w:p>
    <w:p>
      <w:pPr>
        <w:keepNext/>
        <w:spacing w:before="120" w:after="80"/>
      </w:pPr>
      <w:r>
        <w:rPr>
          <w:b/>
          <w:i/>
        </w:rPr>
        <w:t xml:space="preserve">Table 1 </w:t>
      </w:r>
      <w:r>
        <w:rPr>
          <w:i/>
        </w:rPr>
        <w:t>Hawthorn Intelligence Restriction Scale</w:t>
      </w:r>
      <w:r>
        <w:rPr>
          <w:rStyle w:val="FootnoteReference"/>
        </w:rPr>
        <w:footnoteReference w:id="3"/>
      </w:r>
    </w:p>
    <w:tbl>
      <w:tblPr>
        <w:tblStyle w:val="TableNormal"/>
        <w:tblW w:w="10080" w:type="dxa"/>
        <w:tblLayout w:type="fixed"/>
        <w:tblLook w:val="04A0" w:firstRow="1" w:lastRow="0" w:firstColumn="1" w:lastColumn="0" w:noHBand="0" w:noVBand="1"/>
      </w:tblPr>
      <w:tblGrid>
        <w:gridCol w:w="2000"/>
        <w:gridCol w:w="2600"/>
        <w:gridCol w:w="1600"/>
        <w:gridCol w:w="3880"/>
      </w:tblGrid>
      <w:tr>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Decile</w:t>
            </w:r>
          </w:p>
        </w:tc>
        <w:tc>
          <w:tcPr>
            <w:tcW w:w="26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Score range</w:t>
            </w:r>
          </w:p>
        </w:tc>
        <w:tc>
          <w:tcPr>
            <w:tcW w:w="16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Counties</w:t>
            </w:r>
          </w:p>
        </w:tc>
        <w:tc>
          <w:tcPr>
            <w:tcW w:w="388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Share with a severe restriction</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b/>
                <w:sz w:val="18"/>
              </w:rPr>
              <w:t>1 (lowest): Nicholas</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b/>
                <w:sz w:val="18"/>
              </w:rPr>
              <w:t>0.015 to 0.063</w:t>
            </w:r>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b/>
                <w:sz w:val="18"/>
              </w:rPr>
              <w:t>315</w:t>
            </w:r>
          </w:p>
        </w:tc>
        <w:tc>
          <w:tcPr>
            <w:tcW w:w="38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b/>
                <w:sz w:val="18"/>
              </w:rPr>
              <w:t>3.5%</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0.063 to 0.083</w:t>
            </w:r>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314</w:t>
            </w:r>
          </w:p>
        </w:tc>
        <w:tc>
          <w:tcPr>
            <w:tcW w:w="38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6.4%</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0.083 to 0.105</w:t>
            </w:r>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314</w:t>
            </w:r>
          </w:p>
        </w:tc>
        <w:tc>
          <w:tcPr>
            <w:tcW w:w="38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7.0%</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4</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0.105 to 0.131</w:t>
            </w:r>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315</w:t>
            </w:r>
          </w:p>
        </w:tc>
        <w:tc>
          <w:tcPr>
            <w:tcW w:w="38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13.3%</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5</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0.131 to 0.164</w:t>
            </w:r>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314</w:t>
            </w:r>
          </w:p>
        </w:tc>
        <w:tc>
          <w:tcPr>
            <w:tcW w:w="38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15.9%</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6</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0.164 to 0.210</w:t>
            </w:r>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314</w:t>
            </w:r>
          </w:p>
        </w:tc>
        <w:tc>
          <w:tcPr>
            <w:tcW w:w="38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20.4%</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7</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0.210 to 0.279</w:t>
            </w:r>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315</w:t>
            </w:r>
          </w:p>
        </w:tc>
        <w:tc>
          <w:tcPr>
            <w:tcW w:w="38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28.3%</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8</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0.280 to 0.386</w:t>
            </w:r>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314</w:t>
            </w:r>
          </w:p>
        </w:tc>
        <w:tc>
          <w:tcPr>
            <w:tcW w:w="38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33.4%</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9</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0.386 to 0.546</w:t>
            </w:r>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314</w:t>
            </w:r>
          </w:p>
        </w:tc>
        <w:tc>
          <w:tcPr>
            <w:tcW w:w="38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44.3%</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10 (highest)</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0.546 to 0.930</w:t>
            </w:r>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315</w:t>
            </w:r>
          </w:p>
        </w:tc>
        <w:tc>
          <w:tcPr>
            <w:tcW w:w="38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65.1%</w:t>
            </w:r>
          </w:p>
        </w:tc>
      </w:tr>
    </w:tbl>
    <w:p>
      <w:pPr>
        <w:spacing w:after="40"/>
      </w:pPr>
    </w:p>
    <w:p>
      <w:pPr>
        <w:keepNext/>
        <w:spacing w:before="120" w:after="80"/>
      </w:pPr>
      <w:r>
        <w:rPr>
          <w:b/>
          <w:i/>
        </w:rPr>
        <w:t xml:space="preserve">Table 2 </w:t>
      </w:r>
      <w:r>
        <w:rPr>
          <w:i/>
        </w:rPr>
        <w:t>Nicholas against national, state and peer benchmarks</w:t>
      </w:r>
      <w:r>
        <w:rPr>
          <w:rStyle w:val="FootnoteReference"/>
        </w:rPr>
        <w:footnoteReference w:id="4"/>
      </w:r>
    </w:p>
    <w:tbl>
      <w:tblPr>
        <w:tblStyle w:val="TableNormal"/>
        <w:tblW w:w="10080" w:type="dxa"/>
        <w:tblLayout w:type="fixed"/>
        <w:tblLook w:val="04A0" w:firstRow="1" w:lastRow="0" w:firstColumn="1" w:lastColumn="0" w:noHBand="0" w:noVBand="1"/>
      </w:tblPr>
      <w:tblGrid>
        <w:gridCol w:w="3280"/>
        <w:gridCol w:w="1700"/>
        <w:gridCol w:w="1700"/>
        <w:gridCol w:w="1700"/>
        <w:gridCol w:w="1700"/>
      </w:tblGrid>
      <w:tr>
        <w:trPr>
          <w:cantSplit/>
          <w:tblHeader/>
        </w:trPr>
        <w:tc>
          <w:tcPr>
            <w:tcW w:w="328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Measure</w:t>
            </w:r>
          </w:p>
        </w:tc>
        <w:tc>
          <w:tcPr>
            <w:tcW w:w="17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Nicholas</w:t>
            </w:r>
          </w:p>
        </w:tc>
        <w:tc>
          <w:tcPr>
            <w:tcW w:w="17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U.S. percentile</w:t>
            </w:r>
          </w:p>
        </w:tc>
        <w:tc>
          <w:tcPr>
            <w:tcW w:w="17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KY percentile</w:t>
            </w:r>
          </w:p>
        </w:tc>
        <w:tc>
          <w:tcPr>
            <w:tcW w:w="17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Peer median</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Restriction score</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0.05</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4</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19</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0.07</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Opposition records (this review)</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4</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93</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99</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Records per 100,000 residents</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51.9</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98</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100</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0.0</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Interconnection requests, MW (model input)</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10</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19</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110</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Operating solar, MW</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28</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44</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Operating wind, MW</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41</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50</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Population (model input)</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7,708</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17</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10</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7,836</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Residents per square mile</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39</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47</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28</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32</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Median household income</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$59,531</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33</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54</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$47,708</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Bachelor's degree or higher</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9.8%</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5</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9.2%</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2024 presidential margin</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R+49.0</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40</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73</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R+50.9</w:t>
            </w:r>
          </w:p>
        </w:tc>
      </w:tr>
    </w:tbl>
    <w:p>
      <w:pPr>
        <w:spacing w:after="40"/>
      </w:pPr>
    </w:p>
    <w:p>
      <w:pPr>
        <w:spacing w:after="200"/>
      </w:pPr>
      <w:r>
        <w:t>Against the average U.S. county, Nicholas's lack of restricting neighbors and of placed interconnection requests account for more than three-quarters of the gap below average in its score, and its small population and modest income for most of the rest. Partisanship plays no part: the 2024 margin did not keep a stable sign across the model's cross-validation folds and was dropped.</w:t>
      </w:r>
    </w:p>
    <w:p>
      <w:pPr>
        <w:keepNext/>
        <w:spacing w:before="120" w:after="80"/>
      </w:pPr>
      <w:r>
        <w:rPr>
          <w:b/>
          <w:i/>
        </w:rPr>
        <w:t xml:space="preserve">Table 3 </w:t>
      </w:r>
      <w:r>
        <w:rPr>
          <w:i/>
        </w:rPr>
        <w:t>Contribution of each model trait to Nicholas's score</w:t>
      </w:r>
      <w:r>
        <w:rPr>
          <w:rStyle w:val="FootnoteReference"/>
        </w:rPr>
        <w:footnoteReference w:id="5"/>
      </w:r>
    </w:p>
    <w:tbl>
      <w:tblPr>
        <w:tblStyle w:val="TableNormal"/>
        <w:tblW w:w="10080" w:type="dxa"/>
        <w:tblLayout w:type="fixed"/>
        <w:tblLook w:val="04A0" w:firstRow="1" w:lastRow="0" w:firstColumn="1" w:lastColumn="0" w:noHBand="0" w:noVBand="1"/>
      </w:tblPr>
      <w:tblGrid>
        <w:gridCol w:w="2600"/>
        <w:gridCol w:w="2000"/>
        <w:gridCol w:w="1500"/>
        <w:gridCol w:w="900"/>
        <w:gridCol w:w="1400"/>
        <w:gridCol w:w="1680"/>
      </w:tblGrid>
      <w:tr>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County trait</w:t>
            </w:r>
          </w:p>
        </w:tc>
        <w:tc>
          <w:tcPr>
            <w:tcW w:w="20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Nicholas (U.S. average)</w:t>
            </w:r>
          </w:p>
        </w:tc>
        <w:tc>
          <w:tcPr>
            <w:tcW w:w="15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Model direction</w:t>
            </w:r>
          </w:p>
        </w:tc>
        <w:tc>
          <w:tcPr>
            <w:tcW w:w="9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Trust tier</w:t>
            </w:r>
          </w:p>
        </w:tc>
        <w:tc>
          <w:tcPr>
            <w:tcW w:w="14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Lift (log-odds)</w:t>
            </w:r>
          </w:p>
        </w:tc>
        <w:tc>
          <w:tcPr>
            <w:tcW w:w="168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Share of movement</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Neighbors with a severe restriction</w:t>
            </w:r>
          </w:p>
        </w:tc>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 (24%)</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Higher raises score</w:t>
            </w:r>
          </w:p>
        </w:tc>
        <w:tc>
          <w:tcPr>
            <w:tcW w:w="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w:t>
            </w:r>
          </w:p>
        </w:tc>
        <w:tc>
          <w:tcPr>
            <w:tcW w:w="1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-0.61</w:t>
            </w:r>
          </w:p>
        </w:tc>
        <w:tc>
          <w:tcPr>
            <w:tcW w:w="16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48%</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Interconnection requests (MW)</w:t>
            </w:r>
          </w:p>
        </w:tc>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 (177)</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Higher raises score</w:t>
            </w:r>
          </w:p>
        </w:tc>
        <w:tc>
          <w:tcPr>
            <w:tcW w:w="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w:t>
            </w:r>
          </w:p>
        </w:tc>
        <w:tc>
          <w:tcPr>
            <w:tcW w:w="1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-0.36</w:t>
            </w:r>
          </w:p>
        </w:tc>
        <w:tc>
          <w:tcPr>
            <w:tcW w:w="16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29%</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Population</w:t>
            </w:r>
          </w:p>
        </w:tc>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7,708 (28,995)</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Higher raises score</w:t>
            </w:r>
          </w:p>
        </w:tc>
        <w:tc>
          <w:tcPr>
            <w:tcW w:w="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w:t>
            </w:r>
          </w:p>
        </w:tc>
        <w:tc>
          <w:tcPr>
            <w:tcW w:w="1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-0.15</w:t>
            </w:r>
          </w:p>
        </w:tc>
        <w:tc>
          <w:tcPr>
            <w:tcW w:w="16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12%</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Median household income</w:t>
            </w:r>
          </w:p>
        </w:tc>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$59,531 ($65,870)</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Higher raises score</w:t>
            </w:r>
          </w:p>
        </w:tc>
        <w:tc>
          <w:tcPr>
            <w:tcW w:w="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w:t>
            </w:r>
          </w:p>
        </w:tc>
        <w:tc>
          <w:tcPr>
            <w:tcW w:w="1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-0.09</w:t>
            </w:r>
          </w:p>
        </w:tc>
        <w:tc>
          <w:tcPr>
            <w:tcW w:w="16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7%</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Operating wind capacity</w:t>
            </w:r>
          </w:p>
        </w:tc>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0 (1.3)</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Higher raises score</w:t>
            </w:r>
          </w:p>
        </w:tc>
        <w:tc>
          <w:tcPr>
            <w:tcW w:w="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1</w:t>
            </w:r>
          </w:p>
        </w:tc>
        <w:tc>
          <w:tcPr>
            <w:tcW w:w="1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-0.04</w:t>
            </w:r>
          </w:p>
        </w:tc>
        <w:tc>
          <w:tcPr>
            <w:tcW w:w="16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3%</w:t>
            </w:r>
          </w:p>
        </w:tc>
      </w:tr>
    </w:tbl>
    <w:p>
      <w:pPr>
        <w:spacing w:after="40"/>
      </w:pPr>
    </w:p>
    <w:p>
      <w:pPr>
        <w:spacing w:after="200"/>
      </w:pPr>
      <w:r>
        <w:t>Nicholas's record runs far ahead of its profile. Its structural peers (other U.S. counties matched on population, density, education and 2024 margin)</w:t>
      </w:r>
      <w:r>
        <w:rPr>
          <w:rStyle w:val="FootnoteReference"/>
        </w:rPr>
        <w:footnoteReference w:id="6"/>
      </w:r>
      <w:r>
        <w:t xml:space="preserve"> have a median score of 0.07, and none of the ten has a severe restriction on record. Nicholas, with three instruments that all rank as severe on our scale and a contested project, sits in the 98</w:t>
      </w:r>
      <w:r>
        <w:rPr>
          <w:vertAlign w:val="superscript"/>
        </w:rPr>
        <w:t>th</w:t>
      </w:r>
      <w:r>
        <w:t xml:space="preserve"> percentile nationally for recorded activity per resident.</w:t>
      </w:r>
    </w:p>
    <w:p>
      <w:pPr>
        <w:spacing w:after="200"/>
      </w:pPr>
      <w:r>
        <w:rPr>
          <w:b/>
        </w:rPr>
        <w:t>Comparable outcomes:</w:t>
      </w:r>
      <w:r>
        <w:t xml:space="preserve"> The platform records six decided contested projects in Kentucky; five were blocked, four of them confirmed by independent evidence. Within 30 miles, Duke Energy Renewables' Flemingsburg wind project, spanning Fleming and Mason counties, was abandoned in 2014, and Clark County's fiscal court declined in 2021 to widen the zones where Geenex's solar project could locate. Fleming County's three Siting Board solar cases (188, 80 and 200 MW) were all approved with conditions.</w:t>
      </w:r>
    </w:p>
    <w:p>
      <w:pPr>
        <w:keepNext/>
        <w:spacing w:before="120" w:after="80"/>
      </w:pPr>
      <w:r>
        <w:rPr>
          <w:b/>
          <w:i/>
        </w:rPr>
        <w:t xml:space="preserve">Table 4 </w:t>
      </w:r>
      <w:r>
        <w:rPr>
          <w:i/>
        </w:rPr>
        <w:t>Neighboring counties</w:t>
      </w:r>
      <w:r>
        <w:rPr>
          <w:rStyle w:val="FootnoteReference"/>
        </w:rPr>
        <w:footnoteReference w:id="7"/>
      </w:r>
    </w:p>
    <w:tbl>
      <w:tblPr>
        <w:tblStyle w:val="TableNormal"/>
        <w:tblW w:w="10080" w:type="dxa"/>
        <w:tblLayout w:type="fixed"/>
        <w:tblLook w:val="04A0" w:firstRow="1" w:lastRow="0" w:firstColumn="1" w:lastColumn="0" w:noHBand="0" w:noVBand="1"/>
      </w:tblPr>
      <w:tblGrid>
        <w:gridCol w:w="2000"/>
        <w:gridCol w:w="1500"/>
        <w:gridCol w:w="1700"/>
        <w:gridCol w:w="1500"/>
        <w:gridCol w:w="1800"/>
        <w:gridCol w:w="1580"/>
      </w:tblGrid>
      <w:tr>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Neighboring county</w:t>
            </w:r>
          </w:p>
        </w:tc>
        <w:tc>
          <w:tcPr>
            <w:tcW w:w="15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Restriction score</w:t>
            </w:r>
          </w:p>
        </w:tc>
        <w:tc>
          <w:tcPr>
            <w:tcW w:w="17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Severe restriction on record</w:t>
            </w:r>
          </w:p>
        </w:tc>
        <w:tc>
          <w:tcPr>
            <w:tcW w:w="15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Opposition records</w:t>
            </w:r>
          </w:p>
        </w:tc>
        <w:tc>
          <w:tcPr>
            <w:tcW w:w="18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Interconnection requests, MW</w:t>
            </w:r>
          </w:p>
        </w:tc>
        <w:tc>
          <w:tcPr>
            <w:tcW w:w="158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Population</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Bourbon, KY</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0.13</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no</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w:t>
            </w:r>
          </w:p>
        </w:tc>
        <w:tc>
          <w:tcPr>
            <w:tcW w:w="1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139</w:t>
            </w:r>
          </w:p>
        </w:tc>
        <w:tc>
          <w:tcPr>
            <w:tcW w:w="15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20,240</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Fleming, KY</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0.12</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no</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w:t>
            </w:r>
          </w:p>
        </w:tc>
        <w:tc>
          <w:tcPr>
            <w:tcW w:w="1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778</w:t>
            </w:r>
          </w:p>
        </w:tc>
        <w:tc>
          <w:tcPr>
            <w:tcW w:w="15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15,323</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Harrison, KY</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0.11</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no</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w:t>
            </w:r>
          </w:p>
        </w:tc>
        <w:tc>
          <w:tcPr>
            <w:tcW w:w="1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440</w:t>
            </w:r>
          </w:p>
        </w:tc>
        <w:tc>
          <w:tcPr>
            <w:tcW w:w="15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19,140</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Bath, KY</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0.08</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no</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w:t>
            </w:r>
          </w:p>
        </w:tc>
        <w:tc>
          <w:tcPr>
            <w:tcW w:w="1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260</w:t>
            </w:r>
          </w:p>
        </w:tc>
        <w:tc>
          <w:tcPr>
            <w:tcW w:w="15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12,851</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Robertson, KY</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0.07</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no</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0</w:t>
            </w:r>
          </w:p>
        </w:tc>
        <w:tc>
          <w:tcPr>
            <w:tcW w:w="1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0</w:t>
            </w:r>
          </w:p>
        </w:tc>
        <w:tc>
          <w:tcPr>
            <w:tcW w:w="15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2,283</w:t>
            </w:r>
          </w:p>
        </w:tc>
      </w:tr>
    </w:tbl>
    <w:p>
      <w:pPr>
        <w:spacing w:after="40"/>
      </w:pPr>
    </w:p>
    <w:p>
      <w:pPr>
        <w:pStyle w:val="Heading2"/>
        <w:spacing w:before="240" w:after="80"/>
      </w:pPr>
      <w:r>
        <w:t>How to Read Hawthorn Intelligence Reports</w:t>
      </w:r>
    </w:p>
    <w:p>
      <w:pPr>
        <w:spacing w:after="200"/>
      </w:pPr>
      <w:r>
        <w:rPr>
          <w:b/>
        </w:rPr>
        <w:t>County Restriction Score and decile:</w:t>
      </w:r>
      <w:r>
        <w:t xml:space="preserve"> A calibrated 0 to 1 measure of how closely a county resembles counties that have enacted severe wind, solar or battery-storage restrictions (an explicit moratorium or ban, or terms likely to act as one, such as a solar setback of 1,000 feet or more). It is reported with its likely range and national decile (Table 1). It describes county profiles, not any specific project, and its drivers are predictive associations, not causes.</w:t>
      </w:r>
    </w:p>
    <w:p>
      <w:pPr>
        <w:spacing w:after="200"/>
      </w:pPr>
      <w:r>
        <w:rPr>
          <w:b/>
        </w:rPr>
        <w:t>Evidence status:</w:t>
      </w:r>
      <w:r>
        <w:t xml:space="preserve"> How thoroughly a county's restriction record has been checked against the instruments themselves. It describes verification effort, not the likelihood of a restriction.</w:t>
      </w:r>
    </w:p>
    <w:p>
      <w:pPr>
        <w:keepNext/>
        <w:spacing w:before="120" w:after="80"/>
      </w:pPr>
      <w:r>
        <w:rPr>
          <w:b/>
          <w:i/>
        </w:rPr>
        <w:t xml:space="preserve">Table 5 </w:t>
      </w:r>
      <w:r>
        <w:rPr>
          <w:i/>
        </w:rPr>
        <w:t>Evidence status</w:t>
      </w:r>
      <w:r>
        <w:rPr>
          <w:rStyle w:val="FootnoteReference"/>
        </w:rPr>
        <w:footnoteReference w:id="8"/>
      </w:r>
    </w:p>
    <w:tbl>
      <w:tblPr>
        <w:tblStyle w:val="TableNormal"/>
        <w:tblW w:w="10080" w:type="dxa"/>
        <w:tblLayout w:type="fixed"/>
        <w:tblLook w:val="04A0" w:firstRow="1" w:lastRow="0" w:firstColumn="1" w:lastColumn="0" w:noHBand="0" w:noVBand="1"/>
      </w:tblPr>
      <w:tblGrid>
        <w:gridCol w:w="1900"/>
        <w:gridCol w:w="6080"/>
        <w:gridCol w:w="2100"/>
      </w:tblGrid>
      <w:tr>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Status</w:t>
            </w:r>
          </w:p>
        </w:tc>
        <w:tc>
          <w:tcPr>
            <w:tcW w:w="608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Meaning</w:t>
            </w:r>
          </w:p>
        </w:tc>
        <w:tc>
          <w:tcPr>
            <w:tcW w:w="21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U.S. counties</w:t>
            </w:r>
          </w:p>
        </w:tc>
      </w:tr>
      <w:tr>
        <w:trPr>
          <w:cantSplit/>
        </w:trPr>
        <w:tc>
          <w:tcPr>
            <w:tcW w:w="1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Verified (Nicholas, this review)</w:t>
            </w:r>
          </w:p>
        </w:tc>
        <w:tc>
          <w:tcPr>
            <w:tcW w:w="60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At least one restriction checked against the instrument itself or the minutes that adopted it</w:t>
            </w:r>
          </w:p>
        </w:tc>
        <w:tc>
          <w:tcPr>
            <w:tcW w:w="21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72 (2.2%)</w:t>
            </w:r>
          </w:p>
        </w:tc>
      </w:tr>
      <w:tr>
        <w:trPr>
          <w:cantSplit/>
        </w:trPr>
        <w:tc>
          <w:tcPr>
            <w:tcW w:w="1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Recorded</w:t>
            </w:r>
          </w:p>
        </w:tc>
        <w:tc>
          <w:tcPr>
            <w:tcW w:w="60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Restrictions or contested projects on record from news, trackers or compiled databases, none yet read against the instrument</w:t>
            </w:r>
          </w:p>
        </w:tc>
        <w:tc>
          <w:tcPr>
            <w:tcW w:w="21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1,340 (41.6%)</w:t>
            </w:r>
          </w:p>
        </w:tc>
      </w:tr>
      <w:tr>
        <w:trPr>
          <w:cantSplit/>
        </w:trPr>
        <w:tc>
          <w:tcPr>
            <w:tcW w:w="1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Checked, none found</w:t>
            </w:r>
          </w:p>
        </w:tc>
        <w:tc>
          <w:tcPr>
            <w:tcW w:w="60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A reviewed search of the county's codes, minutes and news found no restriction (graded A to C by independence of sources)</w:t>
            </w:r>
          </w:p>
        </w:tc>
        <w:tc>
          <w:tcPr>
            <w:tcW w:w="21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 (0.1%)</w:t>
            </w:r>
          </w:p>
        </w:tc>
      </w:tr>
      <w:tr>
        <w:trPr>
          <w:cantSplit/>
        </w:trPr>
        <w:tc>
          <w:tcPr>
            <w:tcW w:w="1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Unexamined</w:t>
            </w:r>
          </w:p>
        </w:tc>
        <w:tc>
          <w:tcPr>
            <w:tcW w:w="60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No record and no documented check; absence of a record is not evidence of absence</w:t>
            </w:r>
          </w:p>
        </w:tc>
        <w:tc>
          <w:tcPr>
            <w:tcW w:w="21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1,808 (56.1%)</w:t>
            </w:r>
          </w:p>
        </w:tc>
      </w:tr>
    </w:tbl>
    <w:p>
      <w:pPr>
        <w:spacing w:after="40"/>
      </w:pPr>
    </w:p>
    <w:p>
      <w:pPr>
        <w:spacing w:after="200"/>
      </w:pPr>
      <w:r>
        <w:rPr>
          <w:b/>
        </w:rPr>
        <w:t>Outcome tiers:</w:t>
      </w:r>
      <w:r>
        <w:t xml:space="preserve"> Project results, recorded by what happened. Only terminal dispositions count as decided; a vote or filing that has not produced a final disposition stays pending.</w:t>
      </w:r>
    </w:p>
    <w:p>
      <w:pPr>
        <w:keepNext/>
        <w:spacing w:before="120" w:after="80"/>
      </w:pPr>
      <w:r>
        <w:rPr>
          <w:b/>
          <w:i/>
        </w:rPr>
        <w:t xml:space="preserve">Table 6 </w:t>
      </w:r>
      <w:r>
        <w:rPr>
          <w:i/>
        </w:rPr>
        <w:t>Outcome tiers</w:t>
      </w:r>
    </w:p>
    <w:tbl>
      <w:tblPr>
        <w:tblStyle w:val="TableNormal"/>
        <w:tblW w:w="10080" w:type="dxa"/>
        <w:tblLayout w:type="fixed"/>
        <w:tblLook w:val="04A0" w:firstRow="1" w:lastRow="0" w:firstColumn="1" w:lastColumn="0" w:noHBand="0" w:noVBand="1"/>
      </w:tblPr>
      <w:tblGrid>
        <w:gridCol w:w="2400"/>
        <w:gridCol w:w="4200"/>
        <w:gridCol w:w="3480"/>
      </w:tblGrid>
      <w:tr>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Outcome tier</w:t>
            </w:r>
          </w:p>
        </w:tc>
        <w:tc>
          <w:tcPr>
            <w:tcW w:w="42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Definition</w:t>
            </w:r>
          </w:p>
        </w:tc>
        <w:tc>
          <w:tcPr>
            <w:tcW w:w="348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Nicholas projects</w:t>
            </w:r>
          </w:p>
        </w:tc>
      </w:tr>
      <w:tr>
        <w:trPr>
          <w:cantSplit/>
        </w:trPr>
        <w:tc>
          <w:tcPr>
            <w:tcW w:w="2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advanced_confirmed</w:t>
            </w:r>
          </w:p>
        </w:tc>
        <w:tc>
          <w:tcPr>
            <w:tcW w:w="4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Terminal approval; the project may proceed</w:t>
            </w:r>
          </w:p>
        </w:tc>
        <w:tc>
          <w:tcPr>
            <w:tcW w:w="34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None</w:t>
            </w:r>
          </w:p>
        </w:tc>
      </w:tr>
      <w:tr>
        <w:trPr>
          <w:cantSplit/>
        </w:trPr>
        <w:tc>
          <w:tcPr>
            <w:tcW w:w="2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restricted_conditional</w:t>
            </w:r>
          </w:p>
        </w:tc>
        <w:tc>
          <w:tcPr>
            <w:tcW w:w="4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Terminal approval carrying binding conditions</w:t>
            </w:r>
          </w:p>
        </w:tc>
        <w:tc>
          <w:tcPr>
            <w:tcW w:w="34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None</w:t>
            </w:r>
          </w:p>
        </w:tc>
      </w:tr>
      <w:tr>
        <w:trPr>
          <w:cantSplit/>
        </w:trPr>
        <w:tc>
          <w:tcPr>
            <w:tcW w:w="2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blocked_confirmed</w:t>
            </w:r>
          </w:p>
        </w:tc>
        <w:tc>
          <w:tcPr>
            <w:tcW w:w="4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Terminal stop: denied or withdrawn</w:t>
            </w:r>
          </w:p>
        </w:tc>
        <w:tc>
          <w:tcPr>
            <w:tcW w:w="34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None</w:t>
            </w:r>
          </w:p>
        </w:tc>
      </w:tr>
      <w:tr>
        <w:trPr>
          <w:cantSplit/>
        </w:trPr>
        <w:tc>
          <w:tcPr>
            <w:tcW w:w="2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pending</w:t>
            </w:r>
          </w:p>
        </w:tc>
        <w:tc>
          <w:tcPr>
            <w:tcW w:w="4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No terminal disposition yet</w:t>
            </w:r>
          </w:p>
        </w:tc>
        <w:tc>
          <w:tcPr>
            <w:tcW w:w="34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South Fork Solar (Siting Board Case 2026-00256, pre-application)</w:t>
            </w:r>
          </w:p>
        </w:tc>
      </w:tr>
    </w:tbl>
    <w:p>
      <w:pPr>
        <w:spacing w:after="40"/>
      </w:pPr>
    </w:p>
    <w:p>
      <w:pPr>
        <w:spacing w:after="200"/>
      </w:pPr>
      <w:r>
        <w:rPr>
          <w:b/>
        </w:rPr>
        <w:t>Trust tiers:</w:t>
      </w:r>
      <w:r>
        <w:t xml:space="preserve"> Model traits are tiered by exposure to detection bias. Tier 1 (operating wind capacity and interconnection requests, from federal and grid-operator records) carries the least. Tier 2 (neighbors' restrictions) inherits whatever the restriction record misses. Tier 3 (population and income) also tracks news coverage and is read with more caution (Table 3).</w:t>
      </w:r>
    </w:p>
    <w:p>
      <w:pPr>
        <w:pStyle w:val="Heading2"/>
        <w:spacing w:before="240" w:after="80"/>
      </w:pPr>
      <w:r>
        <w:t>Why developers are looking at Nicholas</w:t>
      </w:r>
    </w:p>
    <w:p>
      <w:pPr>
        <w:spacing w:after="200"/>
      </w:pPr>
      <w:r>
        <w:rPr>
          <w:b/>
        </w:rPr>
        <w:t>Power access:</w:t>
      </w:r>
      <w:r>
        <w:t xml:space="preserve"> South Fork's queue position is at EKPC's Millersburg 69 kV point of interconnection, and the distributed project connects at Headquarters 12 kV. EKPC, the generation and transmission cooperative serving most of rural eastern Kentucky, is planning for growth: its filings with the Public Service Commission reference studies for a </w:t>
      </w:r>
      <w:hyperlink r:id="rId14" w:history="1">
        <w:r>
          <w:rPr>
            <w:rStyle w:val="Hyperlink"/>
          </w:rPr>
          <w:t xml:space="preserve">2,200 MW load in the Maysville area</w:t>
        </w:r>
      </w:hyperlink>
      <w:r>
        <w:t xml:space="preserve">, where Mason County </w:t>
      </w:r>
      <w:hyperlink r:id="rId15" w:history="1">
        <w:r>
          <w:rPr>
            <w:rStyle w:val="Hyperlink"/>
          </w:rPr>
          <w:t xml:space="preserve">rezoned 2,080 acres</w:t>
        </w:r>
      </w:hyperlink>
      <w:r>
        <w:t xml:space="preserve"> for a data-center campus in May 2026. Heelstone, South Fork's developer, said in April 2026 that construction had begun on two projects in Georgia and Michigan contracted to </w:t>
      </w:r>
      <w:hyperlink r:id="rId16" w:history="1">
        <w:r>
          <w:rPr>
            <w:rStyle w:val="Hyperlink"/>
          </w:rPr>
          <w:t xml:space="preserve">a hyperscale data-center customer</w:t>
        </w:r>
      </w:hyperlink>
      <w:r>
        <w:t>.</w:t>
      </w:r>
    </w:p>
    <w:p>
      <w:pPr>
        <w:spacing w:after="200"/>
      </w:pPr>
      <w:r>
        <w:rPr>
          <w:b/>
        </w:rPr>
        <w:t>Land use</w:t>
      </w:r>
      <w:r>
        <w:t xml:space="preserve"> is where the friction is. Nicholas is cattle, hay and tobacco country, and its farmland is shrinking: the county lost 16 percent of its farms and 17 percent of its farmland between 2017 and 2022. In neighboring Fleming County the state Siting Board has conditionally approved three solar projects totaling about 468 MW, and Harrison County hosts the operating 100 MW Bluebird Solar, where the fiscal court in 2024 </w:t>
      </w:r>
      <w:hyperlink r:id="rId17" w:history="1">
        <w:r>
          <w:rPr>
            <w:rStyle w:val="Hyperlink"/>
          </w:rPr>
          <w:t xml:space="preserve">objected</w:t>
        </w:r>
      </w:hyperlink>
      <w:r>
        <w:t xml:space="preserve"> to an ownership transfer, citing unpaid taxes and road damage.</w:t>
      </w:r>
    </w:p>
    <w:p>
      <w:pPr>
        <w:pStyle w:val="Heading2"/>
        <w:spacing w:before="240" w:after="80"/>
      </w:pPr>
      <w:r>
        <w:t>Restriction timeline</w:t>
      </w:r>
    </w:p>
    <w:p>
      <w:pPr>
        <w:pStyle w:val="ListParagraph"/>
        <w:numPr>
          <w:ilvl w:val="0"/>
          <w:numId w:val="9"/>
        </w:numPr>
        <w:spacing w:after="80"/>
      </w:pPr>
      <w:r>
        <w:t>May 10, 2024: Fiscal court passes the solar ordinance on first reading, 6-0.</w:t>
      </w:r>
    </w:p>
    <w:p>
      <w:pPr>
        <w:pStyle w:val="ListParagraph"/>
        <w:numPr>
          <w:ilvl w:val="0"/>
          <w:numId w:val="9"/>
        </w:numPr>
        <w:spacing w:after="80"/>
      </w:pPr>
      <w:r>
        <w:t xml:space="preserve">June 14, 2024: Fiscal court </w:t>
      </w:r>
      <w:hyperlink r:id="rId12" w:history="1">
        <w:r>
          <w:rPr>
            <w:rStyle w:val="Hyperlink"/>
          </w:rPr>
          <w:t xml:space="preserve">adopts</w:t>
        </w:r>
      </w:hyperlink>
      <w:r>
        <w:t xml:space="preserve"> Ordinance No. 06/2024-Solar on second reading, 6-0: county license, 2,000-foot setback from non-participating property lines and public roads, screening and decommissioning surety.</w:t>
      </w:r>
    </w:p>
    <w:p>
      <w:pPr>
        <w:pStyle w:val="ListParagraph"/>
        <w:numPr>
          <w:ilvl w:val="0"/>
          <w:numId w:val="9"/>
        </w:numPr>
        <w:spacing w:after="80"/>
      </w:pPr>
      <w:r>
        <w:t xml:space="preserve">December 12, 2025: The county attorney </w:t>
      </w:r>
      <w:hyperlink r:id="rId18" w:history="1">
        <w:r>
          <w:rPr>
            <w:rStyle w:val="Hyperlink"/>
          </w:rPr>
          <w:t xml:space="preserve">tells</w:t>
        </w:r>
      </w:hyperlink>
      <w:r>
        <w:t xml:space="preserve"> the court that a wind company is looking to acquire 6,000 acres in the county.</w:t>
      </w:r>
    </w:p>
    <w:p>
      <w:pPr>
        <w:pStyle w:val="ListParagraph"/>
        <w:numPr>
          <w:ilvl w:val="0"/>
          <w:numId w:val="9"/>
        </w:numPr>
        <w:spacing w:after="80"/>
      </w:pPr>
      <w:r>
        <w:t xml:space="preserve">June 9, 2026: Fiscal court </w:t>
      </w:r>
      <w:hyperlink r:id="rId19" w:history="1">
        <w:r>
          <w:rPr>
            <w:rStyle w:val="Hyperlink"/>
          </w:rPr>
          <w:t xml:space="preserve">workshop</w:t>
        </w:r>
      </w:hyperlink>
      <w:r>
        <w:t xml:space="preserve"> on Heelstone's request for a text amendment that would let South Fork Solar proceed; no vote.</w:t>
      </w:r>
    </w:p>
    <w:p>
      <w:pPr>
        <w:pStyle w:val="ListParagraph"/>
        <w:numPr>
          <w:ilvl w:val="0"/>
          <w:numId w:val="9"/>
        </w:numPr>
        <w:spacing w:after="80"/>
      </w:pPr>
      <w:r>
        <w:t xml:space="preserve">July 10, 2026: The court </w:t>
      </w:r>
      <w:hyperlink r:id="rId20" w:history="1">
        <w:r>
          <w:rPr>
            <w:rStyle w:val="Hyperlink"/>
          </w:rPr>
          <w:t xml:space="preserve">votes unanimously</w:t>
        </w:r>
      </w:hyperlink>
      <w:r>
        <w:t xml:space="preserve"> to keep the ordinance and reject the amendment, and passes first readings of one-year wind and data-center moratoria.</w:t>
      </w:r>
    </w:p>
    <w:p>
      <w:pPr>
        <w:pStyle w:val="ListParagraph"/>
        <w:numPr>
          <w:ilvl w:val="0"/>
          <w:numId w:val="9"/>
        </w:numPr>
        <w:spacing w:after="80"/>
      </w:pPr>
      <w:r>
        <w:t xml:space="preserve">August 14, 2026: The court adopts the wind moratorium (Ordinance No. 26-August-02) and the data-center moratorium on second reading, effective immediately; both are </w:t>
      </w:r>
      <w:hyperlink r:id="rId13" w:history="1">
        <w:r>
          <w:rPr>
            <w:rStyle w:val="Hyperlink"/>
          </w:rPr>
          <w:t xml:space="preserve">printed</w:t>
        </w:r>
      </w:hyperlink>
      <w:r>
        <w:t xml:space="preserve"> August 26.</w:t>
      </w:r>
    </w:p>
    <w:p>
      <w:pPr>
        <w:pStyle w:val="ListParagraph"/>
        <w:numPr>
          <w:ilvl w:val="0"/>
          <w:numId w:val="9"/>
        </w:numPr>
        <w:spacing w:after="80"/>
      </w:pPr>
      <w:r>
        <w:t>September 4, 2026: South Fork Solar e-mails its notice of intent to the Siting Board.</w:t>
      </w:r>
    </w:p>
    <w:p>
      <w:pPr>
        <w:pStyle w:val="ListParagraph"/>
        <w:numPr>
          <w:ilvl w:val="0"/>
          <w:numId w:val="9"/>
        </w:numPr>
        <w:spacing w:after="80"/>
      </w:pPr>
      <w:r>
        <w:t xml:space="preserve">September 11, 2026: First reading of a one-year solar moratorium </w:t>
      </w:r>
      <w:hyperlink r:id="rId21" w:history="1">
        <w:r>
          <w:rPr>
            <w:rStyle w:val="Hyperlink"/>
          </w:rPr>
          <w:t xml:space="preserve">passes 4-2</w:t>
        </w:r>
      </w:hyperlink>
      <w:r>
        <w:t>, Magistrates Hughes and Matthews voting no.</w:t>
      </w:r>
    </w:p>
    <w:p>
      <w:pPr>
        <w:pStyle w:val="ListParagraph"/>
        <w:numPr>
          <w:ilvl w:val="0"/>
          <w:numId w:val="9"/>
        </w:numPr>
        <w:spacing w:after="80"/>
      </w:pPr>
      <w:r>
        <w:t xml:space="preserve">September 18, 2026: Fiscal court </w:t>
      </w:r>
      <w:hyperlink r:id="rId12" w:history="1">
        <w:r>
          <w:rPr>
            <w:rStyle w:val="Hyperlink"/>
          </w:rPr>
          <w:t xml:space="preserve">adopts</w:t>
        </w:r>
      </w:hyperlink>
      <w:r>
        <w:t xml:space="preserve"> Ordinance No. September-2026-18-01, the moratorium, effective immediately, </w:t>
      </w:r>
      <w:hyperlink r:id="rId22" w:history="1">
        <w:r>
          <w:rPr>
            <w:rStyle w:val="Hyperlink"/>
          </w:rPr>
          <w:t xml:space="preserve">5-1</w:t>
        </w:r>
      </w:hyperlink>
      <w:r>
        <w:t xml:space="preserve"> at a special-called meeting, Hughes voting no.</w:t>
      </w:r>
    </w:p>
    <w:p>
      <w:pPr>
        <w:pStyle w:val="ListParagraph"/>
        <w:numPr>
          <w:ilvl w:val="0"/>
          <w:numId w:val="9"/>
        </w:numPr>
        <w:spacing w:after="80"/>
      </w:pPr>
      <w:r>
        <w:t xml:space="preserve">September 25, 2026: South Fork </w:t>
      </w:r>
      <w:hyperlink r:id="rId23" w:history="1">
        <w:r>
          <w:rPr>
            <w:rStyle w:val="Hyperlink"/>
          </w:rPr>
          <w:t xml:space="preserve">refiles</w:t>
        </w:r>
      </w:hyperlink>
      <w:r>
        <w:t xml:space="preserve"> its notice through the portal, arguing the county ordinance does not apply.</w:t>
      </w:r>
    </w:p>
    <w:p>
      <w:pPr>
        <w:pStyle w:val="ListParagraph"/>
        <w:numPr>
          <w:ilvl w:val="0"/>
          <w:numId w:val="9"/>
        </w:numPr>
        <w:spacing w:after="80"/>
      </w:pPr>
      <w:r>
        <w:t xml:space="preserve">October 2, 2026: Siting Board </w:t>
      </w:r>
      <w:hyperlink r:id="rId24" w:history="1">
        <w:r>
          <w:rPr>
            <w:rStyle w:val="Hyperlink"/>
          </w:rPr>
          <w:t xml:space="preserve">denies</w:t>
        </w:r>
      </w:hyperlink>
      <w:r>
        <w:t xml:space="preserve"> South Fork's request to backdate its notice or file early.</w:t>
      </w:r>
    </w:p>
    <w:p>
      <w:pPr>
        <w:pStyle w:val="ListParagraph"/>
        <w:numPr>
          <w:ilvl w:val="0"/>
          <w:numId w:val="9"/>
        </w:numPr>
        <w:spacing w:after="80"/>
      </w:pPr>
      <w:r>
        <w:t>October 9, 2026: County attorney's memo presents both ordinances to the Siting Board as "existing valid" law (e-mailed October 12).</w:t>
      </w:r>
    </w:p>
    <w:p>
      <w:pPr>
        <w:pStyle w:val="ListParagraph"/>
        <w:numPr>
          <w:ilvl w:val="0"/>
          <w:numId w:val="9"/>
        </w:numPr>
        <w:spacing w:after="80"/>
      </w:pPr>
      <w:r>
        <w:t xml:space="preserve">October 13, 2026: Siting Board chair </w:t>
      </w:r>
      <w:hyperlink r:id="rId25" w:history="1">
        <w:r>
          <w:rPr>
            <w:rStyle w:val="Hyperlink"/>
          </w:rPr>
          <w:t xml:space="preserve">asks</w:t>
        </w:r>
      </w:hyperlink>
      <w:r>
        <w:t xml:space="preserve"> Gov. Beshear to appoint the ad hoc members for the case.</w:t>
      </w:r>
    </w:p>
    <w:p>
      <w:pPr>
        <w:spacing w:after="200"/>
      </w:pPr>
      <w:r>
        <w:rPr>
          <w:b/>
        </w:rPr>
        <w:t>The legal question:</w:t>
      </w:r>
      <w:r>
        <w:t xml:space="preserve"> In </w:t>
      </w:r>
      <w:r>
        <w:rPr>
          <w:i/>
        </w:rPr>
        <w:t>Clover Creek Solar Project v. Breckinridge County Fiscal Court</w:t>
      </w:r>
      <w:r>
        <w:t xml:space="preserve"> (May 29, 2026), the Kentucky Court of Appeals </w:t>
      </w:r>
      <w:hyperlink r:id="rId26" w:history="1">
        <w:r>
          <w:rPr>
            <w:rStyle w:val="Hyperlink"/>
          </w:rPr>
          <w:t xml:space="preserve">overturned</w:t>
        </w:r>
      </w:hyperlink>
      <w:r>
        <w:t xml:space="preserve"> a solar ordinance adopted by a fiscal court in a county without planning and zoning. Breckinridge's fiscal court voted 4-3 to seek Supreme Court review, and the petition (No. 2026-SC-0263) was filed June 25. At a July 8, 2026 legislative hearing, an attorney not involved in the case told lawmakers that 33 counties have adopted solar ordinances and 15 of them, like Nicholas, have no planning and zoning, the Kentucky Association of Counties </w:t>
      </w:r>
      <w:hyperlink r:id="rId27" w:history="1">
        <w:r>
          <w:rPr>
            <w:rStyle w:val="Hyperlink"/>
          </w:rPr>
          <w:t xml:space="preserve">reported</w:t>
        </w:r>
      </w:hyperlink>
      <w:r>
        <w:t>. No court has ruled on Nicholas's ordinance.</w:t>
      </w:r>
    </w:p>
    <w:p>
      <w:pPr>
        <w:pStyle w:val="Heading2"/>
        <w:spacing w:before="240" w:after="80"/>
      </w:pPr>
      <w:r>
        <w:t>Project outcomes</w:t>
      </w:r>
    </w:p>
    <w:p>
      <w:pPr>
        <w:pStyle w:val="ListParagraph"/>
        <w:numPr>
          <w:ilvl w:val="0"/>
          <w:numId w:val="16"/>
        </w:numPr>
        <w:spacing w:after="80"/>
      </w:pPr>
      <w:r>
        <w:rPr>
          <w:b/>
        </w:rPr>
        <w:t>South Fork Solar</w:t>
      </w:r>
      <w:r>
        <w:t xml:space="preserve"> (South Fork Solar, LLC; Heelstone Renewable Energy, owned by Qualitas Energy): PJM queue positions AH1-570 (25 MW, entered September 10, 2021) and AH1-571 (20 MW), both active at Millersburg 69 kV and together equal to the 45 MW in the state filing. Siting Board Case </w:t>
      </w:r>
      <w:hyperlink r:id="rId28" w:history="1">
        <w:r>
          <w:rPr>
            <w:rStyle w:val="Hyperlink"/>
          </w:rPr>
          <w:t xml:space="preserve">2026-00256</w:t>
        </w:r>
      </w:hyperlink>
      <w:r>
        <w:t xml:space="preserve"> is open with no application filed as of October 16, 2026. In July 2026 the fiscal court unanimously rejected Heelstone's request to amend the county ordinance for the project. Counsel is Sturgill, Turner, Barker &amp; Moloney of Lexington. Adjoining landowners were notified by certified mail in September.</w:t>
      </w:r>
    </w:p>
    <w:p>
      <w:pPr>
        <w:pStyle w:val="ListParagraph"/>
        <w:numPr>
          <w:ilvl w:val="0"/>
          <w:numId w:val="16"/>
        </w:numPr>
        <w:spacing w:after="80"/>
      </w:pPr>
      <w:r>
        <w:rPr>
          <w:b/>
        </w:rPr>
        <w:t>Headquarters 12 kV</w:t>
      </w:r>
      <w:r>
        <w:t xml:space="preserve"> (EDPR NA Distributed Generation): 3.5 MW distributed solar, PJM queue </w:t>
      </w:r>
      <w:hyperlink r:id="rId29" w:history="1">
        <w:r>
          <w:rPr>
            <w:rStyle w:val="Hyperlink"/>
          </w:rPr>
          <w:t xml:space="preserve">C01-1061</w:t>
        </w:r>
      </w:hyperlink>
      <w:r>
        <w:t>, entered April 22, 2026, proposed operation August 2027; subject to the county license and moratorium.</w:t>
      </w:r>
    </w:p>
    <w:p>
      <w:pPr>
        <w:pStyle w:val="Heading2"/>
        <w:spacing w:before="240" w:after="80"/>
      </w:pPr>
      <w:r>
        <w:t>Opposition</w:t>
      </w:r>
    </w:p>
    <w:p>
      <w:pPr>
        <w:spacing w:after="200"/>
      </w:pPr>
      <w:r>
        <w:t>Organized groups on record: none found. The fiscal court is the opposition of record. Its 2024 ordinance passed 6-0, moved by Magistrates Matt Hughes and Kenny Holbrook and seconded by Holbrook and Ross Haney, all Democrats, with the votes of the court's two Republican magistrates. The court rejected Heelstone's amendment unanimously in July 2026. Hughes, who moved the 2024 ordinance, voted against the solar moratorium on both readings, and Matthews against its first reading. County Attorney Dawn Curran Letcher, who also serves as fiscal court clerk, filed both solar ordinances in the Siting Board case. No resident had filed a public comment in the case as of October 16; the one resident who addressed the court before the moratorium vote, a landowner leasing to Heelstone, spoke for the project.</w:t>
      </w:r>
    </w:p>
    <w:p>
      <w:pPr>
        <w:pStyle w:val="Heading2"/>
        <w:spacing w:before="240" w:after="80"/>
      </w:pPr>
      <w:r>
        <w:t>Local Context</w:t>
      </w:r>
    </w:p>
    <w:p>
      <w:pPr>
        <w:spacing w:after="200"/>
      </w:pPr>
      <w:r>
        <w:t xml:space="preserve">Judge-Executive Steve Hamilton (D) beat Jeff Randolph (R) by </w:t>
      </w:r>
      <w:hyperlink r:id="rId30" w:history="1">
        <w:r>
          <w:rPr>
            <w:rStyle w:val="Hyperlink"/>
          </w:rPr>
          <w:t xml:space="preserve">1,369 votes to 1,174</w:t>
        </w:r>
      </w:hyperlink>
      <w:r>
        <w:t xml:space="preserve"> in 2022, and the two meet again on November 3, 2026. Four of the five magistrate seats are contested: Rodney "Robbie" Matthews (R, incumbent) against Mike Webb (D) in District 1, Matt Hughes (D, incumbent) against Andrew Fugitt (R) in District 2, Kenny Holbrook (D, incumbent) against Christina C. Humphries (R) in District 3, and Ross Haney (D, incumbent) against Holly C. Becker (R) in District 5. Tommy Crawford (R, incumbent) is unopposed in District 4, according to the </w:t>
      </w:r>
      <w:hyperlink r:id="rId31" w:history="1">
        <w:r>
          <w:rPr>
            <w:rStyle w:val="Hyperlink"/>
          </w:rPr>
          <w:t xml:space="preserve">Secretary of State's filings</w:t>
        </w:r>
      </w:hyperlink>
      <w:r>
        <w:t>. One challenger has campaigned against solar: Becker told the Carlisle Mercury in March that she "will not under any circumstances allow a data center, wind turbines, or solar farms to violate the landscape of our beautiful county," and said much the same in September. We found no other candidate statement on solar. The 2024 ordinance passed with votes from both parties.</w:t>
      </w:r>
    </w:p>
    <w:p>
      <w:pPr>
        <w:spacing w:after="200"/>
      </w:pPr>
      <w:r>
        <w:t>Nicholas is represented by Rep. Matthew Koch (R, House District 72) and Sen. Stephen West (R-Paris, Senate District 27), whose district also includes Bourbon, Fleming, Harrison and Mason counties.</w:t>
      </w:r>
    </w:p>
    <w:p>
      <w:pPr>
        <w:pStyle w:val="Heading2"/>
        <w:spacing w:before="240" w:after="80"/>
      </w:pPr>
      <w:r>
        <w:t>State Context</w:t>
      </w:r>
    </w:p>
    <w:p>
      <w:pPr>
        <w:spacing w:after="200"/>
      </w:pPr>
      <w:r>
        <w:t xml:space="preserve">Kentucky tightened renewable siting in 2026. HB 677, which </w:t>
      </w:r>
      <w:hyperlink r:id="rId32" w:history="1">
        <w:r>
          <w:rPr>
            <w:rStyle w:val="Hyperlink"/>
          </w:rPr>
          <w:t xml:space="preserve">became law</w:t>
        </w:r>
      </w:hyperlink>
      <w:r>
        <w:t xml:space="preserve"> without the governor's signature on April 14 and took effect July 15, caps merchant wind turbines at a 350-foot hub height, requires lighting and shadow-flicker certifications, and bars netting salvage value against decommissioning bonds. HB 869 (2026) </w:t>
      </w:r>
      <w:hyperlink r:id="rId33" w:history="1">
        <w:r>
          <w:rPr>
            <w:rStyle w:val="Hyperlink"/>
          </w:rPr>
          <w:t xml:space="preserve">removed storage</w:t>
        </w:r>
      </w:hyperlink>
      <w:r>
        <w:t xml:space="preserve"> from the state setback statute while leaving it elsewhere in the siting law, which leaves battery-storage jurisdiction unsettled. The state setback for any merchant plant of 10 MW or more remains 2,000 feet from residential neighborhoods, schools, hospitals and nursing homes, with local planning and zoning setbacks taking precedence where they exist. KRS 278.718 also gives primacy to local ordinances adopted under home rule, the provision Nicholas relies on.</w:t>
      </w:r>
    </w:p>
    <w:p>
      <w:pPr>
        <w:spacing w:after="200"/>
      </w:pPr>
      <w:r>
        <w:t xml:space="preserve">HB 593 (2026), a ratepayer-protection bill for data centers, passed the House 90-8 and </w:t>
      </w:r>
      <w:hyperlink r:id="rId34" w:history="1">
        <w:r>
          <w:rPr>
            <w:rStyle w:val="Hyperlink"/>
          </w:rPr>
          <w:t xml:space="preserve">died in the Senate</w:t>
        </w:r>
      </w:hyperlink>
      <w:r>
        <w:t xml:space="preserve">. Counties have adopted data-center moratoria: Harrison County </w:t>
      </w:r>
      <w:hyperlink r:id="rId35" w:history="1">
        <w:r>
          <w:rPr>
            <w:rStyle w:val="Hyperlink"/>
          </w:rPr>
          <w:t xml:space="preserve">adopted</w:t>
        </w:r>
      </w:hyperlink>
      <w:r>
        <w:t xml:space="preserve"> a two-year data-center moratorium unanimously on August 11, 2026, after a </w:t>
      </w:r>
      <w:hyperlink r:id="rId36" w:history="1">
        <w:r>
          <w:rPr>
            <w:rStyle w:val="Hyperlink"/>
          </w:rPr>
          <w:t xml:space="preserve">standing-room-only forum</w:t>
        </w:r>
      </w:hyperlink>
      <w:r>
        <w:t xml:space="preserve">, and Nelson County adopted a one-year moratorium, </w:t>
      </w:r>
      <w:hyperlink r:id="rId37" w:history="1">
        <w:r>
          <w:rPr>
            <w:rStyle w:val="Hyperlink"/>
          </w:rPr>
          <w:t xml:space="preserve">Spectrum News reported</w:t>
        </w:r>
      </w:hyperlink>
      <w:r>
        <w:t>.</w:t>
      </w:r>
    </w:p>
    <w:p>
      <w:pPr>
        <w:pStyle w:val="Heading2"/>
        <w:spacing w:before="240" w:after="80"/>
      </w:pPr>
      <w:r>
        <w:t>Sources</w:t>
      </w:r>
    </w:p>
    <w:p>
      <w:pPr>
        <w:spacing w:after="40"/>
      </w:pPr>
      <w:r>
        <w:rPr>
          <w:sz w:val="16"/>
        </w:rPr>
        <w:t xml:space="preserve">S1. Kentucky PSC, Case 2026-00256 (South Fork Solar, LLC), case filings. </w:t>
      </w:r>
      <w:hyperlink r:id="rId28" w:history="1">
        <w:r>
          <w:rPr>
            <w:rStyle w:val="Hyperlink"/>
            <w:sz w:val="16"/>
            <w:szCs w:val="16"/>
          </w:rPr>
          <w:t xml:space="preserve">https://psc.ky.gov/Case/ViewCaseFilings/2026-00256</w:t>
        </w:r>
      </w:hyperlink>
    </w:p>
    <w:p>
      <w:pPr>
        <w:spacing w:after="40"/>
      </w:pPr>
      <w:r>
        <w:rPr>
          <w:sz w:val="16"/>
        </w:rPr>
        <w:t xml:space="preserve">S2. South Fork Solar, LLC, Notice of Intent, Sept. 25, 2026. </w:t>
      </w:r>
      <w:hyperlink r:id="rId23" w:history="1">
        <w:r>
          <w:rPr>
            <w:rStyle w:val="Hyperlink"/>
            <w:sz w:val="16"/>
            <w:szCs w:val="16"/>
          </w:rPr>
          <w:t xml:space="preserve">https://psc.ky.gov/pscecf/2026-00256/jpinney%40sturgillturner.com/09252026035355/2026-00256_South_Fork_Solar_NOI.pdf</w:t>
        </w:r>
      </w:hyperlink>
    </w:p>
    <w:p>
      <w:pPr>
        <w:spacing w:after="40"/>
      </w:pPr>
      <w:r>
        <w:rPr>
          <w:sz w:val="16"/>
        </w:rPr>
        <w:t xml:space="preserve">S3. South Fork Solar, LLC, Motion for deviation, Sept. 25, 2026. </w:t>
      </w:r>
      <w:hyperlink r:id="rId38" w:history="1">
        <w:r>
          <w:rPr>
            <w:rStyle w:val="Hyperlink"/>
            <w:sz w:val="16"/>
            <w:szCs w:val="16"/>
          </w:rPr>
          <w:t xml:space="preserve">https://psc.ky.gov/pscecf/2026-00256/jpinney%40sturgillturner.com/09252026035355/2026-00256_Motion_for_deviation_.pdf</w:t>
        </w:r>
      </w:hyperlink>
    </w:p>
    <w:p>
      <w:pPr>
        <w:spacing w:after="40"/>
      </w:pPr>
      <w:r>
        <w:rPr>
          <w:sz w:val="16"/>
        </w:rPr>
        <w:t xml:space="preserve">S4. Kentucky Siting Board, Order, Case 2026-00256, Oct. 2, 2026. </w:t>
      </w:r>
      <w:hyperlink r:id="rId24" w:history="1">
        <w:r>
          <w:rPr>
            <w:rStyle w:val="Hyperlink"/>
            <w:sz w:val="16"/>
            <w:szCs w:val="16"/>
          </w:rPr>
          <w:t xml:space="preserve">https://psc.ky.gov/pscscf/2026%20Cases/2026-00256//20261002_PSC_ORDER.pdf</w:t>
        </w:r>
      </w:hyperlink>
    </w:p>
    <w:p>
      <w:pPr>
        <w:spacing w:after="40"/>
      </w:pPr>
      <w:r>
        <w:rPr>
          <w:sz w:val="16"/>
        </w:rPr>
        <w:t xml:space="preserve">S5. Nicholas County Attorney, memo and Ordinances 06/2024-Solar and September-2026-18-01, filed Oct. 12, 2026. </w:t>
      </w:r>
      <w:hyperlink r:id="rId12" w:history="1">
        <w:r>
          <w:rPr>
            <w:rStyle w:val="Hyperlink"/>
            <w:sz w:val="16"/>
            <w:szCs w:val="16"/>
          </w:rPr>
          <w:t xml:space="preserve">https://psc.ky.gov/pscscf/2026%20cases/2026-00256/Public%20Comments//20261012_PSC%20Response%20E-Mail%20to%20Nicholas%20County%20Attorney.pdf</w:t>
        </w:r>
      </w:hyperlink>
    </w:p>
    <w:p>
      <w:pPr>
        <w:spacing w:after="40"/>
      </w:pPr>
      <w:r>
        <w:rPr>
          <w:sz w:val="16"/>
        </w:rPr>
        <w:t xml:space="preserve">S6. Kentucky State Board on Electric Generation and Transmission Siting, letter from Chair Angie Hatton to Gov. Beshear requesting ad hoc appointments, Oct. 13, 2026 (filed Oct. 15). </w:t>
      </w:r>
      <w:hyperlink r:id="rId25" w:history="1">
        <w:r>
          <w:rPr>
            <w:rStyle w:val="Hyperlink"/>
            <w:sz w:val="16"/>
            <w:szCs w:val="16"/>
          </w:rPr>
          <w:t xml:space="preserve">https://psc.ky.gov/pscscf/2026%20cases/2026-00256//20261015_Notice%20of%20Filing%20Letter%20to%20Governor%20Beshear%20Requesting%20Ad%20Hoc%20Appointment%20into%20the%20Record.pdf</w:t>
        </w:r>
      </w:hyperlink>
    </w:p>
    <w:p>
      <w:pPr>
        <w:spacing w:after="40"/>
      </w:pPr>
      <w:r>
        <w:rPr>
          <w:sz w:val="16"/>
        </w:rPr>
        <w:t xml:space="preserve">S7. interconnection.fyi, PJM AH1-570, Millersburg 69 kV. </w:t>
      </w:r>
      <w:hyperlink r:id="rId39" w:history="1">
        <w:r>
          <w:rPr>
            <w:rStyle w:val="Hyperlink"/>
            <w:sz w:val="16"/>
            <w:szCs w:val="16"/>
          </w:rPr>
          <w:t xml:space="preserve">https://www.interconnection.fyi/project/pjm-ah1-570</w:t>
        </w:r>
      </w:hyperlink>
    </w:p>
    <w:p>
      <w:pPr>
        <w:spacing w:after="40"/>
      </w:pPr>
      <w:r>
        <w:rPr>
          <w:sz w:val="16"/>
        </w:rPr>
        <w:t xml:space="preserve">S8. interconnection.fyi, PJM C01-1061, Headquarters 12 kV. </w:t>
      </w:r>
      <w:hyperlink r:id="rId29" w:history="1">
        <w:r>
          <w:rPr>
            <w:rStyle w:val="Hyperlink"/>
            <w:sz w:val="16"/>
            <w:szCs w:val="16"/>
          </w:rPr>
          <w:t xml:space="preserve">https://www.interconnection.fyi/project/pjm-c01-1061</w:t>
        </w:r>
      </w:hyperlink>
    </w:p>
    <w:p>
      <w:pPr>
        <w:spacing w:after="40"/>
      </w:pPr>
      <w:r>
        <w:rPr>
          <w:sz w:val="16"/>
        </w:rPr>
        <w:t xml:space="preserve">S9. pv magazine, Qualitas Energy acquires Heelstone from Ares Management, Jan. 31, 2024. </w:t>
      </w:r>
      <w:hyperlink r:id="rId40" w:history="1">
        <w:r>
          <w:rPr>
            <w:rStyle w:val="Hyperlink"/>
            <w:sz w:val="16"/>
            <w:szCs w:val="16"/>
          </w:rPr>
          <w:t xml:space="preserve">https://pv-magazine.com/press-releases/qualitas-energy-acquires-heelstone-a-us-renewable-energy-company-from-ares-management</w:t>
        </w:r>
      </w:hyperlink>
    </w:p>
    <w:p>
      <w:pPr>
        <w:spacing w:after="40"/>
      </w:pPr>
      <w:r>
        <w:rPr>
          <w:sz w:val="16"/>
        </w:rPr>
        <w:t xml:space="preserve">S10. SolarQuarter, Heelstone starts building two U.S. solar projects for hyperscale data center client, Apr. 8, 2026. </w:t>
      </w:r>
      <w:hyperlink r:id="rId16" w:history="1">
        <w:r>
          <w:rPr>
            <w:rStyle w:val="Hyperlink"/>
            <w:sz w:val="16"/>
            <w:szCs w:val="16"/>
          </w:rPr>
          <w:t xml:space="preserve">https://solarquarter.com/2026/04/08/heelstone-renewable-energy-part-of-qualitas-energy-secures-funding-and-starts-building-two-u-s-solar-pv-projects-for-hyperscale-data-center-client/</w:t>
        </w:r>
      </w:hyperlink>
    </w:p>
    <w:p>
      <w:pPr>
        <w:spacing w:after="40"/>
      </w:pPr>
      <w:r>
        <w:rPr>
          <w:sz w:val="16"/>
        </w:rPr>
        <w:t xml:space="preserve">S11. Breckinridge Herald-News, Court of Appeals overturns county solar ordinance, June 17, 2026. </w:t>
      </w:r>
      <w:hyperlink r:id="rId26" w:history="1">
        <w:r>
          <w:rPr>
            <w:rStyle w:val="Hyperlink"/>
            <w:sz w:val="16"/>
            <w:szCs w:val="16"/>
          </w:rPr>
          <w:t xml:space="preserve">https://www.messenger-inquirer.com/breck_herald/news/court-of-appeals-overturns-county-solar-ordinance/article_2d11a8f4-cb2b-5f06-b69d-0018365e6284.html</w:t>
        </w:r>
      </w:hyperlink>
    </w:p>
    <w:p>
      <w:pPr>
        <w:spacing w:after="40"/>
      </w:pPr>
      <w:r>
        <w:rPr>
          <w:sz w:val="16"/>
        </w:rPr>
        <w:t xml:space="preserve">S12. Kentucky Association of Counties, Lawmakers review local authority for solar projects, July 10, 2026. </w:t>
      </w:r>
      <w:hyperlink r:id="rId27" w:history="1">
        <w:r>
          <w:rPr>
            <w:rStyle w:val="Hyperlink"/>
            <w:sz w:val="16"/>
            <w:szCs w:val="16"/>
          </w:rPr>
          <w:t xml:space="preserve">https://kaco.org/articles/lawmakers-review-local-authority-for-solar-projects-coroner-compensation/</w:t>
        </w:r>
      </w:hyperlink>
    </w:p>
    <w:p>
      <w:pPr>
        <w:spacing w:after="40"/>
      </w:pPr>
      <w:r>
        <w:rPr>
          <w:sz w:val="16"/>
        </w:rPr>
        <w:t xml:space="preserve">S13. Kentucky General Assembly, HB 677 (2026 RS). </w:t>
      </w:r>
      <w:hyperlink r:id="rId32" w:history="1">
        <w:r>
          <w:rPr>
            <w:rStyle w:val="Hyperlink"/>
            <w:sz w:val="16"/>
            <w:szCs w:val="16"/>
          </w:rPr>
          <w:t xml:space="preserve">https://apps.legislature.ky.gov/record/26rs/hb677.html</w:t>
        </w:r>
      </w:hyperlink>
    </w:p>
    <w:p>
      <w:pPr>
        <w:spacing w:after="40"/>
      </w:pPr>
      <w:r>
        <w:rPr>
          <w:sz w:val="16"/>
        </w:rPr>
        <w:t xml:space="preserve">S14. FBT Gibbons, Another year, another round of changes to renewable energy siting and battery storage (BESS) regulation in Kentucky, May 15, 2026. </w:t>
      </w:r>
      <w:hyperlink r:id="rId33" w:history="1">
        <w:r>
          <w:rPr>
            <w:rStyle w:val="Hyperlink"/>
            <w:sz w:val="16"/>
            <w:szCs w:val="16"/>
          </w:rPr>
          <w:t xml:space="preserve">https://fbtgibbons.com/another-year-another-round-of-changes-to-renewable-energy-siting-and-battery-storage-bess-regulation-in-kentucky/</w:t>
        </w:r>
      </w:hyperlink>
    </w:p>
    <w:p>
      <w:pPr>
        <w:spacing w:after="40"/>
      </w:pPr>
      <w:r>
        <w:rPr>
          <w:sz w:val="16"/>
        </w:rPr>
        <w:t xml:space="preserve">S15. U.S. Census Bureau, Vintage 2025 county population estimates. </w:t>
      </w:r>
      <w:hyperlink r:id="rId9" w:history="1">
        <w:r>
          <w:rPr>
            <w:rStyle w:val="Hyperlink"/>
            <w:sz w:val="16"/>
            <w:szCs w:val="16"/>
          </w:rPr>
          <w:t xml:space="preserve">https://www2.census.gov/programs-surveys/popest/datasets/2020-2025/counties/totals/co-est2025-alldata.csv</w:t>
        </w:r>
      </w:hyperlink>
    </w:p>
    <w:p>
      <w:pPr>
        <w:spacing w:after="40"/>
      </w:pPr>
      <w:r>
        <w:rPr>
          <w:sz w:val="16"/>
        </w:rPr>
        <w:t xml:space="preserve">S16. WKMS, Kentucky data center regulations stripped from bill as legislative session closes, Apr. 15, 2026. </w:t>
      </w:r>
      <w:hyperlink r:id="rId34" w:history="1">
        <w:r>
          <w:rPr>
            <w:rStyle w:val="Hyperlink"/>
            <w:sz w:val="16"/>
            <w:szCs w:val="16"/>
          </w:rPr>
          <w:t xml:space="preserve">https://www.wkms.org/2026-04-15/kentucky-data-center-regulations-stripped-from-bill-as-legislative-session-closes</w:t>
        </w:r>
      </w:hyperlink>
    </w:p>
    <w:p>
      <w:pPr>
        <w:spacing w:after="40"/>
      </w:pPr>
      <w:r>
        <w:rPr>
          <w:sz w:val="16"/>
        </w:rPr>
        <w:t xml:space="preserve">S17. Georgetown News-Graphic, Data center moratorium approved, Aug. 14, 2026. </w:t>
      </w:r>
      <w:hyperlink r:id="rId35" w:history="1">
        <w:r>
          <w:rPr>
            <w:rStyle w:val="Hyperlink"/>
            <w:sz w:val="16"/>
            <w:szCs w:val="16"/>
          </w:rPr>
          <w:t xml:space="preserve">https://www.news-graphic.com/harrison_county/data-center-moratorium-approved/article_673addee-2c4b-4a8b-b8fa-5ed7fb229d5a.html</w:t>
        </w:r>
      </w:hyperlink>
    </w:p>
    <w:p>
      <w:pPr>
        <w:spacing w:after="40"/>
      </w:pPr>
      <w:r>
        <w:rPr>
          <w:sz w:val="16"/>
        </w:rPr>
        <w:t xml:space="preserve">S18. WKYT, Harrison County leaders hear public opposition to data centers ahead of moratorium vote, July 28, 2026. </w:t>
      </w:r>
      <w:hyperlink r:id="rId36" w:history="1">
        <w:r>
          <w:rPr>
            <w:rStyle w:val="Hyperlink"/>
            <w:sz w:val="16"/>
            <w:szCs w:val="16"/>
          </w:rPr>
          <w:t xml:space="preserve">https://www.wkyt.com/2026/07/29/harrison-county-leaders-hear-public-opposition-data-centers-ahead-moratorium-vote/</w:t>
        </w:r>
      </w:hyperlink>
    </w:p>
    <w:p>
      <w:pPr>
        <w:spacing w:after="40"/>
      </w:pPr>
      <w:r>
        <w:rPr>
          <w:sz w:val="16"/>
        </w:rPr>
        <w:t xml:space="preserve">S19. Spectrum News 1, Kentucky counties weigh data center growth as moratoriums spread, July 13, 2026. </w:t>
      </w:r>
      <w:hyperlink r:id="rId37" w:history="1">
        <w:r>
          <w:rPr>
            <w:rStyle w:val="Hyperlink"/>
            <w:sz w:val="16"/>
            <w:szCs w:val="16"/>
          </w:rPr>
          <w:t xml:space="preserve">https://spectrumnews1.com/ky/louisville/news/2026/07/09/kentucky-counties-weigh-data-center-growth-as-moratoriums-spread</w:t>
        </w:r>
      </w:hyperlink>
    </w:p>
    <w:p>
      <w:pPr>
        <w:spacing w:after="40"/>
      </w:pPr>
      <w:r>
        <w:rPr>
          <w:sz w:val="16"/>
        </w:rPr>
        <w:t xml:space="preserve">S20. DatacenterDynamics, 2,000-acre land parcel rezoned for data center use in Mason County, Kentucky, May 2026. </w:t>
      </w:r>
      <w:hyperlink r:id="rId15" w:history="1">
        <w:r>
          <w:rPr>
            <w:rStyle w:val="Hyperlink"/>
            <w:sz w:val="16"/>
            <w:szCs w:val="16"/>
          </w:rPr>
          <w:t xml:space="preserve">https://www.datacenterdynamics.com/en/news/2000-acre-land-parcel-rezoned-for-data-center-use-in-mason-county-kentucky/</w:t>
        </w:r>
      </w:hyperlink>
    </w:p>
    <w:p>
      <w:pPr>
        <w:spacing w:after="40"/>
      </w:pPr>
      <w:r>
        <w:rPr>
          <w:sz w:val="16"/>
        </w:rPr>
        <w:t xml:space="preserve">S21. EKPC, responses to PSC data request, Case 2025-00311, Dec. 17, 2025. </w:t>
      </w:r>
      <w:hyperlink r:id="rId14" w:history="1">
        <w:r>
          <w:rPr>
            <w:rStyle w:val="Hyperlink"/>
            <w:sz w:val="16"/>
            <w:szCs w:val="16"/>
          </w:rPr>
          <w:t xml:space="preserve">https://psc.ky.gov/pscecf/2025-00311/jacob.watson@ekpc.coop/12172025040148/EKPC_Responses_to_PSC_DR1.pdf</w:t>
        </w:r>
      </w:hyperlink>
    </w:p>
    <w:p>
      <w:pPr>
        <w:spacing w:after="40"/>
      </w:pPr>
      <w:r>
        <w:rPr>
          <w:sz w:val="16"/>
        </w:rPr>
        <w:t xml:space="preserve">S22. EKPC, Our owner-member cooperatives. </w:t>
      </w:r>
      <w:hyperlink r:id="rId41" w:history="1">
        <w:r>
          <w:rPr>
            <w:rStyle w:val="Hyperlink"/>
            <w:sz w:val="16"/>
            <w:szCs w:val="16"/>
          </w:rPr>
          <w:t xml:space="preserve">https://www.ekpc.coop/our-owner-member-cooperatives</w:t>
        </w:r>
      </w:hyperlink>
    </w:p>
    <w:p>
      <w:pPr>
        <w:spacing w:after="40"/>
      </w:pPr>
      <w:r>
        <w:rPr>
          <w:sz w:val="16"/>
        </w:rPr>
        <w:t xml:space="preserve">S23. Kentucky PSC, Case 2021-00141 (Bluebird Solar), Harrison Fiscal Court response, Sept. 26, 2024. </w:t>
      </w:r>
      <w:hyperlink r:id="rId17" w:history="1">
        <w:r>
          <w:rPr>
            <w:rStyle w:val="Hyperlink"/>
            <w:sz w:val="16"/>
            <w:szCs w:val="16"/>
          </w:rPr>
          <w:t xml:space="preserve">https://psc.ky.gov/pscscf/Post%20Case%20Referenced%20Correspondence/2021%20cases/2021-00141//20240926_Harrison%20Fiscal%20Court%20Response%20to%20Bluebird%20Solar%20LLC%20Motion.pdf</w:t>
        </w:r>
      </w:hyperlink>
    </w:p>
    <w:p>
      <w:pPr>
        <w:spacing w:after="40"/>
      </w:pPr>
      <w:r>
        <w:rPr>
          <w:sz w:val="16"/>
        </w:rPr>
        <w:t xml:space="preserve">S24. Kentucky PSC, Case 2020-00370 (Fleming Solar). </w:t>
      </w:r>
      <w:hyperlink r:id="rId42" w:history="1">
        <w:r>
          <w:rPr>
            <w:rStyle w:val="Hyperlink"/>
            <w:sz w:val="16"/>
            <w:szCs w:val="16"/>
          </w:rPr>
          <w:t xml:space="preserve">https://psc.ky.gov/Case/ViewCaseFilings/2020-00370</w:t>
        </w:r>
      </w:hyperlink>
    </w:p>
    <w:p>
      <w:pPr>
        <w:spacing w:after="40"/>
      </w:pPr>
      <w:r>
        <w:rPr>
          <w:sz w:val="16"/>
        </w:rPr>
        <w:t xml:space="preserve">S25. Kentucky PSC, Case 2022-00272 (Hummingbird Energy). </w:t>
      </w:r>
      <w:hyperlink r:id="rId43" w:history="1">
        <w:r>
          <w:rPr>
            <w:rStyle w:val="Hyperlink"/>
            <w:sz w:val="16"/>
            <w:szCs w:val="16"/>
          </w:rPr>
          <w:t xml:space="preserve">https://psc.ky.gov/Case/ViewCaseFilings/2022-00272</w:t>
        </w:r>
      </w:hyperlink>
    </w:p>
    <w:p>
      <w:pPr>
        <w:spacing w:after="40"/>
      </w:pPr>
      <w:r>
        <w:rPr>
          <w:sz w:val="16"/>
        </w:rPr>
        <w:t xml:space="preserve">S26. Kentucky State Board of Elections, 2022 general election recap, Nicholas County. </w:t>
      </w:r>
      <w:hyperlink r:id="rId30" w:history="1">
        <w:r>
          <w:rPr>
            <w:rStyle w:val="Hyperlink"/>
            <w:sz w:val="16"/>
            <w:szCs w:val="16"/>
          </w:rPr>
          <w:t xml:space="preserve">https://elect.ky.gov/results/2020-2029/2022ElectionReports/GeneralRecaps/Nicholas%20County.pdf</w:t>
        </w:r>
      </w:hyperlink>
    </w:p>
    <w:p>
      <w:pPr>
        <w:spacing w:after="40"/>
      </w:pPr>
      <w:r>
        <w:rPr>
          <w:sz w:val="16"/>
        </w:rPr>
        <w:t xml:space="preserve">S27. Kentucky State Board of Elections, 2026 primary recap, Nicholas County. </w:t>
      </w:r>
      <w:hyperlink r:id="rId44" w:history="1">
        <w:r>
          <w:rPr>
            <w:rStyle w:val="Hyperlink"/>
            <w:sz w:val="16"/>
            <w:szCs w:val="16"/>
          </w:rPr>
          <w:t xml:space="preserve">https://elect.ky.gov/results/2020-2029/2026ElectionReports/PrimaryRecaps/Nicholas.pdf</w:t>
        </w:r>
      </w:hyperlink>
    </w:p>
    <w:p>
      <w:pPr>
        <w:spacing w:after="40"/>
      </w:pPr>
      <w:r>
        <w:rPr>
          <w:sz w:val="16"/>
        </w:rPr>
        <w:t xml:space="preserve">S28. Kentucky Secretary of State, candidate filings, Nicholas County, 2026 general election. </w:t>
      </w:r>
      <w:hyperlink r:id="rId31" w:history="1">
        <w:r>
          <w:rPr>
            <w:rStyle w:val="Hyperlink"/>
            <w:sz w:val="16"/>
            <w:szCs w:val="16"/>
          </w:rPr>
          <w:t xml:space="preserve">https://web.sos.ky.gov/CandidateFilings/countyfilings.aspx</w:t>
        </w:r>
      </w:hyperlink>
    </w:p>
    <w:p>
      <w:pPr>
        <w:spacing w:after="40"/>
      </w:pPr>
      <w:r>
        <w:rPr>
          <w:sz w:val="16"/>
        </w:rPr>
        <w:t xml:space="preserve">S29. Kentucky General Assembly, Senate District 27. </w:t>
      </w:r>
      <w:hyperlink r:id="rId45" w:history="1">
        <w:r>
          <w:rPr>
            <w:rStyle w:val="Hyperlink"/>
            <w:sz w:val="16"/>
            <w:szCs w:val="16"/>
          </w:rPr>
          <w:t xml:space="preserve">https://apps.legislature.ky.gov/Legislators/subs/Sen-27.html</w:t>
        </w:r>
      </w:hyperlink>
    </w:p>
    <w:p>
      <w:pPr>
        <w:spacing w:after="40"/>
      </w:pPr>
      <w:r>
        <w:rPr>
          <w:sz w:val="16"/>
        </w:rPr>
        <w:t xml:space="preserve">S30. USDA NASS, 2022 Census of Agriculture county profile, Nicholas County. </w:t>
      </w:r>
      <w:hyperlink r:id="rId11" w:history="1">
        <w:r>
          <w:rPr>
            <w:rStyle w:val="Hyperlink"/>
            <w:sz w:val="16"/>
            <w:szCs w:val="16"/>
          </w:rPr>
          <w:t xml:space="preserve">https://www.nass.usda.gov/Publications/AgCensus/2022/Online_Resources/County_Profiles/Kentucky/cp21181.pdf</w:t>
        </w:r>
      </w:hyperlink>
    </w:p>
    <w:p>
      <w:pPr>
        <w:spacing w:after="40"/>
      </w:pPr>
      <w:r>
        <w:rPr>
          <w:sz w:val="16"/>
        </w:rPr>
        <w:t>S31. U.S. Census Bureau, American Community Survey 2020-2024 5-year estimates, via pricephillips/renewable-opposition county_covariates.csv.</w:t>
      </w:r>
    </w:p>
    <w:p>
      <w:pPr>
        <w:spacing w:after="40"/>
      </w:pPr>
      <w:r>
        <w:rPr>
          <w:sz w:val="16"/>
        </w:rPr>
        <w:t xml:space="preserve">S32. MIT Election Data and Science Lab, County Presidential Election Returns 2000-2024, doi:10.7910/DVN/VOQCHQ. </w:t>
      </w:r>
      <w:hyperlink r:id="rId10" w:history="1">
        <w:r>
          <w:rPr>
            <w:rStyle w:val="Hyperlink"/>
            <w:sz w:val="16"/>
            <w:szCs w:val="16"/>
          </w:rPr>
          <w:t xml:space="preserve">https://electionlab.mit.edu/data</w:t>
        </w:r>
      </w:hyperlink>
    </w:p>
    <w:p>
      <w:pPr>
        <w:spacing w:after="40"/>
      </w:pPr>
      <w:r>
        <w:rPr>
          <w:sz w:val="16"/>
        </w:rPr>
        <w:t xml:space="preserve">S33. Kentucky Revised Statutes 278.704 (merchant generating facility setbacks), </w:t>
      </w:r>
      <w:hyperlink r:id="rId46" w:history="1">
        <w:r>
          <w:rPr>
            <w:rStyle w:val="Hyperlink"/>
            <w:sz w:val="16"/>
            <w:szCs w:val="16"/>
          </w:rPr>
          <w:t xml:space="preserve">https://apps.legislature.ky.gov/law/statutes/statute.aspx?id=57882</w:t>
        </w:r>
      </w:hyperlink>
      <w:r>
        <w:rPr>
          <w:sz w:val="16"/>
        </w:rPr>
        <w:t xml:space="preserve">, and 278.718 (local primacy), </w:t>
      </w:r>
      <w:hyperlink r:id="rId47" w:history="1">
        <w:r>
          <w:rPr>
            <w:rStyle w:val="Hyperlink"/>
            <w:sz w:val="16"/>
            <w:szCs w:val="16"/>
          </w:rPr>
          <w:t xml:space="preserve">https://apps.legislature.ky.gov/law/statutes/statute.aspx?id=57886</w:t>
        </w:r>
      </w:hyperlink>
    </w:p>
    <w:p>
      <w:pPr>
        <w:spacing w:after="40"/>
      </w:pPr>
      <w:r>
        <w:rPr>
          <w:sz w:val="16"/>
        </w:rPr>
        <w:t>S34. Hawthorn platform, pricephillips/renewable-opposition, commit 65df5c9 (restrictions, contested_projects, county_summary, county_covariates, queue_projects, facilities, county_adjacency), and the provisional county restriction model fitted October 16, 2026 under config/county_model_registration.json.</w:t>
      </w:r>
    </w:p>
    <w:p>
      <w:pPr>
        <w:spacing w:after="40"/>
      </w:pPr>
      <w:r>
        <w:rPr>
          <w:sz w:val="16"/>
        </w:rPr>
        <w:t xml:space="preserve">S35. WMKY, Flemingsburg wind project discontinued, May 10, 2014. </w:t>
      </w:r>
      <w:hyperlink r:id="rId48" w:history="1">
        <w:r>
          <w:rPr>
            <w:rStyle w:val="Hyperlink"/>
            <w:sz w:val="16"/>
            <w:szCs w:val="16"/>
          </w:rPr>
          <w:t xml:space="preserve">https://www.wmky.org/business/2014-05-10/flemingsburg-wind-project-discontinued</w:t>
        </w:r>
      </w:hyperlink>
    </w:p>
    <w:p>
      <w:pPr>
        <w:spacing w:after="40"/>
      </w:pPr>
      <w:r>
        <w:rPr>
          <w:sz w:val="16"/>
        </w:rPr>
        <w:t xml:space="preserve">S36. WKYT, Clark Co. tables massive solar farm project for now, Aug. 26, 2021. </w:t>
      </w:r>
      <w:hyperlink r:id="rId49" w:history="1">
        <w:r>
          <w:rPr>
            <w:rStyle w:val="Hyperlink"/>
            <w:sz w:val="16"/>
            <w:szCs w:val="16"/>
          </w:rPr>
          <w:t xml:space="preserve">https://www.wkyt.com/2021/08/27/clark-co-tables-massive-solar-farm-project-now/</w:t>
        </w:r>
      </w:hyperlink>
    </w:p>
    <w:p>
      <w:pPr>
        <w:spacing w:after="40"/>
      </w:pPr>
      <w:r>
        <w:rPr>
          <w:sz w:val="16"/>
        </w:rPr>
        <w:t xml:space="preserve">S37. Kentucky PSC, Case 2020-00206 (AEUG Fleming Solar). </w:t>
      </w:r>
      <w:hyperlink r:id="rId50" w:history="1">
        <w:r>
          <w:rPr>
            <w:rStyle w:val="Hyperlink"/>
            <w:sz w:val="16"/>
            <w:szCs w:val="16"/>
          </w:rPr>
          <w:t xml:space="preserve">https://psc.ky.gov/Case/ViewCaseFilings/2020-00206</w:t>
        </w:r>
      </w:hyperlink>
    </w:p>
    <w:p>
      <w:pPr>
        <w:spacing w:after="40"/>
      </w:pPr>
      <w:r>
        <w:rPr>
          <w:sz w:val="16"/>
        </w:rPr>
        <w:t xml:space="preserve">S38. The Carlisle Mercury, fiscal court meeting reports on the solar ordinance, Mar. 20, Apr. 17, May 15 and June 19, 2024. </w:t>
      </w:r>
      <w:hyperlink r:id="rId51" w:history="1">
        <w:r>
          <w:rPr>
            <w:rStyle w:val="Hyperlink"/>
            <w:sz w:val="16"/>
            <w:szCs w:val="16"/>
          </w:rPr>
          <w:t xml:space="preserve">https://kynewsgroup.com/tcm051524.pdf</w:t>
        </w:r>
      </w:hyperlink>
      <w:r>
        <w:rPr>
          <w:sz w:val="16"/>
        </w:rPr>
        <w:t xml:space="preserve"> and </w:t>
      </w:r>
      <w:hyperlink r:id="rId52" w:history="1">
        <w:r>
          <w:rPr>
            <w:rStyle w:val="Hyperlink"/>
            <w:sz w:val="16"/>
            <w:szCs w:val="16"/>
          </w:rPr>
          <w:t xml:space="preserve">https://kynewsgroup.com/tcm061924.pdf</w:t>
        </w:r>
      </w:hyperlink>
    </w:p>
    <w:p>
      <w:pPr>
        <w:spacing w:after="40"/>
      </w:pPr>
      <w:r>
        <w:rPr>
          <w:sz w:val="16"/>
        </w:rPr>
        <w:t xml:space="preserve">S39. The Carlisle Mercury, legal notice: summary of Ordinance No. 06/2024 Solar, June 26, 2024, p. 7. </w:t>
      </w:r>
      <w:hyperlink r:id="rId53" w:history="1">
        <w:r>
          <w:rPr>
            <w:rStyle w:val="Hyperlink"/>
            <w:sz w:val="16"/>
            <w:szCs w:val="16"/>
          </w:rPr>
          <w:t xml:space="preserve">https://kynewsgroup.com/tcm062624.pdf</w:t>
        </w:r>
      </w:hyperlink>
    </w:p>
    <w:p>
      <w:pPr>
        <w:spacing w:after="40"/>
      </w:pPr>
      <w:r>
        <w:rPr>
          <w:sz w:val="16"/>
        </w:rPr>
        <w:t xml:space="preserve">S40. The Carlisle Mercury, Dec. 17, 2025, p. 2 (Dec. 12 fiscal court meeting). </w:t>
      </w:r>
      <w:hyperlink r:id="rId18" w:history="1">
        <w:r>
          <w:rPr>
            <w:rStyle w:val="Hyperlink"/>
            <w:sz w:val="16"/>
            <w:szCs w:val="16"/>
          </w:rPr>
          <w:t xml:space="preserve">https://kynewsgroup.com/tcm121725.pdf</w:t>
        </w:r>
      </w:hyperlink>
    </w:p>
    <w:p>
      <w:pPr>
        <w:spacing w:after="40"/>
      </w:pPr>
      <w:r>
        <w:rPr>
          <w:sz w:val="16"/>
        </w:rPr>
        <w:t xml:space="preserve">S41. The Carlisle Mercury, Mar. 25, 2026, p. 9 (primary candidate forum). </w:t>
      </w:r>
      <w:hyperlink r:id="rId54" w:history="1">
        <w:r>
          <w:rPr>
            <w:rStyle w:val="Hyperlink"/>
            <w:sz w:val="16"/>
            <w:szCs w:val="16"/>
          </w:rPr>
          <w:t xml:space="preserve">https://kynewsgroup.com/tcm032526.pdf</w:t>
        </w:r>
      </w:hyperlink>
    </w:p>
    <w:p>
      <w:pPr>
        <w:spacing w:after="40"/>
      </w:pPr>
      <w:r>
        <w:rPr>
          <w:sz w:val="16"/>
        </w:rPr>
        <w:t xml:space="preserve">S42. The Carlisle Mercury, June 17, 2026, pp. 1-2 (June 9 fiscal court workshop). </w:t>
      </w:r>
      <w:hyperlink r:id="rId19" w:history="1">
        <w:r>
          <w:rPr>
            <w:rStyle w:val="Hyperlink"/>
            <w:sz w:val="16"/>
            <w:szCs w:val="16"/>
          </w:rPr>
          <w:t xml:space="preserve">https://kynewsgroup.com/tcm061726.pdf</w:t>
        </w:r>
      </w:hyperlink>
    </w:p>
    <w:p>
      <w:pPr>
        <w:spacing w:after="40"/>
      </w:pPr>
      <w:r>
        <w:rPr>
          <w:sz w:val="16"/>
        </w:rPr>
        <w:t xml:space="preserve">S43. The Carlisle Mercury, July 8, 2026, pp. 1-2 and 6 (Heelstone open house; Judge Hamilton discusses solar ordinance debate). </w:t>
      </w:r>
      <w:hyperlink r:id="rId55" w:history="1">
        <w:r>
          <w:rPr>
            <w:rStyle w:val="Hyperlink"/>
            <w:sz w:val="16"/>
            <w:szCs w:val="16"/>
          </w:rPr>
          <w:t xml:space="preserve">https://kynewsgroup.com/tcm070826.pdf</w:t>
        </w:r>
      </w:hyperlink>
    </w:p>
    <w:p>
      <w:pPr>
        <w:spacing w:after="40"/>
      </w:pPr>
      <w:r>
        <w:rPr>
          <w:sz w:val="16"/>
        </w:rPr>
        <w:t xml:space="preserve">S44. The Carlisle Mercury, Fiscal Court votes to uphold solar ordinance, July 15, 2026, p. 1. </w:t>
      </w:r>
      <w:hyperlink r:id="rId20" w:history="1">
        <w:r>
          <w:rPr>
            <w:rStyle w:val="Hyperlink"/>
            <w:sz w:val="16"/>
            <w:szCs w:val="16"/>
          </w:rPr>
          <w:t xml:space="preserve">https://kynewsgroup.com/tcm071526.pdf</w:t>
        </w:r>
      </w:hyperlink>
    </w:p>
    <w:p>
      <w:pPr>
        <w:spacing w:after="40"/>
      </w:pPr>
      <w:r>
        <w:rPr>
          <w:sz w:val="16"/>
        </w:rPr>
        <w:t xml:space="preserve">S45. The Carlisle Mercury, Aug. 19, 2026, p. 6 (Aug. 14 fiscal court meeting). </w:t>
      </w:r>
      <w:hyperlink r:id="rId56" w:history="1">
        <w:r>
          <w:rPr>
            <w:rStyle w:val="Hyperlink"/>
            <w:sz w:val="16"/>
            <w:szCs w:val="16"/>
          </w:rPr>
          <w:t xml:space="preserve">https://kynewsgroup.com/TCM-08-19-26.pdf</w:t>
        </w:r>
      </w:hyperlink>
    </w:p>
    <w:p>
      <w:pPr>
        <w:spacing w:after="40"/>
      </w:pPr>
      <w:r>
        <w:rPr>
          <w:sz w:val="16"/>
        </w:rPr>
        <w:t xml:space="preserve">S46. The Carlisle Mercury, Aug. 26, 2026, p. 11 (Ordinances No. 26-August-02 and August-2026-01). </w:t>
      </w:r>
      <w:hyperlink r:id="rId13" w:history="1">
        <w:r>
          <w:rPr>
            <w:rStyle w:val="Hyperlink"/>
            <w:sz w:val="16"/>
            <w:szCs w:val="16"/>
          </w:rPr>
          <w:t xml:space="preserve">https://kynewsgroup.com/TCM-08-26-26.pdf</w:t>
        </w:r>
      </w:hyperlink>
    </w:p>
    <w:p>
      <w:pPr>
        <w:spacing w:after="40"/>
      </w:pPr>
      <w:r>
        <w:rPr>
          <w:sz w:val="16"/>
        </w:rPr>
        <w:t xml:space="preserve">S47. The Carlisle Mercury, Sept. 9, 2026 (general election candidate guide). </w:t>
      </w:r>
      <w:hyperlink r:id="rId57" w:history="1">
        <w:r>
          <w:rPr>
            <w:rStyle w:val="Hyperlink"/>
            <w:sz w:val="16"/>
            <w:szCs w:val="16"/>
          </w:rPr>
          <w:t xml:space="preserve">https://kynewsgroup.com/TCM-09-09-26.pdf</w:t>
        </w:r>
      </w:hyperlink>
    </w:p>
    <w:p>
      <w:pPr>
        <w:spacing w:after="40"/>
      </w:pPr>
      <w:r>
        <w:rPr>
          <w:sz w:val="16"/>
        </w:rPr>
        <w:t xml:space="preserve">S48. The Carlisle Mercury, Nicholas Fiscal Court approves First Reading of One-Year Solar Moratorium, Sept. 16, 2026. </w:t>
      </w:r>
      <w:hyperlink r:id="rId21" w:history="1">
        <w:r>
          <w:rPr>
            <w:rStyle w:val="Hyperlink"/>
            <w:sz w:val="16"/>
            <w:szCs w:val="16"/>
          </w:rPr>
          <w:t xml:space="preserve">https://kynewsgroup.com/TCM-09-16-26.pdf</w:t>
        </w:r>
      </w:hyperlink>
    </w:p>
    <w:p>
      <w:pPr>
        <w:spacing w:after="40"/>
      </w:pPr>
      <w:r>
        <w:rPr>
          <w:sz w:val="16"/>
        </w:rPr>
        <w:t xml:space="preserve">S49. The Carlisle Mercury, Fiscal Court votes yes on 2nd reading of One-Year Solar Moratorium, Sept. 23, 2026. </w:t>
      </w:r>
      <w:hyperlink r:id="rId22" w:history="1">
        <w:r>
          <w:rPr>
            <w:rStyle w:val="Hyperlink"/>
            <w:sz w:val="16"/>
            <w:szCs w:val="16"/>
          </w:rPr>
          <w:t xml:space="preserve">https://kynewsgroup.com/TCM-09-23-26.pdf</w:t>
        </w:r>
      </w:hyperlink>
    </w:p>
    <w:p>
      <w:pPr>
        <w:spacing w:after="40"/>
      </w:pPr>
      <w:r>
        <w:rPr>
          <w:sz w:val="16"/>
        </w:rPr>
        <w:t xml:space="preserve">S50. The Carlisle Mercury, Sept. 30, 2026, p. 7 (Ordinance No. September-2026-18-01). </w:t>
      </w:r>
      <w:hyperlink r:id="rId58" w:history="1">
        <w:r>
          <w:rPr>
            <w:rStyle w:val="Hyperlink"/>
            <w:sz w:val="16"/>
            <w:szCs w:val="16"/>
          </w:rPr>
          <w:t xml:space="preserve">https://kynewsgroup.com/TCM-09-30-26.pdf</w:t>
        </w:r>
      </w:hyperlink>
    </w:p>
    <w:p>
      <w:pPr>
        <w:spacing w:after="40"/>
      </w:pPr>
      <w:r>
        <w:rPr>
          <w:sz w:val="16"/>
        </w:rPr>
        <w:t xml:space="preserve">S51. U.S. Census Bureau, 2020 place-by-county relationship file, Kentucky. </w:t>
      </w:r>
      <w:hyperlink r:id="rId59" w:history="1">
        <w:r>
          <w:rPr>
            <w:rStyle w:val="Hyperlink"/>
            <w:sz w:val="16"/>
            <w:szCs w:val="16"/>
          </w:rPr>
          <w:t xml:space="preserve">https://www2.census.gov/geo/docs/reference/codes2020/place_by_cou/st21_ky_place_by_county2020.txt</w:t>
        </w:r>
      </w:hyperlink>
    </w:p>
    <w:p>
      <w:pPr>
        <w:pStyle w:val="Heading2"/>
        <w:spacing w:before="240" w:after="80"/>
      </w:pPr>
      <w:r>
        <w:t>Image credits</w:t>
      </w:r>
    </w:p>
    <w:p>
      <w:pPr>
        <w:spacing w:after="40"/>
      </w:pPr>
      <w:r>
        <w:rPr>
          <w:sz w:val="16"/>
        </w:rPr>
        <w:t xml:space="preserve">Page 1 county map: David Benbennick, "Map of Kentucky highlighting Nicholas County," Wikimedia Commons, public domain. </w:t>
      </w:r>
      <w:hyperlink r:id="rId60" w:history="1">
        <w:r>
          <w:rPr>
            <w:rStyle w:val="Hyperlink"/>
            <w:sz w:val="16"/>
            <w:szCs w:val="16"/>
          </w:rPr>
          <w:t xml:space="preserve">https://commons.wikimedia.org/wiki/File:Map_of_Kentucky_highlighting_Nicholas_County.svg</w:t>
        </w:r>
      </w:hyperlink>
    </w:p>
    <w:sectPr w:rsidR="005946EE" w:rsidRPr="003F776A" w:rsidSect="00E11A44">
      <w:footerReference w:type="even" r:id="rId149"/>
      <w:footerReference w:type="default" r:id="rId15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01BE7D9" w14:textId="77777777" w:rsidR="00366813" w:rsidRDefault="00366813" w:rsidP="00E11A44">
      <w:r>
        <w:separator/>
      </w:r>
    </w:p>
  </w:endnote>
  <w:endnote w:type="continuationSeparator" w:id="0">
    <w:p w14:paraId="7F1D3C3F" w14:textId="77777777" w:rsidR="00366813" w:rsidRDefault="00366813" w:rsidP="00E11A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10910205"/>
      <w:docPartObj>
        <w:docPartGallery w:val="Page Numbers (Bottom of Page)"/>
        <w:docPartUnique/>
      </w:docPartObj>
    </w:sdtPr>
    <w:sdtEndPr>
      <w:rPr>
        <w:rStyle w:val="PageNumber"/>
      </w:rPr>
    </w:sdtEndPr>
    <w:sdtContent>
      <w:p w14:paraId="45C0DE88" w14:textId="30757198" w:rsidR="00C04B27" w:rsidRDefault="00C04B27" w:rsidP="00FA41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DFF2772" w14:textId="77777777" w:rsidR="00C04B27" w:rsidRDefault="00C04B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54050151"/>
      <w:docPartObj>
        <w:docPartGallery w:val="Page Numbers (Bottom of Page)"/>
        <w:docPartUnique/>
      </w:docPartObj>
    </w:sdtPr>
    <w:sdtEndPr>
      <w:rPr>
        <w:rStyle w:val="PageNumber"/>
      </w:rPr>
    </w:sdtEndPr>
    <w:sdtContent>
      <w:p w14:paraId="058F8DB0" w14:textId="66776AEF" w:rsidR="00C04B27" w:rsidRDefault="00C04B27" w:rsidP="00FA41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96D13B8" w14:textId="3FF3F7B7" w:rsidR="0081428A" w:rsidRDefault="00C04B27" w:rsidP="00C04B27">
    <w:pPr>
      <w:pStyle w:val="Footer"/>
      <w:ind w:right="360"/>
    </w:pPr>
    <w:r w:rsidRPr="000971D7">
      <w:rPr>
        <w:noProof/>
        <w:highlight w:val="yellow"/>
      </w:rPr>
      <w:drawing>
        <wp:anchor distT="0" distB="0" distL="114300" distR="114300" simplePos="0" relativeHeight="251658240" behindDoc="0" locked="0" layoutInCell="1" allowOverlap="1" wp14:anchorId="0D730020" wp14:editId="0FD87A89">
          <wp:simplePos x="0" y="0"/>
          <wp:positionH relativeFrom="margin">
            <wp:posOffset>0</wp:posOffset>
          </wp:positionH>
          <wp:positionV relativeFrom="margin">
            <wp:posOffset>8923020</wp:posOffset>
          </wp:positionV>
          <wp:extent cx="899795" cy="179705"/>
          <wp:effectExtent l="0" t="0" r="1905" b="0"/>
          <wp:wrapSquare wrapText="bothSides"/>
          <wp:docPr id="29" name="Picture 7" descr="A green text on a black background&#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A green text on a black background&#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9795" cy="17970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52A3C9" w14:textId="77777777" w:rsidR="00366813" w:rsidRDefault="00366813" w:rsidP="00E11A44">
      <w:r>
        <w:separator/>
      </w:r>
    </w:p>
  </w:footnote>
  <w:footnote w:type="continuationSeparator" w:id="0">
    <w:p w14:paraId="3EE11083" w14:textId="77777777" w:rsidR="00366813" w:rsidRDefault="00366813" w:rsidP="00E11A44">
      <w:r>
        <w:continuationSeparator/>
      </w:r>
    </w:p>
  </w:footnote>
  <w:footnote w:id="1">
    <w:p>
      <w:pPr>
        <w:pStyle w:val="FootnoteText"/>
      </w:pPr>
      <w:r>
        <w:rPr>
          <w:rStyle w:val="FootnoteReference"/>
          <w:rFonts w:ascii="Georgia" w:hAnsi="Georgia"/>
          <w:sz w:val="16"/>
          <w:szCs w:val="16"/>
        </w:rPr>
        <w:footnoteRef/>
      </w:r>
      <w:r>
        <w:rPr>
          <w:rFonts w:ascii="Georgia" w:hAnsi="Georgia"/>
          <w:sz w:val="16"/>
          <w:szCs w:val="16"/>
        </w:rPr>
        <w:t xml:space="preserve"> With a likely range of 0.04 to 0.06 (10th to 90th percentile of 200 bootstrap refits), against a national base rate of 0.24. The model's queue input for Nicholas is zero because LBNL's queue data (through 2025) did not place South Fork's two requests in a county; counting them (45 MW) and the Headquarters project, the score would be about 0.066, at the bottom of decile 2.</w:t>
      </w:r>
    </w:p>
  </w:footnote>
  <w:footnote w:id="2">
    <w:p>
      <w:pPr>
        <w:pStyle w:val="FootnoteText"/>
      </w:pPr>
      <w:r>
        <w:rPr>
          <w:rStyle w:val="FootnoteReference"/>
          <w:rFonts w:ascii="Georgia" w:hAnsi="Georgia"/>
          <w:sz w:val="16"/>
          <w:szCs w:val="16"/>
        </w:rPr>
        <w:footnoteRef/>
      </w:r>
      <w:r>
        <w:rPr>
          <w:rFonts w:ascii="Georgia" w:hAnsi="Georgia"/>
          <w:sz w:val="16"/>
          <w:szCs w:val="16"/>
        </w:rPr>
        <w:t xml:space="preserve"> Model validation: cross-validated AUC (area under the ROC curve: the chance a restricted county outscores an unrestricted one) 0.78 (0.81 when whole states are held out), Brier (mean squared error of the scores) score 0.145 against a 0.181 no-skill baseline (skill 0.20), expected calibration error 0.016 (0.010 on the gate's equal-width bins), across 3,144 counties; it passes the platform's pre-registered calibration gate. Median scores for restricted and unrestricted counties sit 21 points apart (0.34 and 0.14). This is a provisional fit made for this report; the platform's own county model is still being built.</w:t>
      </w:r>
    </w:p>
  </w:footnote>
  <w:footnote w:id="3">
    <w:p>
      <w:pPr>
        <w:pStyle w:val="FootnoteText"/>
      </w:pPr>
      <w:r>
        <w:rPr>
          <w:rStyle w:val="FootnoteReference"/>
          <w:rFonts w:ascii="Georgia" w:hAnsi="Georgia"/>
          <w:sz w:val="16"/>
          <w:szCs w:val="16"/>
        </w:rPr>
        <w:footnoteRef/>
      </w:r>
      <w:r>
        <w:rPr>
          <w:rFonts w:ascii="Georgia" w:hAnsi="Georgia"/>
          <w:sz w:val="16"/>
          <w:szCs w:val="16"/>
        </w:rPr>
        <w:t xml:space="preserve"> Deciles computed from all 3,144 scored counties (the 50 states and DC) as of October 16, 2026. A severe restriction is one scoring 3 or 4 on the platform's severity scale.</w:t>
      </w:r>
    </w:p>
  </w:footnote>
  <w:footnote w:id="4">
    <w:p>
      <w:pPr>
        <w:pStyle w:val="FootnoteText"/>
      </w:pPr>
      <w:r>
        <w:rPr>
          <w:rStyle w:val="FootnoteReference"/>
          <w:rFonts w:ascii="Georgia" w:hAnsi="Georgia"/>
          <w:sz w:val="16"/>
          <w:szCs w:val="16"/>
        </w:rPr>
        <w:footnoteRef/>
      </w:r>
      <w:r>
        <w:rPr>
          <w:rFonts w:ascii="Georgia" w:hAnsi="Georgia"/>
          <w:sz w:val="16"/>
          <w:szCs w:val="16"/>
        </w:rPr>
        <w:t xml:space="preserve"> Percentiles are mid-rank: the share of counties below Nicholas plus half of ties. The margin row ranks Democratic lean. Opposition records include the three instruments and one contested project this review found, all added to the platform's data on October 16; all other counties' records are as published. Demographic rows show the model inputs (ACS 2020-2024).</w:t>
      </w:r>
    </w:p>
  </w:footnote>
  <w:footnote w:id="5">
    <w:p>
      <w:pPr>
        <w:pStyle w:val="FootnoteText"/>
      </w:pPr>
      <w:r>
        <w:rPr>
          <w:rStyle w:val="FootnoteReference"/>
          <w:rFonts w:ascii="Georgia" w:hAnsi="Georgia"/>
          <w:sz w:val="16"/>
          <w:szCs w:val="16"/>
        </w:rPr>
        <w:footnoteRef/>
      </w:r>
      <w:r>
        <w:rPr>
          <w:rFonts w:ascii="Georgia" w:hAnsi="Georgia"/>
          <w:sz w:val="16"/>
          <w:szCs w:val="16"/>
        </w:rPr>
        <w:t xml:space="preserve"> Lift is the median cross-validated coefficient times Nicholas's standardized, transformed value, summed to 1.26 log-odds below an average county. Share of movement is each trait's absolute lift as a share of the total. Averages are on the model's log scale.</w:t>
      </w:r>
    </w:p>
  </w:footnote>
  <w:footnote w:id="6">
    <w:p>
      <w:pPr>
        <w:pStyle w:val="FootnoteText"/>
      </w:pPr>
      <w:r>
        <w:rPr>
          <w:rStyle w:val="FootnoteReference"/>
          <w:rFonts w:ascii="Georgia" w:hAnsi="Georgia"/>
          <w:sz w:val="16"/>
          <w:szCs w:val="16"/>
        </w:rPr>
        <w:footnoteRef/>
      </w:r>
      <w:r>
        <w:rPr>
          <w:rFonts w:ascii="Georgia" w:hAnsi="Georgia"/>
          <w:sz w:val="16"/>
          <w:szCs w:val="16"/>
        </w:rPr>
        <w:t xml:space="preserve"> The peers are Lake (TN), Wolfe, Bath and Elliott (KY), Johnson, Wheeler, Treutlen and Atkinson (GA), and Crawford and Switzerland (IN); Atkinson scores highest at 0.09.</w:t>
      </w:r>
    </w:p>
  </w:footnote>
  <w:footnote w:id="7">
    <w:p>
      <w:pPr>
        <w:pStyle w:val="FootnoteText"/>
      </w:pPr>
      <w:r>
        <w:rPr>
          <w:rStyle w:val="FootnoteReference"/>
          <w:rFonts w:ascii="Georgia" w:hAnsi="Georgia"/>
          <w:sz w:val="16"/>
          <w:szCs w:val="16"/>
        </w:rPr>
        <w:footnoteRef/>
      </w:r>
      <w:r>
        <w:rPr>
          <w:rFonts w:ascii="Georgia" w:hAnsi="Georgia"/>
          <w:sz w:val="16"/>
          <w:szCs w:val="16"/>
        </w:rPr>
        <w:t xml:space="preserve"> Scores describe county profiles, not restriction status. Harrison County has a solar ordinance on record (20-foot height limit, 100- and 200-foot setbacks) and adopted a two-year data-center moratorium on August 11, 2026; Fleming's opposition record is the 2014 Flemingsburg wind project. The Census adjacency list also names Montgomery County, which the platform's adjacency data omits; it has no restriction on record. Interconnection requests are from LBNL Queued Up (data through 2025); population is the ACS 2020-2024 model input.</w:t>
      </w:r>
    </w:p>
  </w:footnote>
  <w:footnote w:id="8">
    <w:p>
      <w:pPr>
        <w:pStyle w:val="FootnoteText"/>
      </w:pPr>
      <w:r>
        <w:rPr>
          <w:rStyle w:val="FootnoteReference"/>
          <w:rFonts w:ascii="Georgia" w:hAnsi="Georgia"/>
          <w:sz w:val="16"/>
          <w:szCs w:val="16"/>
        </w:rPr>
        <w:footnoteRef/>
      </w:r>
      <w:r>
        <w:rPr>
          <w:rFonts w:ascii="Georgia" w:hAnsi="Georgia"/>
          <w:sz w:val="16"/>
          <w:szCs w:val="16"/>
        </w:rPr>
        <w:t xml:space="preserve"> Distribution across 3,222 counties and county equivalents in the platform's published data as of October 13, 2026, before this review's additions for Nicholas.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E27473"/>
    <w:multiLevelType w:val="hybridMultilevel"/>
    <w:tmpl w:val="87FC4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5F0280"/>
    <w:multiLevelType w:val="hybridMultilevel"/>
    <w:tmpl w:val="D69EF024"/>
    <w:lvl w:ilvl="0" w:tplc="636EED78">
      <w:numFmt w:val="bullet"/>
      <w:lvlText w:val="-"/>
      <w:lvlJc w:val="left"/>
      <w:pPr>
        <w:ind w:left="720" w:hanging="360"/>
      </w:pPr>
      <w:rPr>
        <w:rFonts w:ascii="Georgia" w:eastAsiaTheme="minorHAnsi" w:hAnsi="Georgia" w:cs="Times New Roman (Body C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8C751A"/>
    <w:multiLevelType w:val="hybridMultilevel"/>
    <w:tmpl w:val="94949552"/>
    <w:lvl w:ilvl="0" w:tplc="636EED78">
      <w:numFmt w:val="bullet"/>
      <w:lvlText w:val="-"/>
      <w:lvlJc w:val="left"/>
      <w:pPr>
        <w:ind w:left="720" w:hanging="360"/>
      </w:pPr>
      <w:rPr>
        <w:rFonts w:ascii="Georgia" w:eastAsiaTheme="minorHAnsi" w:hAnsi="Georgia" w:cs="Times New Roman (Body C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D07E84"/>
    <w:multiLevelType w:val="multilevel"/>
    <w:tmpl w:val="E0EE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124721"/>
    <w:multiLevelType w:val="hybridMultilevel"/>
    <w:tmpl w:val="100CDE60"/>
    <w:lvl w:ilvl="0" w:tplc="A606D5D2">
      <w:start w:val="1"/>
      <w:numFmt w:val="bullet"/>
      <w:lvlText w:val="•"/>
      <w:lvlJc w:val="left"/>
      <w:pPr>
        <w:ind w:left="360" w:hanging="240"/>
      </w:pPr>
    </w:lvl>
    <w:lvl w:ilvl="1" w:tplc="6AB65CCE">
      <w:numFmt w:val="decimal"/>
      <w:lvlText w:val=""/>
      <w:lvlJc w:val="left"/>
    </w:lvl>
    <w:lvl w:ilvl="2" w:tplc="C9E0209E">
      <w:numFmt w:val="decimal"/>
      <w:lvlText w:val=""/>
      <w:lvlJc w:val="left"/>
    </w:lvl>
    <w:lvl w:ilvl="3" w:tplc="930EF30A">
      <w:numFmt w:val="decimal"/>
      <w:lvlText w:val=""/>
      <w:lvlJc w:val="left"/>
    </w:lvl>
    <w:lvl w:ilvl="4" w:tplc="8F6EE14E">
      <w:numFmt w:val="decimal"/>
      <w:lvlText w:val=""/>
      <w:lvlJc w:val="left"/>
    </w:lvl>
    <w:lvl w:ilvl="5" w:tplc="F93E6B34">
      <w:numFmt w:val="decimal"/>
      <w:lvlText w:val=""/>
      <w:lvlJc w:val="left"/>
    </w:lvl>
    <w:lvl w:ilvl="6" w:tplc="2BA8233C">
      <w:numFmt w:val="decimal"/>
      <w:lvlText w:val=""/>
      <w:lvlJc w:val="left"/>
    </w:lvl>
    <w:lvl w:ilvl="7" w:tplc="2C60DF98">
      <w:numFmt w:val="decimal"/>
      <w:lvlText w:val=""/>
      <w:lvlJc w:val="left"/>
    </w:lvl>
    <w:lvl w:ilvl="8" w:tplc="693A50F4">
      <w:numFmt w:val="decimal"/>
      <w:lvlText w:val=""/>
      <w:lvlJc w:val="left"/>
    </w:lvl>
  </w:abstractNum>
  <w:abstractNum w:abstractNumId="5" w15:restartNumberingAfterBreak="0">
    <w:nsid w:val="490D349E"/>
    <w:multiLevelType w:val="hybridMultilevel"/>
    <w:tmpl w:val="815E53C0"/>
    <w:lvl w:ilvl="0" w:tplc="636EED78">
      <w:numFmt w:val="bullet"/>
      <w:lvlText w:val="-"/>
      <w:lvlJc w:val="left"/>
      <w:pPr>
        <w:ind w:left="720" w:hanging="360"/>
      </w:pPr>
      <w:rPr>
        <w:rFonts w:ascii="Georgia" w:eastAsiaTheme="minorHAnsi" w:hAnsi="Georgia" w:cs="Times New Roman (Body C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B20698"/>
    <w:multiLevelType w:val="hybridMultilevel"/>
    <w:tmpl w:val="6060BC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676F54"/>
    <w:multiLevelType w:val="hybridMultilevel"/>
    <w:tmpl w:val="87962A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E6B7DAA"/>
    <w:multiLevelType w:val="hybridMultilevel"/>
    <w:tmpl w:val="55C4A09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9" w15:restartNumberingAfterBreak="0">
    <w:nsid w:val="6C996983"/>
    <w:multiLevelType w:val="hybridMultilevel"/>
    <w:tmpl w:val="3ACAA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B830B2"/>
    <w:multiLevelType w:val="hybridMultilevel"/>
    <w:tmpl w:val="7E46C3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1374107">
    <w:abstractNumId w:val="1"/>
  </w:num>
  <w:num w:numId="2" w16cid:durableId="1245800776">
    <w:abstractNumId w:val="5"/>
  </w:num>
  <w:num w:numId="3" w16cid:durableId="923958287">
    <w:abstractNumId w:val="2"/>
  </w:num>
  <w:num w:numId="4" w16cid:durableId="1241794666">
    <w:abstractNumId w:val="4"/>
    <w:lvlOverride w:ilvl="0">
      <w:startOverride w:val="1"/>
    </w:lvlOverride>
  </w:num>
  <w:num w:numId="5" w16cid:durableId="458647231">
    <w:abstractNumId w:val="10"/>
  </w:num>
  <w:num w:numId="6" w16cid:durableId="376003952">
    <w:abstractNumId w:val="7"/>
  </w:num>
  <w:num w:numId="7" w16cid:durableId="1015500443">
    <w:abstractNumId w:val="8"/>
  </w:num>
  <w:num w:numId="8" w16cid:durableId="1826436875">
    <w:abstractNumId w:val="9"/>
  </w:num>
  <w:num w:numId="9" w16cid:durableId="970406196">
    <w:abstractNumId w:val="6"/>
  </w:num>
  <w:num w:numId="10" w16cid:durableId="1817408200">
    <w:abstractNumId w:val="3"/>
  </w:num>
  <w:num w:numId="11" w16cid:durableId="1432436436">
    <w:abstractNumId w:val="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attachedTemplate r:id="rId1"/>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A71"/>
    <w:rsid w:val="000012E9"/>
    <w:rsid w:val="00002F26"/>
    <w:rsid w:val="00052238"/>
    <w:rsid w:val="00085F75"/>
    <w:rsid w:val="00090CAE"/>
    <w:rsid w:val="00096BB9"/>
    <w:rsid w:val="000A7153"/>
    <w:rsid w:val="000B12E5"/>
    <w:rsid w:val="000B441C"/>
    <w:rsid w:val="000C7D8E"/>
    <w:rsid w:val="000D7BE7"/>
    <w:rsid w:val="000F4CD3"/>
    <w:rsid w:val="00113839"/>
    <w:rsid w:val="001230C8"/>
    <w:rsid w:val="00135834"/>
    <w:rsid w:val="00151761"/>
    <w:rsid w:val="001609FA"/>
    <w:rsid w:val="0016389A"/>
    <w:rsid w:val="00171E89"/>
    <w:rsid w:val="0017333B"/>
    <w:rsid w:val="0017639D"/>
    <w:rsid w:val="0019490A"/>
    <w:rsid w:val="001B7BFF"/>
    <w:rsid w:val="001B7EE7"/>
    <w:rsid w:val="001D1E49"/>
    <w:rsid w:val="001D2E23"/>
    <w:rsid w:val="001D2F2A"/>
    <w:rsid w:val="001D70C3"/>
    <w:rsid w:val="001E07E3"/>
    <w:rsid w:val="001E4437"/>
    <w:rsid w:val="001F2412"/>
    <w:rsid w:val="00222018"/>
    <w:rsid w:val="0022433B"/>
    <w:rsid w:val="00230BBC"/>
    <w:rsid w:val="00232302"/>
    <w:rsid w:val="0023752F"/>
    <w:rsid w:val="00244403"/>
    <w:rsid w:val="00254C3D"/>
    <w:rsid w:val="00256E9E"/>
    <w:rsid w:val="00281113"/>
    <w:rsid w:val="002879A6"/>
    <w:rsid w:val="00297C73"/>
    <w:rsid w:val="002B17A6"/>
    <w:rsid w:val="002B59FB"/>
    <w:rsid w:val="002D282F"/>
    <w:rsid w:val="002F273C"/>
    <w:rsid w:val="003024A6"/>
    <w:rsid w:val="00305772"/>
    <w:rsid w:val="003149DB"/>
    <w:rsid w:val="00315204"/>
    <w:rsid w:val="00325C31"/>
    <w:rsid w:val="00351312"/>
    <w:rsid w:val="003536FA"/>
    <w:rsid w:val="00353B25"/>
    <w:rsid w:val="00360C26"/>
    <w:rsid w:val="00366813"/>
    <w:rsid w:val="00372230"/>
    <w:rsid w:val="0037774E"/>
    <w:rsid w:val="0038285C"/>
    <w:rsid w:val="00386D6F"/>
    <w:rsid w:val="003A414B"/>
    <w:rsid w:val="003A4C6E"/>
    <w:rsid w:val="003A79D4"/>
    <w:rsid w:val="003C2F3A"/>
    <w:rsid w:val="003E54D8"/>
    <w:rsid w:val="003E65D3"/>
    <w:rsid w:val="003F0268"/>
    <w:rsid w:val="003F63DD"/>
    <w:rsid w:val="003F7219"/>
    <w:rsid w:val="003F776A"/>
    <w:rsid w:val="004032BA"/>
    <w:rsid w:val="00421137"/>
    <w:rsid w:val="00427D3C"/>
    <w:rsid w:val="00436EC3"/>
    <w:rsid w:val="00437D46"/>
    <w:rsid w:val="00441F82"/>
    <w:rsid w:val="00444B01"/>
    <w:rsid w:val="0045202E"/>
    <w:rsid w:val="00485909"/>
    <w:rsid w:val="004A0AB0"/>
    <w:rsid w:val="004B4DDA"/>
    <w:rsid w:val="004D00A2"/>
    <w:rsid w:val="004D71AE"/>
    <w:rsid w:val="004F7D95"/>
    <w:rsid w:val="0050213D"/>
    <w:rsid w:val="00502D03"/>
    <w:rsid w:val="0051487E"/>
    <w:rsid w:val="00524567"/>
    <w:rsid w:val="00535A3A"/>
    <w:rsid w:val="00536359"/>
    <w:rsid w:val="00562B06"/>
    <w:rsid w:val="00566E7E"/>
    <w:rsid w:val="005946EE"/>
    <w:rsid w:val="0059707B"/>
    <w:rsid w:val="005A64AA"/>
    <w:rsid w:val="005E607B"/>
    <w:rsid w:val="005F1947"/>
    <w:rsid w:val="005F254D"/>
    <w:rsid w:val="005F5CC8"/>
    <w:rsid w:val="00600BA3"/>
    <w:rsid w:val="00603721"/>
    <w:rsid w:val="00606BAB"/>
    <w:rsid w:val="006153E0"/>
    <w:rsid w:val="00631444"/>
    <w:rsid w:val="00654EB7"/>
    <w:rsid w:val="0067378A"/>
    <w:rsid w:val="00673F23"/>
    <w:rsid w:val="00681325"/>
    <w:rsid w:val="00682077"/>
    <w:rsid w:val="0068292B"/>
    <w:rsid w:val="00682E3A"/>
    <w:rsid w:val="006905B6"/>
    <w:rsid w:val="006A46A4"/>
    <w:rsid w:val="006B175D"/>
    <w:rsid w:val="006C2016"/>
    <w:rsid w:val="006C7750"/>
    <w:rsid w:val="006D0599"/>
    <w:rsid w:val="006D09F1"/>
    <w:rsid w:val="006D4F6F"/>
    <w:rsid w:val="006E5581"/>
    <w:rsid w:val="006F1DB8"/>
    <w:rsid w:val="007009B1"/>
    <w:rsid w:val="0070408E"/>
    <w:rsid w:val="007368F1"/>
    <w:rsid w:val="00741AD8"/>
    <w:rsid w:val="00762DBE"/>
    <w:rsid w:val="0076316F"/>
    <w:rsid w:val="00764B87"/>
    <w:rsid w:val="00774CBA"/>
    <w:rsid w:val="0077666F"/>
    <w:rsid w:val="00781A16"/>
    <w:rsid w:val="00782FBC"/>
    <w:rsid w:val="00782FC5"/>
    <w:rsid w:val="007907BB"/>
    <w:rsid w:val="007918FA"/>
    <w:rsid w:val="007A4695"/>
    <w:rsid w:val="007C0C31"/>
    <w:rsid w:val="007D1DB2"/>
    <w:rsid w:val="007E0B30"/>
    <w:rsid w:val="007E70F5"/>
    <w:rsid w:val="007F4D65"/>
    <w:rsid w:val="007F79B2"/>
    <w:rsid w:val="00804A65"/>
    <w:rsid w:val="0081084B"/>
    <w:rsid w:val="00810B1E"/>
    <w:rsid w:val="0081191E"/>
    <w:rsid w:val="0081428A"/>
    <w:rsid w:val="00855F85"/>
    <w:rsid w:val="00857BCA"/>
    <w:rsid w:val="0086257C"/>
    <w:rsid w:val="008B301E"/>
    <w:rsid w:val="008B51A6"/>
    <w:rsid w:val="008C06CC"/>
    <w:rsid w:val="008C1C1D"/>
    <w:rsid w:val="008C1F31"/>
    <w:rsid w:val="008D5C9C"/>
    <w:rsid w:val="008E4058"/>
    <w:rsid w:val="008F5562"/>
    <w:rsid w:val="0092327A"/>
    <w:rsid w:val="00927688"/>
    <w:rsid w:val="009322D0"/>
    <w:rsid w:val="009322E5"/>
    <w:rsid w:val="00933D58"/>
    <w:rsid w:val="00934070"/>
    <w:rsid w:val="00943251"/>
    <w:rsid w:val="00946EDE"/>
    <w:rsid w:val="0094796A"/>
    <w:rsid w:val="00973ECB"/>
    <w:rsid w:val="00977CF3"/>
    <w:rsid w:val="00995CF6"/>
    <w:rsid w:val="009B36E0"/>
    <w:rsid w:val="009B768F"/>
    <w:rsid w:val="009C0FA9"/>
    <w:rsid w:val="009D6343"/>
    <w:rsid w:val="009E40AB"/>
    <w:rsid w:val="009F060D"/>
    <w:rsid w:val="009F3E72"/>
    <w:rsid w:val="00A20284"/>
    <w:rsid w:val="00A2048C"/>
    <w:rsid w:val="00A26C4B"/>
    <w:rsid w:val="00A32B01"/>
    <w:rsid w:val="00A40E58"/>
    <w:rsid w:val="00A478B1"/>
    <w:rsid w:val="00A5124A"/>
    <w:rsid w:val="00A51947"/>
    <w:rsid w:val="00A659D2"/>
    <w:rsid w:val="00A717D9"/>
    <w:rsid w:val="00AC6429"/>
    <w:rsid w:val="00AC6DB0"/>
    <w:rsid w:val="00AC79EE"/>
    <w:rsid w:val="00AE3F1E"/>
    <w:rsid w:val="00AF7CD5"/>
    <w:rsid w:val="00B01277"/>
    <w:rsid w:val="00B16AAC"/>
    <w:rsid w:val="00B35035"/>
    <w:rsid w:val="00B35633"/>
    <w:rsid w:val="00B41355"/>
    <w:rsid w:val="00B43043"/>
    <w:rsid w:val="00B5658B"/>
    <w:rsid w:val="00B71D88"/>
    <w:rsid w:val="00B76A19"/>
    <w:rsid w:val="00B80367"/>
    <w:rsid w:val="00B828C1"/>
    <w:rsid w:val="00B84FF7"/>
    <w:rsid w:val="00B8777C"/>
    <w:rsid w:val="00B901F6"/>
    <w:rsid w:val="00B92891"/>
    <w:rsid w:val="00BA6CCD"/>
    <w:rsid w:val="00BB1D70"/>
    <w:rsid w:val="00BC457E"/>
    <w:rsid w:val="00BC4682"/>
    <w:rsid w:val="00C04B27"/>
    <w:rsid w:val="00C30E19"/>
    <w:rsid w:val="00C3419A"/>
    <w:rsid w:val="00C43374"/>
    <w:rsid w:val="00C46EB1"/>
    <w:rsid w:val="00C55A5B"/>
    <w:rsid w:val="00C6564F"/>
    <w:rsid w:val="00C70FD9"/>
    <w:rsid w:val="00C8078C"/>
    <w:rsid w:val="00C80FD4"/>
    <w:rsid w:val="00C85479"/>
    <w:rsid w:val="00C87DD1"/>
    <w:rsid w:val="00C90703"/>
    <w:rsid w:val="00C916B3"/>
    <w:rsid w:val="00C92288"/>
    <w:rsid w:val="00C92881"/>
    <w:rsid w:val="00CA3656"/>
    <w:rsid w:val="00CA7AD7"/>
    <w:rsid w:val="00CB197C"/>
    <w:rsid w:val="00CB5A71"/>
    <w:rsid w:val="00CC661E"/>
    <w:rsid w:val="00CD29AB"/>
    <w:rsid w:val="00CE07F4"/>
    <w:rsid w:val="00CF3151"/>
    <w:rsid w:val="00CF49F8"/>
    <w:rsid w:val="00CF718E"/>
    <w:rsid w:val="00D01257"/>
    <w:rsid w:val="00D053BB"/>
    <w:rsid w:val="00D06907"/>
    <w:rsid w:val="00D1663B"/>
    <w:rsid w:val="00D319FB"/>
    <w:rsid w:val="00D36DF2"/>
    <w:rsid w:val="00D604AC"/>
    <w:rsid w:val="00D72797"/>
    <w:rsid w:val="00D755BB"/>
    <w:rsid w:val="00D759AE"/>
    <w:rsid w:val="00D80AA0"/>
    <w:rsid w:val="00D93498"/>
    <w:rsid w:val="00DA2F6A"/>
    <w:rsid w:val="00DC071F"/>
    <w:rsid w:val="00DC2D18"/>
    <w:rsid w:val="00DC3405"/>
    <w:rsid w:val="00DC41BC"/>
    <w:rsid w:val="00DD559E"/>
    <w:rsid w:val="00DE7F9A"/>
    <w:rsid w:val="00DF69A2"/>
    <w:rsid w:val="00E01CF9"/>
    <w:rsid w:val="00E11A44"/>
    <w:rsid w:val="00E17935"/>
    <w:rsid w:val="00E53061"/>
    <w:rsid w:val="00E606C4"/>
    <w:rsid w:val="00E63B5E"/>
    <w:rsid w:val="00E75C0B"/>
    <w:rsid w:val="00E869A2"/>
    <w:rsid w:val="00EB0F28"/>
    <w:rsid w:val="00EB227A"/>
    <w:rsid w:val="00EC2376"/>
    <w:rsid w:val="00EC440A"/>
    <w:rsid w:val="00F0773E"/>
    <w:rsid w:val="00F13948"/>
    <w:rsid w:val="00F1419F"/>
    <w:rsid w:val="00F34435"/>
    <w:rsid w:val="00F42C89"/>
    <w:rsid w:val="00F46547"/>
    <w:rsid w:val="00F5109A"/>
    <w:rsid w:val="00F579FB"/>
    <w:rsid w:val="00F6581C"/>
    <w:rsid w:val="00F75545"/>
    <w:rsid w:val="00FA2A8A"/>
    <w:rsid w:val="00FA411E"/>
    <w:rsid w:val="00FA7C31"/>
    <w:rsid w:val="00FB1202"/>
    <w:rsid w:val="00FB393A"/>
    <w:rsid w:val="00FB5246"/>
    <w:rsid w:val="00FB5E6E"/>
    <w:rsid w:val="00FC34EA"/>
    <w:rsid w:val="00FD24B0"/>
    <w:rsid w:val="00FD39C1"/>
    <w:rsid w:val="00FD40BF"/>
    <w:rsid w:val="00FD792F"/>
    <w:rsid w:val="00FE42D6"/>
    <w:rsid w:val="2FE551D2"/>
    <w:rsid w:val="5394C88E"/>
    <w:rsid w:val="6E9AA6B9"/>
    <w:rsid w:val="7E704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6F812"/>
  <w15:chartTrackingRefBased/>
  <w15:docId w15:val="{942C1725-115D-7B44-83C7-A1B548326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HAnsi" w:hAnsi="Georgia" w:cs="Times New Roman (Body CS)"/>
        <w:color w:val="196B24" w:themeColor="accent3"/>
        <w:kern w:val="2"/>
        <w:sz w:val="44"/>
        <w:szCs w:val="3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6FA"/>
    <w:rPr>
      <w:color w:val="auto"/>
      <w:sz w:val="24"/>
      <w:szCs w:val="24"/>
    </w:rPr>
  </w:style>
  <w:style w:type="paragraph" w:styleId="Heading1">
    <w:name w:val="heading 1"/>
    <w:basedOn w:val="Normal"/>
    <w:next w:val="Normal"/>
    <w:link w:val="Heading1Char"/>
    <w:uiPriority w:val="9"/>
    <w:qFormat/>
    <w:rsid w:val="003536FA"/>
    <w:pPr>
      <w:keepNext/>
      <w:keepLines/>
      <w:spacing w:before="240"/>
      <w:outlineLvl w:val="0"/>
    </w:pPr>
    <w:rPr>
      <w:rFonts w:eastAsiaTheme="majorEastAsia" w:cstheme="majorBidi"/>
      <w:color w:val="124F1A" w:themeColor="accent3" w:themeShade="BF"/>
      <w:sz w:val="36"/>
      <w:szCs w:val="36"/>
    </w:rPr>
  </w:style>
  <w:style w:type="paragraph" w:styleId="Heading2">
    <w:name w:val="heading 2"/>
    <w:basedOn w:val="Normal"/>
    <w:next w:val="Normal"/>
    <w:link w:val="Heading2Char"/>
    <w:uiPriority w:val="9"/>
    <w:unhideWhenUsed/>
    <w:qFormat/>
    <w:rsid w:val="003536FA"/>
    <w:pPr>
      <w:keepNext/>
      <w:keepLines/>
      <w:spacing w:before="40"/>
      <w:outlineLvl w:val="1"/>
    </w:pPr>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rsid w:val="003536FA"/>
    <w:pPr>
      <w:keepNext/>
      <w:keepLines/>
      <w:spacing w:before="40"/>
      <w:outlineLvl w:val="2"/>
    </w:pPr>
    <w:rPr>
      <w:rFonts w:eastAsiaTheme="majorEastAsia" w:cstheme="majorBidi"/>
      <w:b/>
      <w:bCs/>
      <w:color w:val="BF4E14" w:themeColor="accent2" w:themeShade="BF"/>
      <w:sz w:val="26"/>
      <w:szCs w:val="26"/>
    </w:rPr>
  </w:style>
  <w:style w:type="paragraph" w:styleId="Heading4">
    <w:name w:val="heading 4"/>
    <w:basedOn w:val="Normal"/>
    <w:next w:val="Normal"/>
    <w:link w:val="Heading4Char"/>
    <w:uiPriority w:val="9"/>
    <w:unhideWhenUsed/>
    <w:qFormat/>
    <w:rsid w:val="003536FA"/>
    <w:pPr>
      <w:keepNext/>
      <w:keepLines/>
      <w:spacing w:before="4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81A1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81A1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81A1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81A1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81A1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6FA"/>
    <w:rPr>
      <w:rFonts w:eastAsiaTheme="majorEastAsia" w:cstheme="majorBidi"/>
      <w:color w:val="124F1A" w:themeColor="accent3" w:themeShade="BF"/>
      <w:sz w:val="36"/>
      <w:szCs w:val="36"/>
    </w:rPr>
  </w:style>
  <w:style w:type="character" w:customStyle="1" w:styleId="Heading2Char">
    <w:name w:val="Heading 2 Char"/>
    <w:basedOn w:val="DefaultParagraphFont"/>
    <w:link w:val="Heading2"/>
    <w:uiPriority w:val="9"/>
    <w:rsid w:val="003536FA"/>
    <w:rPr>
      <w:rFonts w:eastAsiaTheme="majorEastAsia" w:cstheme="majorBidi"/>
      <w:color w:val="0F4761" w:themeColor="accent1" w:themeShade="BF"/>
      <w:sz w:val="28"/>
      <w:szCs w:val="28"/>
    </w:rPr>
  </w:style>
  <w:style w:type="character" w:customStyle="1" w:styleId="Heading3Char">
    <w:name w:val="Heading 3 Char"/>
    <w:basedOn w:val="DefaultParagraphFont"/>
    <w:link w:val="Heading3"/>
    <w:uiPriority w:val="9"/>
    <w:rsid w:val="003536FA"/>
    <w:rPr>
      <w:rFonts w:eastAsiaTheme="majorEastAsia" w:cstheme="majorBidi"/>
      <w:b/>
      <w:bCs/>
      <w:color w:val="BF4E14" w:themeColor="accent2" w:themeShade="BF"/>
      <w:sz w:val="26"/>
      <w:szCs w:val="26"/>
    </w:rPr>
  </w:style>
  <w:style w:type="character" w:customStyle="1" w:styleId="Heading4Char">
    <w:name w:val="Heading 4 Char"/>
    <w:basedOn w:val="DefaultParagraphFont"/>
    <w:link w:val="Heading4"/>
    <w:uiPriority w:val="9"/>
    <w:rsid w:val="003536FA"/>
    <w:rPr>
      <w:rFonts w:asciiTheme="majorHAnsi" w:eastAsiaTheme="majorEastAsia" w:hAnsiTheme="maj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sid w:val="00781A16"/>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781A16"/>
    <w:rPr>
      <w:rFonts w:asciiTheme="minorHAnsi" w:eastAsiaTheme="majorEastAsia" w:hAnsiTheme="minorHAnsi"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781A16"/>
    <w:rPr>
      <w:rFonts w:asciiTheme="minorHAnsi" w:eastAsiaTheme="majorEastAsia" w:hAnsiTheme="min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781A16"/>
    <w:rPr>
      <w:rFonts w:asciiTheme="minorHAnsi" w:eastAsiaTheme="majorEastAsia" w:hAnsiTheme="minorHAnsi"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781A16"/>
    <w:rPr>
      <w:rFonts w:asciiTheme="minorHAnsi" w:eastAsiaTheme="majorEastAsia" w:hAnsiTheme="minorHAnsi" w:cstheme="majorBidi"/>
      <w:color w:val="272727" w:themeColor="text1" w:themeTint="D8"/>
      <w:sz w:val="24"/>
      <w:szCs w:val="24"/>
    </w:rPr>
  </w:style>
  <w:style w:type="paragraph" w:styleId="Title">
    <w:name w:val="Title"/>
    <w:basedOn w:val="Normal"/>
    <w:next w:val="Normal"/>
    <w:link w:val="TitleChar"/>
    <w:uiPriority w:val="10"/>
    <w:qFormat/>
    <w:rsid w:val="00781A1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A16"/>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781A1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A1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81A1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81A16"/>
    <w:rPr>
      <w:i/>
      <w:iCs/>
      <w:color w:val="404040" w:themeColor="text1" w:themeTint="BF"/>
      <w:sz w:val="24"/>
      <w:szCs w:val="24"/>
    </w:rPr>
  </w:style>
  <w:style w:type="paragraph" w:styleId="ListParagraph">
    <w:name w:val="List Paragraph"/>
    <w:basedOn w:val="Normal"/>
    <w:qFormat/>
    <w:rsid w:val="00781A16"/>
    <w:pPr>
      <w:ind w:left="720"/>
      <w:contextualSpacing/>
    </w:pPr>
  </w:style>
  <w:style w:type="character" w:styleId="IntenseEmphasis">
    <w:name w:val="Intense Emphasis"/>
    <w:basedOn w:val="DefaultParagraphFont"/>
    <w:uiPriority w:val="21"/>
    <w:qFormat/>
    <w:rsid w:val="00781A16"/>
    <w:rPr>
      <w:i/>
      <w:iCs/>
      <w:color w:val="0F4761" w:themeColor="accent1" w:themeShade="BF"/>
    </w:rPr>
  </w:style>
  <w:style w:type="paragraph" w:styleId="IntenseQuote">
    <w:name w:val="Intense Quote"/>
    <w:basedOn w:val="Normal"/>
    <w:next w:val="Normal"/>
    <w:link w:val="IntenseQuoteChar"/>
    <w:uiPriority w:val="30"/>
    <w:qFormat/>
    <w:rsid w:val="00781A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A16"/>
    <w:rPr>
      <w:i/>
      <w:iCs/>
      <w:color w:val="0F4761" w:themeColor="accent1" w:themeShade="BF"/>
      <w:sz w:val="24"/>
      <w:szCs w:val="24"/>
    </w:rPr>
  </w:style>
  <w:style w:type="character" w:styleId="IntenseReference">
    <w:name w:val="Intense Reference"/>
    <w:basedOn w:val="DefaultParagraphFont"/>
    <w:uiPriority w:val="32"/>
    <w:qFormat/>
    <w:rsid w:val="00781A16"/>
    <w:rPr>
      <w:b/>
      <w:bCs/>
      <w:smallCaps/>
      <w:color w:val="0F4761" w:themeColor="accent1" w:themeShade="BF"/>
      <w:spacing w:val="5"/>
    </w:rPr>
  </w:style>
  <w:style w:type="character" w:styleId="Hyperlink">
    <w:name w:val="Hyperlink"/>
    <w:uiPriority w:val="99"/>
    <w:unhideWhenUsed/>
    <w:rsid w:val="00781A16"/>
    <w:rPr>
      <w:color w:val="0563C1"/>
      <w:u w:val="single"/>
    </w:rPr>
  </w:style>
  <w:style w:type="paragraph" w:styleId="NoSpacing">
    <w:name w:val="No Spacing"/>
    <w:uiPriority w:val="1"/>
    <w:qFormat/>
    <w:rsid w:val="00973ECB"/>
    <w:rPr>
      <w:color w:val="auto"/>
      <w:sz w:val="24"/>
      <w:szCs w:val="24"/>
    </w:rPr>
  </w:style>
  <w:style w:type="paragraph" w:styleId="FootnoteText">
    <w:name w:val="footnote text"/>
    <w:basedOn w:val="Normal"/>
    <w:link w:val="FootnoteTextChar"/>
    <w:uiPriority w:val="99"/>
    <w:semiHidden/>
    <w:unhideWhenUsed/>
    <w:rsid w:val="00E11A44"/>
    <w:rPr>
      <w:rFonts w:ascii="Arial" w:eastAsia="Arial" w:hAnsi="Arial" w:cs="Arial"/>
      <w:kern w:val="0"/>
      <w:sz w:val="20"/>
      <w:szCs w:val="20"/>
      <w14:ligatures w14:val="none"/>
    </w:rPr>
  </w:style>
  <w:style w:type="character" w:customStyle="1" w:styleId="FootnoteTextChar">
    <w:name w:val="Footnote Text Char"/>
    <w:basedOn w:val="DefaultParagraphFont"/>
    <w:link w:val="FootnoteText"/>
    <w:uiPriority w:val="99"/>
    <w:semiHidden/>
    <w:rsid w:val="00E11A44"/>
    <w:rPr>
      <w:rFonts w:ascii="Arial" w:eastAsia="Arial" w:hAnsi="Arial" w:cs="Arial"/>
      <w:color w:val="auto"/>
      <w:kern w:val="0"/>
      <w:sz w:val="20"/>
      <w:szCs w:val="20"/>
      <w14:ligatures w14:val="none"/>
    </w:rPr>
  </w:style>
  <w:style w:type="character" w:styleId="FootnoteReference">
    <w:name w:val="footnote reference"/>
    <w:basedOn w:val="DefaultParagraphFont"/>
    <w:uiPriority w:val="99"/>
    <w:semiHidden/>
    <w:unhideWhenUsed/>
    <w:rsid w:val="00E11A44"/>
    <w:rPr>
      <w:vertAlign w:val="superscript"/>
    </w:rPr>
  </w:style>
  <w:style w:type="paragraph" w:styleId="Header">
    <w:name w:val="header"/>
    <w:basedOn w:val="Normal"/>
    <w:link w:val="HeaderChar"/>
    <w:uiPriority w:val="99"/>
    <w:unhideWhenUsed/>
    <w:rsid w:val="007009B1"/>
    <w:pPr>
      <w:tabs>
        <w:tab w:val="center" w:pos="4680"/>
        <w:tab w:val="right" w:pos="9360"/>
      </w:tabs>
    </w:pPr>
  </w:style>
  <w:style w:type="character" w:customStyle="1" w:styleId="HeaderChar">
    <w:name w:val="Header Char"/>
    <w:basedOn w:val="DefaultParagraphFont"/>
    <w:link w:val="Header"/>
    <w:uiPriority w:val="99"/>
    <w:rsid w:val="007009B1"/>
    <w:rPr>
      <w:color w:val="auto"/>
      <w:sz w:val="24"/>
      <w:szCs w:val="24"/>
    </w:rPr>
  </w:style>
  <w:style w:type="paragraph" w:styleId="Footer">
    <w:name w:val="footer"/>
    <w:basedOn w:val="Normal"/>
    <w:link w:val="FooterChar"/>
    <w:uiPriority w:val="99"/>
    <w:unhideWhenUsed/>
    <w:rsid w:val="007009B1"/>
    <w:pPr>
      <w:tabs>
        <w:tab w:val="center" w:pos="4680"/>
        <w:tab w:val="right" w:pos="9360"/>
      </w:tabs>
    </w:pPr>
  </w:style>
  <w:style w:type="character" w:customStyle="1" w:styleId="FooterChar">
    <w:name w:val="Footer Char"/>
    <w:basedOn w:val="DefaultParagraphFont"/>
    <w:link w:val="Footer"/>
    <w:uiPriority w:val="99"/>
    <w:rsid w:val="007009B1"/>
    <w:rPr>
      <w:color w:val="auto"/>
      <w:sz w:val="24"/>
      <w:szCs w:val="24"/>
    </w:rPr>
  </w:style>
  <w:style w:type="character" w:styleId="PageNumber">
    <w:name w:val="page number"/>
    <w:basedOn w:val="DefaultParagraphFont"/>
    <w:uiPriority w:val="99"/>
    <w:semiHidden/>
    <w:unhideWhenUsed/>
    <w:rsid w:val="00C04B27"/>
  </w:style>
  <w:style w:type="character" w:styleId="FollowedHyperlink">
    <w:name w:val="FollowedHyperlink"/>
    <w:basedOn w:val="DefaultParagraphFont"/>
    <w:uiPriority w:val="99"/>
    <w:semiHidden/>
    <w:unhideWhenUsed/>
    <w:rsid w:val="00DC2D18"/>
    <w:rPr>
      <w:color w:val="96607D" w:themeColor="followedHyperlink"/>
      <w:u w:val="single"/>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color w:val="auto"/>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8D5C9C"/>
    <w:rPr>
      <w:b/>
      <w:bCs/>
    </w:rPr>
  </w:style>
  <w:style w:type="character" w:customStyle="1" w:styleId="CommentSubjectChar">
    <w:name w:val="Comment Subject Char"/>
    <w:basedOn w:val="CommentTextChar"/>
    <w:link w:val="CommentSubject"/>
    <w:uiPriority w:val="99"/>
    <w:semiHidden/>
    <w:rsid w:val="008D5C9C"/>
    <w:rPr>
      <w:b/>
      <w:bCs/>
      <w:color w:val="auto"/>
      <w:sz w:val="20"/>
      <w:szCs w:val="20"/>
    </w:rPr>
  </w:style>
  <w:style w:type="paragraph" w:styleId="Revision">
    <w:name w:val="Revision"/>
    <w:hidden/>
    <w:uiPriority w:val="99"/>
    <w:semiHidden/>
    <w:rsid w:val="008D5C9C"/>
    <w:rPr>
      <w:color w:val="auto"/>
      <w:sz w:val="24"/>
      <w:szCs w:val="24"/>
    </w:rPr>
  </w:style>
  <w:style w:type="character" w:styleId="UnresolvedMention">
    <w:name w:val="Unresolved Mention"/>
    <w:basedOn w:val="DefaultParagraphFont"/>
    <w:uiPriority w:val="99"/>
    <w:semiHidden/>
    <w:unhideWhenUsed/>
    <w:rsid w:val="000B441C"/>
    <w:rPr>
      <w:color w:val="605E5C"/>
      <w:shd w:val="clear" w:color="auto" w:fill="E1DFDD"/>
    </w:rPr>
  </w:style>
  <w:style w:type="table" w:styleId="PlainTable5">
    <w:name w:val="Plain Table 5"/>
    <w:basedOn w:val="TableNormal"/>
    <w:uiPriority w:val="45"/>
    <w:rsid w:val="006905B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49" Type="http://schemas.openxmlformats.org/officeDocument/2006/relationships/footer" Target="footer1.xml"/><Relationship Id="rId5" Type="http://schemas.openxmlformats.org/officeDocument/2006/relationships/webSettings" Target="webSettings.xml"/><Relationship Id="rId15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1"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3" Type="http://schemas.openxmlformats.org/officeDocument/2006/relationships/styles" Target="styles.xml"/><Relationship Id="rId153" Type="http://schemas.openxmlformats.org/officeDocument/2006/relationships/theme" Target="theme/theme1.xml"/><Relationship Id="rId4" Type="http://schemas.openxmlformats.org/officeDocument/2006/relationships/settings" Target="settings.xml"/><Relationship Id="rId8" Type="http://schemas.openxmlformats.org/officeDocument/2006/relationships/image" Target="media/image6.png"/><Relationship Id="rId9" Type="http://schemas.openxmlformats.org/officeDocument/2006/relationships/hyperlink" Target="https://www2.census.gov/programs-surveys/popest/datasets/2020-2025/counties/totals/co-est2025-alldata.csv" TargetMode="External"/><Relationship Id="rId10" Type="http://schemas.openxmlformats.org/officeDocument/2006/relationships/hyperlink" Target="https://electionlab.mit.edu/data" TargetMode="External"/><Relationship Id="rId11" Type="http://schemas.openxmlformats.org/officeDocument/2006/relationships/hyperlink" Target="https://www.nass.usda.gov/Publications/AgCensus/2022/Online_Resources/County_Profiles/Kentucky/cp21181.pdf" TargetMode="External"/><Relationship Id="rId12" Type="http://schemas.openxmlformats.org/officeDocument/2006/relationships/hyperlink" Target="https://psc.ky.gov/pscscf/2026%20cases/2026-00256/Public%20Comments//20261012_PSC%20Response%20E-Mail%20to%20Nicholas%20County%20Attorney.pdf" TargetMode="External"/><Relationship Id="rId13" Type="http://schemas.openxmlformats.org/officeDocument/2006/relationships/hyperlink" Target="https://kynewsgroup.com/TCM-08-26-26.pdf" TargetMode="External"/><Relationship Id="rId14" Type="http://schemas.openxmlformats.org/officeDocument/2006/relationships/hyperlink" Target="https://psc.ky.gov/pscecf/2025-00311/jacob.watson@ekpc.coop/12172025040148/EKPC_Responses_to_PSC_DR1.pdf" TargetMode="External"/><Relationship Id="rId15" Type="http://schemas.openxmlformats.org/officeDocument/2006/relationships/hyperlink" Target="https://www.datacenterdynamics.com/en/news/2000-acre-land-parcel-rezoned-for-data-center-use-in-mason-county-kentucky/" TargetMode="External"/><Relationship Id="rId16" Type="http://schemas.openxmlformats.org/officeDocument/2006/relationships/hyperlink" Target="https://solarquarter.com/2026/04/08/heelstone-renewable-energy-part-of-qualitas-energy-secures-funding-and-starts-building-two-u-s-solar-pv-projects-for-hyperscale-data-center-client/" TargetMode="External"/><Relationship Id="rId17" Type="http://schemas.openxmlformats.org/officeDocument/2006/relationships/hyperlink" Target="https://psc.ky.gov/pscscf/Post%20Case%20Referenced%20Correspondence/2021%20cases/2021-00141//20240926_Harrison%20Fiscal%20Court%20Response%20to%20Bluebird%20Solar%20LLC%20Motion.pdf" TargetMode="External"/><Relationship Id="rId18" Type="http://schemas.openxmlformats.org/officeDocument/2006/relationships/hyperlink" Target="https://kynewsgroup.com/tcm121725.pdf" TargetMode="External"/><Relationship Id="rId19" Type="http://schemas.openxmlformats.org/officeDocument/2006/relationships/hyperlink" Target="https://kynewsgroup.com/tcm061726.pdf" TargetMode="External"/><Relationship Id="rId20" Type="http://schemas.openxmlformats.org/officeDocument/2006/relationships/hyperlink" Target="https://kynewsgroup.com/tcm071526.pdf" TargetMode="External"/><Relationship Id="rId21" Type="http://schemas.openxmlformats.org/officeDocument/2006/relationships/hyperlink" Target="https://kynewsgroup.com/TCM-09-16-26.pdf" TargetMode="External"/><Relationship Id="rId22" Type="http://schemas.openxmlformats.org/officeDocument/2006/relationships/hyperlink" Target="https://kynewsgroup.com/TCM-09-23-26.pdf" TargetMode="External"/><Relationship Id="rId23" Type="http://schemas.openxmlformats.org/officeDocument/2006/relationships/hyperlink" Target="https://psc.ky.gov/pscecf/2026-00256/jpinney%40sturgillturner.com/09252026035355/2026-00256_South_Fork_Solar_NOI.pdf" TargetMode="External"/><Relationship Id="rId24" Type="http://schemas.openxmlformats.org/officeDocument/2006/relationships/hyperlink" Target="https://psc.ky.gov/pscscf/2026%20Cases/2026-00256//20261002_PSC_ORDER.pdf" TargetMode="External"/><Relationship Id="rId25" Type="http://schemas.openxmlformats.org/officeDocument/2006/relationships/hyperlink" Target="https://psc.ky.gov/pscscf/2026%20cases/2026-00256//20261015_Notice%20of%20Filing%20Letter%20to%20Governor%20Beshear%20Requesting%20Ad%20Hoc%20Appointment%20into%20the%20Record.pdf" TargetMode="External"/><Relationship Id="rId26" Type="http://schemas.openxmlformats.org/officeDocument/2006/relationships/hyperlink" Target="https://www.messenger-inquirer.com/breck_herald/news/court-of-appeals-overturns-county-solar-ordinance/article_2d11a8f4-cb2b-5f06-b69d-0018365e6284.html" TargetMode="External"/><Relationship Id="rId27" Type="http://schemas.openxmlformats.org/officeDocument/2006/relationships/hyperlink" Target="https://kaco.org/articles/lawmakers-review-local-authority-for-solar-projects-coroner-compensation/" TargetMode="External"/><Relationship Id="rId28" Type="http://schemas.openxmlformats.org/officeDocument/2006/relationships/hyperlink" Target="https://psc.ky.gov/Case/ViewCaseFilings/2026-00256" TargetMode="External"/><Relationship Id="rId29" Type="http://schemas.openxmlformats.org/officeDocument/2006/relationships/hyperlink" Target="https://www.interconnection.fyi/project/pjm-c01-1061" TargetMode="External"/><Relationship Id="rId30" Type="http://schemas.openxmlformats.org/officeDocument/2006/relationships/hyperlink" Target="https://elect.ky.gov/results/2020-2029/2022ElectionReports/GeneralRecaps/Nicholas%20County.pdf" TargetMode="External"/><Relationship Id="rId31" Type="http://schemas.openxmlformats.org/officeDocument/2006/relationships/hyperlink" Target="https://web.sos.ky.gov/CandidateFilings/countyfilings.aspx" TargetMode="External"/><Relationship Id="rId32" Type="http://schemas.openxmlformats.org/officeDocument/2006/relationships/hyperlink" Target="https://apps.legislature.ky.gov/record/26rs/hb677.html" TargetMode="External"/><Relationship Id="rId33" Type="http://schemas.openxmlformats.org/officeDocument/2006/relationships/hyperlink" Target="https://fbtgibbons.com/another-year-another-round-of-changes-to-renewable-energy-siting-and-battery-storage-bess-regulation-in-kentucky/" TargetMode="External"/><Relationship Id="rId34" Type="http://schemas.openxmlformats.org/officeDocument/2006/relationships/hyperlink" Target="https://www.wkms.org/2026-04-15/kentucky-data-center-regulations-stripped-from-bill-as-legislative-session-closes" TargetMode="External"/><Relationship Id="rId35" Type="http://schemas.openxmlformats.org/officeDocument/2006/relationships/hyperlink" Target="https://www.news-graphic.com/harrison_county/data-center-moratorium-approved/article_673addee-2c4b-4a8b-b8fa-5ed7fb229d5a.html" TargetMode="External"/><Relationship Id="rId36" Type="http://schemas.openxmlformats.org/officeDocument/2006/relationships/hyperlink" Target="https://www.wkyt.com/2026/07/29/harrison-county-leaders-hear-public-opposition-data-centers-ahead-moratorium-vote/" TargetMode="External"/><Relationship Id="rId37" Type="http://schemas.openxmlformats.org/officeDocument/2006/relationships/hyperlink" Target="https://spectrumnews1.com/ky/louisville/news/2026/07/09/kentucky-counties-weigh-data-center-growth-as-moratoriums-spread" TargetMode="External"/><Relationship Id="rId38" Type="http://schemas.openxmlformats.org/officeDocument/2006/relationships/hyperlink" Target="https://psc.ky.gov/pscecf/2026-00256/jpinney%40sturgillturner.com/09252026035355/2026-00256_Motion_for_deviation_.pdf" TargetMode="External"/><Relationship Id="rId39" Type="http://schemas.openxmlformats.org/officeDocument/2006/relationships/hyperlink" Target="https://www.interconnection.fyi/project/pjm-ah1-570" TargetMode="External"/><Relationship Id="rId40" Type="http://schemas.openxmlformats.org/officeDocument/2006/relationships/hyperlink" Target="https://pv-magazine.com/press-releases/qualitas-energy-acquires-heelstone-a-us-renewable-energy-company-from-ares-management" TargetMode="External"/><Relationship Id="rId41" Type="http://schemas.openxmlformats.org/officeDocument/2006/relationships/hyperlink" Target="https://www.ekpc.coop/our-owner-member-cooperatives" TargetMode="External"/><Relationship Id="rId42" Type="http://schemas.openxmlformats.org/officeDocument/2006/relationships/hyperlink" Target="https://psc.ky.gov/Case/ViewCaseFilings/2020-00370" TargetMode="External"/><Relationship Id="rId43" Type="http://schemas.openxmlformats.org/officeDocument/2006/relationships/hyperlink" Target="https://psc.ky.gov/Case/ViewCaseFilings/2022-00272" TargetMode="External"/><Relationship Id="rId44" Type="http://schemas.openxmlformats.org/officeDocument/2006/relationships/hyperlink" Target="https://elect.ky.gov/results/2020-2029/2026ElectionReports/PrimaryRecaps/Nicholas.pdf" TargetMode="External"/><Relationship Id="rId45" Type="http://schemas.openxmlformats.org/officeDocument/2006/relationships/hyperlink" Target="https://apps.legislature.ky.gov/Legislators/subs/Sen-27.html" TargetMode="External"/><Relationship Id="rId46" Type="http://schemas.openxmlformats.org/officeDocument/2006/relationships/hyperlink" Target="https://apps.legislature.ky.gov/law/statutes/statute.aspx?id=57882" TargetMode="External"/><Relationship Id="rId47" Type="http://schemas.openxmlformats.org/officeDocument/2006/relationships/hyperlink" Target="https://apps.legislature.ky.gov/law/statutes/statute.aspx?id=57886" TargetMode="External"/><Relationship Id="rId48" Type="http://schemas.openxmlformats.org/officeDocument/2006/relationships/hyperlink" Target="https://www.wmky.org/business/2014-05-10/flemingsburg-wind-project-discontinued" TargetMode="External"/><Relationship Id="rId49" Type="http://schemas.openxmlformats.org/officeDocument/2006/relationships/hyperlink" Target="https://www.wkyt.com/2021/08/27/clark-co-tables-massive-solar-farm-project-now/" TargetMode="External"/><Relationship Id="rId50" Type="http://schemas.openxmlformats.org/officeDocument/2006/relationships/hyperlink" Target="https://psc.ky.gov/Case/ViewCaseFilings/2020-00206" TargetMode="External"/><Relationship Id="rId51" Type="http://schemas.openxmlformats.org/officeDocument/2006/relationships/hyperlink" Target="https://kynewsgroup.com/tcm051524.pdf" TargetMode="External"/><Relationship Id="rId52" Type="http://schemas.openxmlformats.org/officeDocument/2006/relationships/hyperlink" Target="https://kynewsgroup.com/tcm061924.pdf" TargetMode="External"/><Relationship Id="rId53" Type="http://schemas.openxmlformats.org/officeDocument/2006/relationships/hyperlink" Target="https://kynewsgroup.com/tcm062624.pdf" TargetMode="External"/><Relationship Id="rId54" Type="http://schemas.openxmlformats.org/officeDocument/2006/relationships/hyperlink" Target="https://kynewsgroup.com/tcm032526.pdf" TargetMode="External"/><Relationship Id="rId55" Type="http://schemas.openxmlformats.org/officeDocument/2006/relationships/hyperlink" Target="https://kynewsgroup.com/tcm070826.pdf" TargetMode="External"/><Relationship Id="rId56" Type="http://schemas.openxmlformats.org/officeDocument/2006/relationships/hyperlink" Target="https://kynewsgroup.com/TCM-08-19-26.pdf" TargetMode="External"/><Relationship Id="rId57" Type="http://schemas.openxmlformats.org/officeDocument/2006/relationships/hyperlink" Target="https://kynewsgroup.com/TCM-09-09-26.pdf" TargetMode="External"/><Relationship Id="rId58" Type="http://schemas.openxmlformats.org/officeDocument/2006/relationships/hyperlink" Target="https://kynewsgroup.com/TCM-09-30-26.pdf" TargetMode="External"/><Relationship Id="rId59" Type="http://schemas.openxmlformats.org/officeDocument/2006/relationships/hyperlink" Target="https://www2.census.gov/geo/docs/reference/codes2020/place_by_cou/st21_ky_place_by_county2020.txt" TargetMode="External"/><Relationship Id="rId60" Type="http://schemas.openxmlformats.org/officeDocument/2006/relationships/hyperlink" Target="https://commons.wikimedia.org/wiki/File:Map_of_Kentucky_highlighting_Nicholas_County.svg"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ricephillips_1/Library/Group%20Containers/UBF8T346G9.Office/User%20Content.localized/Templates.localized/Jefferson%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A3F24F-BA9A-A14D-AF97-B48AA56D97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Jefferson Template.dotx</Template>
  <TotalTime>1</TotalTime>
  <Pages>14</Pages>
  <Words>8903</Words>
  <Characters>50753</Characters>
  <Application>Microsoft Office Word</Application>
  <DocSecurity>0</DocSecurity>
  <Lines>422</Lines>
  <Paragraphs>119</Paragraphs>
  <ScaleCrop>false</ScaleCrop>
  <Company/>
  <LinksUpToDate>false</LinksUpToDate>
  <CharactersWithSpaces>59537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Nicholas County, Kentucky</dc:title>
  <dc:subject/>
  <dc:creator>Hawthorn Intelligence</dc:creator>
  <cp:keywords/>
  <dc:description/>
  <cp:lastModifiedBy>Hawthorn Intelligence</cp:lastModifiedBy>
  <cp:revision>2</cp:revision>
  <dcterms:created xsi:type="dcterms:W3CDTF">2026-10-06T23:40:00Z</dcterms:created>
  <dcterms:modified xsi:type="dcterms:W3CDTF">2026-10-06T23:40:00Z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833ca4179ddc4440e32b1503b7343a276b82409d5fae394ed954e11378a838e9</vt:lpwstr>
  </property>
</Properties>
</file>