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Heading1"/>
        <w:spacing w:before="360" w:after="120"/>
      </w:pPr>
      <w:r>
        <w:rPr>
          <w:b/>
        </w:rPr>
        <w:t>Case Study</w:t>
      </w:r>
      <w:r>
        <w:t>: Harris County, Texas</w:t>
      </w:r>
    </w:p>
    <w:p>
      <w:pPr>
        <w:spacing w:after="200"/>
      </w:pPr>
      <w:r>
        <w:rPr>
          <w:b/>
        </w:rPr>
        <w:t>Hawthorn Intelligence</w:t>
      </w:r>
    </w:p>
    <w:p>
      <w:pPr>
        <w:spacing w:after="200"/>
      </w:pPr>
      <w:r>
        <w:drawing>
          <wp:anchor distT="0" distB="0" distL="114300" distR="114300" simplePos="0" relativeHeight="251660290" behindDoc="0" locked="0" layoutInCell="1" allowOverlap="1" wp14:anchorId="237B77BB" wp14:editId="52ACF41C">
            <wp:simplePos x="0" y="0"/>
            <wp:positionH relativeFrom="column">
              <wp:posOffset>3749040</wp:posOffset>
            </wp:positionH>
            <wp:positionV relativeFrom="paragraph">
              <wp:posOffset>134804</wp:posOffset>
            </wp:positionV>
            <wp:extent cx="2651760" cy="2516572"/>
            <wp:effectExtent l="0" t="0" r="0" b="5080"/>
            <wp:wrapSquare wrapText="bothSides"/>
            <wp:docPr id="2044851896" name="Picture 2" descr="Case Study: Harris County, Texas locato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se Study: Harris County, Texas locator ma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51760" cy="2516572"/>
                    </a:xfrm>
                    <a:prstGeom prst="rect">
                      <a:avLst/>
                    </a:prstGeom>
                    <a:noFill/>
                    <a:ln>
                      <a:noFill/>
                    </a:ln>
                  </pic:spPr>
                </pic:pic>
              </a:graphicData>
            </a:graphic>
            <wp14:sizeRelH relativeFrom="page">
              <wp14:pctWidth>0</wp14:pctWidth>
            </wp14:sizeRelH>
            <wp14:sizeRelV relativeFrom="page">
              <wp14:pctHeight>0</wp14:pctHeight>
            </wp14:sizeRelV>
          </wp:anchor>
        </w:drawing>
      </w:r>
      <w:r>
        <w:rPr>
          <w:i/>
        </w:rPr>
        <w:t>Data as of October 16, 2026</w:t>
      </w:r>
    </w:p>
    <w:p>
      <w:pPr>
        <w:pStyle w:val="Heading2"/>
        <w:spacing w:before="240" w:after="80"/>
      </w:pPr>
      <w:r>
        <w:t>Key Takeaways</w:t>
      </w:r>
    </w:p>
    <w:p>
      <w:pPr>
        <w:pStyle w:val="ListParagraph"/>
        <w:numPr>
          <w:ilvl w:val="0"/>
          <w:numId w:val="11"/>
        </w:numPr>
        <w:spacing w:after="80"/>
      </w:pPr>
      <w:r>
        <w:rPr>
          <w:b/>
        </w:rPr>
        <w:t>A battery market, not a solar or wind market</w:t>
      </w:r>
      <w:r>
        <w:t>: 776 MW of grid batteries operate in the county, 28 of its 33 active interconnection requests are for storage, and every contested project on record here is a battery.</w:t>
      </w:r>
    </w:p>
    <w:p>
      <w:pPr>
        <w:pStyle w:val="ListParagraph"/>
        <w:numPr>
          <w:ilvl w:val="0"/>
          <w:numId w:val="11"/>
        </w:numPr>
        <w:spacing w:after="80"/>
      </w:pPr>
      <w:r>
        <w:rPr>
          <w:b/>
        </w:rPr>
        <w:t>Friction is city by city</w:t>
      </w:r>
      <w:r>
        <w:t>: Pasadena paused battery permits and then adopted a storage code with 500-foot residential setbacks and a five-acre site cap. Tomball denied a project in 2023. Baytown approved two in 2025 over resident and union objections, one on a reported 4-3 vote.</w:t>
      </w:r>
    </w:p>
    <w:p>
      <w:pPr>
        <w:pStyle w:val="ListParagraph"/>
        <w:numPr>
          <w:ilvl w:val="0"/>
          <w:numId w:val="11"/>
        </w:numPr>
        <w:spacing w:after="80"/>
      </w:pPr>
      <w:r>
        <w:rPr>
          <w:b/>
        </w:rPr>
        <w:t>Above the average U.S. county:</w:t>
      </w:r>
      <w:r>
        <w:t xml:space="preserve"> Hawthorn Intelligence places Harris in the 78</w:t>
      </w:r>
      <w:r>
        <w:rPr>
          <w:vertAlign w:val="superscript"/>
        </w:rPr>
        <w:t>th</w:t>
      </w:r>
      <w:r>
        <w:t xml:space="preserve"> percentile (</w:t>
      </w:r>
      <w:r>
        <w:rPr>
          <w:i/>
        </w:rPr>
        <w:t>i.e.,</w:t>
      </w:r>
      <w:r>
        <w:t xml:space="preserve"> 78% of U.S. counties score lower) for resemblance to counties with severe renewable restrictions, and 18</w:t>
      </w:r>
      <w:r>
        <w:rPr>
          <w:vertAlign w:val="superscript"/>
        </w:rPr>
        <w:t>th</w:t>
      </w:r>
      <w:r>
        <w:t xml:space="preserve"> of 254 in Texas. Its population and its interconnection queue account for most of that.</w:t>
      </w:r>
    </w:p>
    <w:p>
      <w:pPr>
        <w:pStyle w:val="ListParagraph"/>
        <w:numPr>
          <w:ilvl w:val="0"/>
          <w:numId w:val="11"/>
        </w:numPr>
        <w:spacing w:after="80"/>
      </w:pPr>
      <w:r>
        <w:rPr>
          <w:b/>
        </w:rPr>
        <w:t>What to watch</w:t>
      </w:r>
      <w:r>
        <w:t>: the state's battery fire-safety rules under HB 3824, which also limit local rules; the 2027 legislative session; a new county judge in January; and about 1.3 GW of queued storage at Pasadena-area and Baytown sites.</w:t>
      </w:r>
    </w:p>
    <w:p>
      <w:pPr>
        <w:pStyle w:val="Heading2"/>
        <w:spacing w:before="240" w:after="80"/>
      </w:pPr>
      <w:r>
        <w:t>Summary</w:t>
      </w:r>
    </w:p>
    <w:p>
      <w:pPr>
        <w:spacing w:after="200"/>
      </w:pPr>
      <w:r>
        <w:t>Harris County is open to battery storage, but its zoned suburbs no longer approve it as a matter of course. Most of the county, the City of Houston and the unincorporated areas, has no zoning, and there the county fire marshal's annual permit is the main local requirement. Large batteries on industrial land there have been built without recorded opposition. The suburban cities that do zone (Pasadena, Tomball and Baytown) have each paused, restricted, denied or narrowly approved a battery project since 2023.</w:t>
      </w:r>
    </w:p>
    <w:p>
      <w:pPr>
        <w:spacing w:after="200"/>
      </w:pPr>
      <w:r>
        <w:t>Hawthorn Intelligence assigns Harris a County Restriction Score of 0.36, about one and a half times the national base rate of 0.24. That puts it in the eighth national decile (one tenth of U.S. counties, ranked by score), the 78</w:t>
      </w:r>
      <w:r>
        <w:rPr>
          <w:vertAlign w:val="superscript"/>
        </w:rPr>
        <w:t>th</w:t>
      </w:r>
      <w:r>
        <w:t xml:space="preserve"> percentile nationally and 18</w:t>
      </w:r>
      <w:r>
        <w:rPr>
          <w:vertAlign w:val="superscript"/>
        </w:rPr>
        <w:t>th</w:t>
      </w:r>
      <w:r>
        <w:t xml:space="preserve"> of 254 Texas counties. The score measures how closely a county's profile resembles counties that have enacted severe restrictions; it is not a forecast for any project. Population and interconnection-queue megawatts drive most of it. The restriction record is Verified: we read Pasadena's moratorium and the ordinance that replaced it in the city's own minutes.</w:t>
      </w:r>
    </w:p>
    <w:p>
      <w:pPr>
        <w:spacing w:after="200"/>
      </w:pPr>
      <w:r>
        <w:t>Developers come for retired power-plant sites with high-voltage connections, a Houston load pocket where congestion rewards storage near load, and fast-rising demand: CenterPoint expects 8 GW of data-center load by 2029. The objections on record are about proximity. Every contested project was a battery near homes or schools, and opponents cited fire, toxic plumes and hurricane resilience, not views or farmland. Projects on industrial land in Houston and the unincorporated county have moved without public fights; projects near housing in the zoned suburbs have faced special use permits, plume modeling and close votes.</w:t>
      </w:r>
    </w:p>
    <w:p>
      <w:pPr>
        <w:pStyle w:val="Heading1"/>
        <w:spacing w:before="360" w:after="120"/>
      </w:pPr>
      <w:r>
        <w:t>Hawthorn Intelligence</w:t>
      </w:r>
    </w:p>
    <w:p>
      <w:pPr>
        <w:pStyle w:val="Heading2"/>
        <w:spacing w:before="240" w:after="80"/>
      </w:pPr>
      <w:r>
        <w:t>Summary</w:t>
      </w:r>
    </w:p>
    <w:p>
      <w:pPr>
        <w:spacing w:after="200"/>
      </w:pPr>
      <w:r>
        <w:t>Harris County, home to about 5 million people in and around Houston, has 776 MW of batteries operating and held about 7.1 GW of active interconnection requests at the end of 2025. Its suburban cities have moved from pauses to permanent rules: Pasadena replaced its moratorium with a storage code in April 2025, Tomball denied a project, and Baytown approved two over objections. Harris's County Restriction Score of 0.36 places it in decile 8 of 10, and its evidence record is Verified.</w:t>
      </w:r>
    </w:p>
    <w:p>
      <w:pPr>
        <w:pStyle w:val="Heading2"/>
        <w:spacing w:before="240" w:after="80"/>
      </w:pPr>
      <w:r>
        <w:t>Hawthorn Intelligence Ratings</w:t>
      </w:r>
    </w:p>
    <w:tbl>
      <w:tblPr>
        <w:tblStyle w:val="PlainTable5"/>
        <w:tblW w:w="10080" w:type="dxa"/>
        <w:tblLayout w:type="fixed"/>
        <w:tblLook w:val="04A0" w:firstRow="1" w:lastRow="0" w:firstColumn="1" w:lastColumn="0" w:noHBand="0" w:noVBand="1"/>
      </w:tblPr>
      <w:tblGrid>
        <w:gridCol w:w="2700"/>
        <w:gridCol w:w="2500"/>
        <w:gridCol w:w="4880"/>
      </w:tblGrid>
      <w:tr>
        <w:trPr>
          <w:cantSplit/>
          <w:tblHeader/>
        </w:trPr>
        <w:tc>
          <w:tcPr>
            <w:tcW w:w="2700" w:type="dxa"/>
            <w:tcMar>
              <w:top w:w="30" w:type="dxa"/>
              <w:left w:w="80" w:type="dxa"/>
              <w:bottom w:w="30" w:type="dxa"/>
              <w:right w:w="80" w:type="dxa"/>
            </w:tcMar>
          </w:tcPr>
          <w:p>
            <w:pPr>
              <w:keepNext/>
              <w:spacing w:after="0"/>
            </w:pPr>
            <w:r>
              <w:rPr>
                <w:b/>
                <w:sz w:val="20"/>
              </w:rPr>
              <w:t>Hawthorn rating</w:t>
            </w:r>
          </w:p>
        </w:tc>
        <w:tc>
          <w:tcPr>
            <w:tcW w:w="2500" w:type="dxa"/>
            <w:tcMar>
              <w:top w:w="30" w:type="dxa"/>
              <w:left w:w="80" w:type="dxa"/>
              <w:bottom w:w="30" w:type="dxa"/>
              <w:right w:w="80" w:type="dxa"/>
            </w:tcMar>
          </w:tcPr>
          <w:p>
            <w:pPr>
              <w:keepNext/>
              <w:spacing w:after="0"/>
            </w:pPr>
            <w:r>
              <w:rPr>
                <w:b/>
                <w:sz w:val="20"/>
              </w:rPr>
              <w:t>Harris County</w:t>
            </w:r>
          </w:p>
        </w:tc>
        <w:tc>
          <w:tcPr>
            <w:tcW w:w="4880" w:type="dxa"/>
            <w:tcMar>
              <w:top w:w="30" w:type="dxa"/>
              <w:left w:w="80" w:type="dxa"/>
              <w:bottom w:w="30" w:type="dxa"/>
              <w:right w:w="80" w:type="dxa"/>
            </w:tcMar>
          </w:tcPr>
          <w:p>
            <w:pPr>
              <w:keepNext/>
              <w:spacing w:after="0"/>
            </w:pPr>
            <w:r>
              <w:rPr>
                <w:b/>
                <w:sz w:val="20"/>
              </w:rPr>
              <w:t>Explanation</w:t>
            </w:r>
          </w:p>
        </w:tc>
      </w:tr>
      <w:tr>
        <w:trPr>
          <w:cantSplit/>
        </w:trPr>
        <w:tc>
          <w:tcPr>
            <w:tcW w:w="2700" w:type="dxa"/>
            <w:tcMar>
              <w:top w:w="30" w:type="dxa"/>
              <w:left w:w="80" w:type="dxa"/>
              <w:bottom w:w="30" w:type="dxa"/>
              <w:right w:w="80" w:type="dxa"/>
            </w:tcMar>
          </w:tcPr>
          <w:p>
            <w:pPr>
              <w:keepNext/>
              <w:spacing w:after="0"/>
            </w:pPr>
            <w:r>
              <w:rPr>
                <w:sz w:val="20"/>
              </w:rPr>
              <w:t>County Restriction Score</w:t>
            </w:r>
          </w:p>
        </w:tc>
        <w:tc>
          <w:tcPr>
            <w:tcW w:w="2500" w:type="dxa"/>
            <w:tcMar>
              <w:top w:w="30" w:type="dxa"/>
              <w:left w:w="80" w:type="dxa"/>
              <w:bottom w:w="30" w:type="dxa"/>
              <w:right w:w="80" w:type="dxa"/>
            </w:tcMar>
          </w:tcPr>
          <w:p>
            <w:pPr>
              <w:keepNext/>
              <w:spacing w:after="0"/>
            </w:pPr>
            <w:r>
              <w:rPr>
                <w:b/>
                <w:sz w:val="20"/>
              </w:rPr>
              <w:t>0.36 (likely range 0.31 to 0.39)</w:t>
            </w:r>
          </w:p>
        </w:tc>
        <w:tc>
          <w:tcPr>
            <w:tcW w:w="4880" w:type="dxa"/>
            <w:tcMar>
              <w:top w:w="30" w:type="dxa"/>
              <w:left w:w="80" w:type="dxa"/>
              <w:bottom w:w="30" w:type="dxa"/>
              <w:right w:w="80" w:type="dxa"/>
            </w:tcMar>
          </w:tcPr>
          <w:p>
            <w:pPr>
              <w:keepNext/>
              <w:spacing w:after="0"/>
            </w:pPr>
            <w:r>
              <w:rPr>
                <w:sz w:val="20"/>
              </w:rPr>
              <w:t>Resemblance to counties with a severe wind, solar or storage restriction on record, on a 0 to 1 scale; national base rate 0.24</w:t>
            </w:r>
          </w:p>
        </w:tc>
      </w:tr>
      <w:tr>
        <w:trPr>
          <w:cantSplit/>
        </w:trPr>
        <w:tc>
          <w:tcPr>
            <w:tcW w:w="2700" w:type="dxa"/>
            <w:tcMar>
              <w:top w:w="30" w:type="dxa"/>
              <w:left w:w="80" w:type="dxa"/>
              <w:bottom w:w="30" w:type="dxa"/>
              <w:right w:w="80" w:type="dxa"/>
            </w:tcMar>
          </w:tcPr>
          <w:p>
            <w:pPr>
              <w:keepNext/>
              <w:spacing w:after="0"/>
            </w:pPr>
            <w:r>
              <w:rPr>
                <w:sz w:val="20"/>
              </w:rPr>
              <w:t>Score decile</w:t>
            </w:r>
          </w:p>
        </w:tc>
        <w:tc>
          <w:tcPr>
            <w:tcW w:w="2500" w:type="dxa"/>
            <w:tcMar>
              <w:top w:w="30" w:type="dxa"/>
              <w:left w:w="80" w:type="dxa"/>
              <w:bottom w:w="30" w:type="dxa"/>
              <w:right w:w="80" w:type="dxa"/>
            </w:tcMar>
          </w:tcPr>
          <w:p>
            <w:pPr>
              <w:keepNext/>
              <w:spacing w:after="0"/>
            </w:pPr>
            <w:r>
              <w:rPr>
                <w:b/>
                <w:sz w:val="20"/>
              </w:rPr>
              <w:t>8 of 10</w:t>
            </w:r>
          </w:p>
        </w:tc>
        <w:tc>
          <w:tcPr>
            <w:tcW w:w="4880" w:type="dxa"/>
            <w:tcMar>
              <w:top w:w="30" w:type="dxa"/>
              <w:left w:w="80" w:type="dxa"/>
              <w:bottom w:w="30" w:type="dxa"/>
              <w:right w:w="80" w:type="dxa"/>
            </w:tcMar>
          </w:tcPr>
          <w:p>
            <w:pPr>
              <w:keepNext/>
              <w:spacing w:after="0"/>
            </w:pPr>
            <w:r>
              <w:rPr>
                <w:sz w:val="20"/>
              </w:rPr>
              <w:t>Eighth tenth of 3,144 U.S. counties (scores 0.280 to 0.386); 33.4 percent of decile 8 counties have a severe restriction</w:t>
            </w:r>
          </w:p>
        </w:tc>
      </w:tr>
      <w:tr>
        <w:trPr>
          <w:cantSplit/>
        </w:trPr>
        <w:tc>
          <w:tcPr>
            <w:tcW w:w="2700" w:type="dxa"/>
            <w:tcMar>
              <w:top w:w="30" w:type="dxa"/>
              <w:left w:w="80" w:type="dxa"/>
              <w:bottom w:w="30" w:type="dxa"/>
              <w:right w:w="80" w:type="dxa"/>
            </w:tcMar>
          </w:tcPr>
          <w:p>
            <w:pPr>
              <w:keepNext/>
              <w:spacing w:after="0"/>
            </w:pPr>
            <w:r>
              <w:rPr>
                <w:sz w:val="20"/>
              </w:rPr>
              <w:t>National and Texas standing</w:t>
            </w:r>
          </w:p>
        </w:tc>
        <w:tc>
          <w:tcPr>
            <w:tcW w:w="2500" w:type="dxa"/>
            <w:tcMar>
              <w:top w:w="30" w:type="dxa"/>
              <w:left w:w="80" w:type="dxa"/>
              <w:bottom w:w="30" w:type="dxa"/>
              <w:right w:w="80" w:type="dxa"/>
            </w:tcMar>
          </w:tcPr>
          <w:p>
            <w:pPr>
              <w:keepNext/>
              <w:spacing w:after="0"/>
            </w:pPr>
            <w:r>
              <w:rPr>
                <w:b/>
                <w:sz w:val="20"/>
              </w:rPr>
              <w:t>78</w:t>
            </w:r>
            <w:r>
              <w:rPr>
                <w:b/>
                <w:sz w:val="20"/>
                <w:vertAlign w:val="superscript"/>
              </w:rPr>
              <w:t>th</w:t>
            </w:r>
            <w:r>
              <w:rPr>
                <w:b/>
                <w:sz w:val="20"/>
              </w:rPr>
              <w:t xml:space="preserve"> percentile; 18</w:t>
            </w:r>
            <w:r>
              <w:rPr>
                <w:b/>
                <w:sz w:val="20"/>
                <w:vertAlign w:val="superscript"/>
              </w:rPr>
              <w:t>th</w:t>
            </w:r>
            <w:r>
              <w:rPr>
                <w:b/>
                <w:sz w:val="20"/>
              </w:rPr>
              <w:t xml:space="preserve"> of 254</w:t>
            </w:r>
          </w:p>
        </w:tc>
        <w:tc>
          <w:tcPr>
            <w:tcW w:w="4880" w:type="dxa"/>
            <w:tcMar>
              <w:top w:w="30" w:type="dxa"/>
              <w:left w:w="80" w:type="dxa"/>
              <w:bottom w:w="30" w:type="dxa"/>
              <w:right w:w="80" w:type="dxa"/>
            </w:tcMar>
          </w:tcPr>
          <w:p>
            <w:pPr>
              <w:keepNext/>
              <w:spacing w:after="0"/>
            </w:pPr>
            <w:r>
              <w:rPr>
                <w:sz w:val="20"/>
              </w:rPr>
              <w:t>Share of U.S. counties scoring below Harris; rank among Texas counties</w:t>
            </w:r>
          </w:p>
        </w:tc>
      </w:tr>
      <w:tr>
        <w:trPr>
          <w:cantSplit/>
        </w:trPr>
        <w:tc>
          <w:tcPr>
            <w:tcW w:w="2700" w:type="dxa"/>
            <w:tcMar>
              <w:top w:w="30" w:type="dxa"/>
              <w:left w:w="80" w:type="dxa"/>
              <w:bottom w:w="30" w:type="dxa"/>
              <w:right w:w="80" w:type="dxa"/>
            </w:tcMar>
          </w:tcPr>
          <w:p>
            <w:pPr>
              <w:keepNext/>
              <w:spacing w:after="0"/>
            </w:pPr>
            <w:r>
              <w:rPr>
                <w:sz w:val="20"/>
              </w:rPr>
              <w:t>Evidence status</w:t>
            </w:r>
          </w:p>
        </w:tc>
        <w:tc>
          <w:tcPr>
            <w:tcW w:w="2500" w:type="dxa"/>
            <w:tcMar>
              <w:top w:w="30" w:type="dxa"/>
              <w:left w:w="80" w:type="dxa"/>
              <w:bottom w:w="30" w:type="dxa"/>
              <w:right w:w="80" w:type="dxa"/>
            </w:tcMar>
          </w:tcPr>
          <w:p>
            <w:pPr>
              <w:keepNext/>
              <w:spacing w:after="0"/>
            </w:pPr>
            <w:r>
              <w:rPr>
                <w:b/>
                <w:sz w:val="20"/>
              </w:rPr>
              <w:t>Verified</w:t>
            </w:r>
          </w:p>
        </w:tc>
        <w:tc>
          <w:tcPr>
            <w:tcW w:w="4880" w:type="dxa"/>
            <w:tcMar>
              <w:top w:w="30" w:type="dxa"/>
              <w:left w:w="80" w:type="dxa"/>
              <w:bottom w:w="30" w:type="dxa"/>
              <w:right w:w="80" w:type="dxa"/>
            </w:tcMar>
          </w:tcPr>
          <w:p>
            <w:pPr>
              <w:keepNext/>
              <w:spacing w:after="0"/>
            </w:pPr>
            <w:r>
              <w:rPr>
                <w:sz w:val="20"/>
              </w:rPr>
              <w:t>Pasadena's moratorium and storage code read in the city's minutes and ordinance packet</w:t>
            </w:r>
          </w:p>
        </w:tc>
      </w:tr>
      <w:tr>
        <w:trPr>
          <w:cantSplit/>
        </w:trPr>
        <w:tc>
          <w:tcPr>
            <w:tcW w:w="2700" w:type="dxa"/>
            <w:tcMar>
              <w:top w:w="30" w:type="dxa"/>
              <w:left w:w="80" w:type="dxa"/>
              <w:bottom w:w="30" w:type="dxa"/>
              <w:right w:w="80" w:type="dxa"/>
            </w:tcMar>
          </w:tcPr>
          <w:p>
            <w:pPr>
              <w:keepNext/>
              <w:spacing w:after="0"/>
            </w:pPr>
            <w:r>
              <w:rPr>
                <w:sz w:val="20"/>
              </w:rPr>
              <w:t>Project outcome tiers</w:t>
            </w:r>
          </w:p>
        </w:tc>
        <w:tc>
          <w:tcPr>
            <w:tcW w:w="2500" w:type="dxa"/>
            <w:tcMar>
              <w:top w:w="30" w:type="dxa"/>
              <w:left w:w="80" w:type="dxa"/>
              <w:bottom w:w="30" w:type="dxa"/>
              <w:right w:w="80" w:type="dxa"/>
            </w:tcMar>
          </w:tcPr>
          <w:p>
            <w:pPr>
              <w:keepNext/>
              <w:spacing w:after="0"/>
            </w:pPr>
            <w:r>
              <w:rPr>
                <w:b/>
                <w:sz w:val="20"/>
              </w:rPr>
              <w:t>1 blocked; 2 approved (1 with conditions)</w:t>
            </w:r>
          </w:p>
        </w:tc>
        <w:tc>
          <w:tcPr>
            <w:tcW w:w="4880" w:type="dxa"/>
            <w:tcMar>
              <w:top w:w="30" w:type="dxa"/>
              <w:left w:w="80" w:type="dxa"/>
              <w:bottom w:w="30" w:type="dxa"/>
              <w:right w:w="80" w:type="dxa"/>
            </w:tcMar>
          </w:tcPr>
          <w:p>
            <w:pPr>
              <w:keepNext/>
              <w:spacing w:after="0"/>
            </w:pPr>
            <w:r>
              <w:rPr>
                <w:sz w:val="20"/>
              </w:rPr>
              <w:t>Tomball denial (2023); Baytown's Massey and Claire approvals (2025)</w:t>
            </w:r>
          </w:p>
        </w:tc>
      </w:tr>
      <w:tr>
        <w:trPr>
          <w:cantSplit/>
        </w:trPr>
        <w:tc>
          <w:tcPr>
            <w:tcW w:w="2700" w:type="dxa"/>
            <w:tcMar>
              <w:top w:w="30" w:type="dxa"/>
              <w:left w:w="80" w:type="dxa"/>
              <w:bottom w:w="30" w:type="dxa"/>
              <w:right w:w="80" w:type="dxa"/>
            </w:tcMar>
          </w:tcPr>
          <w:p>
            <w:pPr>
              <w:spacing w:after="0"/>
            </w:pPr>
            <w:r>
              <w:rPr>
                <w:sz w:val="20"/>
              </w:rPr>
              <w:t>Opposition intensity</w:t>
            </w:r>
          </w:p>
        </w:tc>
        <w:tc>
          <w:tcPr>
            <w:tcW w:w="2500" w:type="dxa"/>
            <w:tcMar>
              <w:top w:w="30" w:type="dxa"/>
              <w:left w:w="80" w:type="dxa"/>
              <w:bottom w:w="30" w:type="dxa"/>
              <w:right w:w="80" w:type="dxa"/>
            </w:tcMar>
          </w:tcPr>
          <w:p>
            <w:pPr>
              <w:spacing w:after="0"/>
            </w:pPr>
            <w:r>
              <w:rPr>
                <w:b/>
                <w:sz w:val="20"/>
              </w:rPr>
              <w:t>95</w:t>
            </w:r>
            <w:r>
              <w:rPr>
                <w:b/>
                <w:sz w:val="20"/>
                <w:vertAlign w:val="superscript"/>
              </w:rPr>
              <w:t>th</w:t>
            </w:r>
            <w:r>
              <w:rPr>
                <w:b/>
                <w:sz w:val="20"/>
              </w:rPr>
              <w:t xml:space="preserve"> percentile (records); 56</w:t>
            </w:r>
            <w:r>
              <w:rPr>
                <w:b/>
                <w:sz w:val="20"/>
                <w:vertAlign w:val="superscript"/>
              </w:rPr>
              <w:t>th</w:t>
            </w:r>
            <w:r>
              <w:rPr>
                <w:b/>
                <w:sz w:val="20"/>
              </w:rPr>
              <w:t xml:space="preserve"> (per 100,000 residents)</w:t>
            </w:r>
          </w:p>
        </w:tc>
        <w:tc>
          <w:tcPr>
            <w:tcW w:w="4880" w:type="dxa"/>
            <w:tcMar>
              <w:top w:w="30" w:type="dxa"/>
              <w:left w:w="80" w:type="dxa"/>
              <w:bottom w:w="30" w:type="dxa"/>
              <w:right w:w="80" w:type="dxa"/>
            </w:tcMar>
          </w:tcPr>
          <w:p>
            <w:pPr>
              <w:spacing w:after="0"/>
            </w:pPr>
            <w:r>
              <w:rPr>
                <w:sz w:val="20"/>
              </w:rPr>
              <w:t>Two restriction instruments and three contested projects, against all U.S. counties</w:t>
            </w:r>
          </w:p>
        </w:tc>
      </w:tr>
    </w:tbl>
    <w:p>
      <w:pPr>
        <w:spacing w:after="40"/>
      </w:pPr>
    </w:p>
    <w:p>
      <w:pPr>
        <w:spacing w:after="200"/>
      </w:pPr>
      <w:r>
        <w:t>Ratings as of October 16, 2026. The score is a calibrated, cross-validated resemblance measure, not a forecast for any project. Opposition intensity counts the records this review added; the platform's published data held one record for Harris on October 13. "How to Read Hawthorn Intelligence Reports" below defines each scale.</w:t>
      </w:r>
    </w:p>
    <w:p>
      <w:pPr>
        <w:pStyle w:val="Heading2"/>
        <w:spacing w:before="240" w:after="80"/>
      </w:pPr>
      <w:r>
        <w:t>At a glance</w:t>
      </w:r>
    </w:p>
    <w:p>
      <w:pPr>
        <w:pStyle w:val="ListParagraph"/>
        <w:numPr>
          <w:ilvl w:val="0"/>
          <w:numId w:val="9"/>
        </w:numPr>
        <w:spacing w:after="80"/>
      </w:pPr>
      <w:hyperlink r:id="rId9" w:history="1">
        <w:r>
          <w:rPr>
            <w:rStyle w:val="Hyperlink"/>
          </w:rPr>
          <w:t xml:space="preserve">Population</w:t>
        </w:r>
      </w:hyperlink>
      <w:r>
        <w:t xml:space="preserve"> 5,045,026 (July 2025 estimate) on 1,707 square miles; the most populous county in Texas and third in the nation</w:t>
      </w:r>
    </w:p>
    <w:p>
      <w:pPr>
        <w:pStyle w:val="ListParagraph"/>
        <w:numPr>
          <w:ilvl w:val="0"/>
          <w:numId w:val="9"/>
        </w:numPr>
        <w:spacing w:after="80"/>
      </w:pPr>
      <w:r>
        <w:t>Median household income $74,983; 34.2 percent of adults 25 and older hold a bachelor's degree or higher (ACS 2020-2024)</w:t>
      </w:r>
    </w:p>
    <w:p>
      <w:pPr>
        <w:pStyle w:val="ListParagraph"/>
        <w:numPr>
          <w:ilvl w:val="0"/>
          <w:numId w:val="9"/>
        </w:numPr>
        <w:spacing w:after="80"/>
      </w:pPr>
      <w:hyperlink r:id="rId10" w:history="1">
        <w:r>
          <w:rPr>
            <w:rStyle w:val="Hyperlink"/>
          </w:rPr>
          <w:t xml:space="preserve">2024</w:t>
        </w:r>
      </w:hyperlink>
      <w:r>
        <w:t xml:space="preserve"> presidential vote: Harris 51.9 percent, Trump 46.4 percent</w:t>
      </w:r>
    </w:p>
    <w:p>
      <w:pPr>
        <w:pStyle w:val="ListParagraph"/>
        <w:numPr>
          <w:ilvl w:val="1"/>
          <w:numId w:val="9"/>
        </w:numPr>
        <w:spacing w:after="80"/>
      </w:pPr>
      <w:r>
        <w:t>Partisan trend: the Democratic margin went from 12.3 points in 2016 to 13.3 in 2020, then narrowed to 5.5 in 2024</w:t>
      </w:r>
    </w:p>
    <w:p>
      <w:pPr>
        <w:pStyle w:val="ListParagraph"/>
        <w:numPr>
          <w:ilvl w:val="0"/>
          <w:numId w:val="9"/>
        </w:numPr>
        <w:spacing w:after="80"/>
      </w:pPr>
      <w:r>
        <w:t>Operating storage and solar: 776 MW of batteries at 12 plants and 72 MW of solar (</w:t>
      </w:r>
      <w:hyperlink r:id="rId11" w:history="1">
        <w:r>
          <w:rPr>
            <w:rStyle w:val="Hyperlink"/>
          </w:rPr>
          <w:t xml:space="preserve">EIA-860M, August 2026</w:t>
        </w:r>
      </w:hyperlink>
      <w:r>
        <w:t>); no wind</w:t>
      </w:r>
    </w:p>
    <w:p>
      <w:pPr>
        <w:pStyle w:val="ListParagraph"/>
        <w:numPr>
          <w:ilvl w:val="0"/>
          <w:numId w:val="9"/>
        </w:numPr>
        <w:spacing w:after="80"/>
      </w:pPr>
      <w:r>
        <w:t xml:space="preserve">Interconnection queue: 33 active projects, 28 of them batteries, per ERCOT's September 2026 report as summarized by </w:t>
      </w:r>
      <w:hyperlink r:id="rId12" w:history="1">
        <w:r>
          <w:rPr>
            <w:rStyle w:val="Hyperlink"/>
          </w:rPr>
          <w:t xml:space="preserve">Quicksand Check</w:t>
        </w:r>
      </w:hyperlink>
    </w:p>
    <w:p>
      <w:pPr>
        <w:pStyle w:val="ListParagraph"/>
        <w:numPr>
          <w:ilvl w:val="0"/>
          <w:numId w:val="9"/>
        </w:numPr>
        <w:spacing w:after="80"/>
      </w:pPr>
      <w:r>
        <w:t xml:space="preserve">Grid: CenterPoint Energy Houston Electric expects </w:t>
      </w:r>
      <w:hyperlink r:id="rId13" w:history="1">
        <w:r>
          <w:rPr>
            <w:rStyle w:val="Hyperlink"/>
          </w:rPr>
          <w:t xml:space="preserve">8 GW of data-center load by 2029</w:t>
        </w:r>
      </w:hyperlink>
      <w:r>
        <w:t xml:space="preserve"> and a peak above 30 GW</w:t>
      </w:r>
    </w:p>
    <w:p>
      <w:pPr>
        <w:pStyle w:val="ListParagraph"/>
        <w:numPr>
          <w:ilvl w:val="0"/>
          <w:numId w:val="9"/>
        </w:numPr>
        <w:spacing w:after="80"/>
      </w:pPr>
      <w:r>
        <w:t xml:space="preserve">Enacted restriction: yes, </w:t>
      </w:r>
      <w:hyperlink r:id="rId14" w:history="1">
        <w:r>
          <w:rPr>
            <w:rStyle w:val="Hyperlink"/>
          </w:rPr>
          <w:t xml:space="preserve">Pasadena's moratorium and storage code</w:t>
        </w:r>
      </w:hyperlink>
      <w:r>
        <w:t>, read in the city's minutes</w:t>
      </w:r>
    </w:p>
    <w:p>
      <w:pPr>
        <w:pStyle w:val="Heading1"/>
        <w:spacing w:before="360" w:after="120"/>
      </w:pPr>
      <w:r>
        <w:t>A county where the suburbs set the rules</w:t>
      </w:r>
    </w:p>
    <w:p>
      <w:pPr>
        <w:spacing w:after="200"/>
      </w:pPr>
      <w:r>
        <w:t xml:space="preserve">Harris County has no general zoning power, and the City of Houston has no zoning either. The county's tool is its fire code. The Harris County Fire Marshal's Office requires a </w:t>
      </w:r>
      <w:hyperlink r:id="rId15" w:history="1">
        <w:r>
          <w:rPr>
            <w:rStyle w:val="Hyperlink"/>
          </w:rPr>
          <w:t xml:space="preserve">$300 annual operating permit</w:t>
        </w:r>
      </w:hyperlink>
      <w:r>
        <w:t xml:space="preserve"> for energy-storage systems and amended the county fire code for lithium-ion storage in January and October 2025; the permit sets no setbacks. The suburban cities that zone have gone through the sequence seen elsewhere in Texas: a pause, then rules, then contested permits.</w:t>
      </w:r>
    </w:p>
    <w:p>
      <w:pPr>
        <w:spacing w:after="200"/>
      </w:pPr>
      <w:r>
        <w:t>Pasadena moved first. In October 2024 its council unanimously adopted a 90-day moratorium on commercial battery permits, citing "several inquiries from prospective developers" and battery-site fires nationwide. It extended the pause unanimously in January 2025 and, on April 1, 2025, replaced it with Article XII of its building code. Article XII caps sites at five acres; requires 1,500 feet between battery sites, 500 feet from residential property and 1,000 feet from schools, hospitals and other critical facilities; requires a site within 150 feet of CenterPoint property; bars mapped flood zones; and requires a special use permit backed by a hazard mitigation analysis, a fire plan and plume modeling.</w:t>
      </w:r>
    </w:p>
    <w:p>
      <w:pPr>
        <w:spacing w:after="200"/>
      </w:pPr>
      <w:r>
        <w:t>Pasadena steered storage toward utility land rather than banning it. Every council vote was unanimous, and the hearings drew two speakers in total.</w:t>
      </w:r>
    </w:p>
    <w:p>
      <w:pPr>
        <w:pStyle w:val="Heading2"/>
        <w:spacing w:before="240" w:after="80"/>
      </w:pPr>
      <w:r>
        <w:t>Baytown's close votes</w:t>
      </w:r>
    </w:p>
    <w:p>
      <w:pPr>
        <w:spacing w:after="200"/>
      </w:pPr>
      <w:r>
        <w:t xml:space="preserve">Baytown treats battery storage as an unlisted industrial use and decides each project through rezoning and a special use permit. In August 2025 the council approved Cypress Creek Renewables' 100 MW </w:t>
      </w:r>
      <w:r>
        <w:rPr>
          <w:b/>
        </w:rPr>
        <w:t>Massey</w:t>
      </w:r>
      <w:r>
        <w:t xml:space="preserve"> project on about 15 acres. Residents had raised fire risk, hurricane resilience and proximity to homes, and Robert Ramos, president of LiUNA Local 350, said the union was weighing a ballot measure. Councilman Jacob Powell defended the approval: "We work in the petrochemical industry, and we are constantly doing risk assessments."</w:t>
      </w:r>
    </w:p>
    <w:p>
      <w:pPr>
        <w:spacing w:after="200"/>
      </w:pPr>
      <w:r>
        <w:t xml:space="preserve">In November 2025 Balanced Rock Power's </w:t>
      </w:r>
      <w:r>
        <w:rPr>
          <w:b/>
        </w:rPr>
        <w:t>Claire</w:t>
      </w:r>
      <w:r>
        <w:t xml:space="preserve"> project, up to 406 MW on about nine acres zoned Suburban Residential next to a CenterPoint substation, won a 6-2 planning commission recommendation after the developer widened setbacks from 40 to more than 200 feet and added a masonry wall, a retention basin and an emergency plan with the fire marshal. The council approved it on a vote the Baytown Sun reported as 4-3. A resident of the adjacent Country Club View neighborhood called the concentrated power "extremely hazardous." Claire passed in a residential district, but by one vote and after major design changes.</w:t>
      </w:r>
    </w:p>
    <w:p>
      <w:pPr>
        <w:pStyle w:val="Heading2"/>
        <w:spacing w:before="240" w:after="80"/>
      </w:pPr>
      <w:r>
        <w:t>Other projects</w:t>
      </w:r>
    </w:p>
    <w:p>
      <w:pPr>
        <w:spacing w:after="200"/>
      </w:pPr>
      <w:r>
        <w:rPr>
          <w:b/>
        </w:rPr>
        <w:t>Tomball</w:t>
      </w:r>
      <w:r>
        <w:t xml:space="preserve"> denied a conditional use permit in June 2023 for a Black Mountain Energy Storage battery on Pitchford Road. Of the property owners notified within 2,000 feet, 11 opposed and 6 supported, and the council voted unanimously against it after the mayor said the city was "not ready for this in our 13 square miles." Black Mountain now holds a 201 MW request at Greens Bayou.</w:t>
      </w:r>
    </w:p>
    <w:p>
      <w:pPr>
        <w:spacing w:after="200"/>
      </w:pPr>
      <w:r>
        <w:t xml:space="preserve">In Houston and the unincorporated county, the large projects have moved without recorded opposition. Jupiter Power's 200 MW </w:t>
      </w:r>
      <w:r>
        <w:rPr>
          <w:b/>
        </w:rPr>
        <w:t>Callisto I</w:t>
      </w:r>
      <w:r>
        <w:t xml:space="preserve"> began operating in August 2024 at the former H.O. Clarke plant site, where Callisto II (400 MW) and Pamela Heights I (100 MW) are under construction. Cypress Creek's 200 MW </w:t>
      </w:r>
      <w:r>
        <w:rPr>
          <w:b/>
        </w:rPr>
        <w:t>Destiny</w:t>
      </w:r>
      <w:r>
        <w:t xml:space="preserve"> and the 204 MW </w:t>
      </w:r>
      <w:r>
        <w:rPr>
          <w:b/>
        </w:rPr>
        <w:t>Citadel</w:t>
      </w:r>
      <w:r>
        <w:t xml:space="preserve"> batteries operate near Crosby, and X-Elio's </w:t>
      </w:r>
      <w:r>
        <w:rPr>
          <w:b/>
        </w:rPr>
        <w:t>Liberty</w:t>
      </w:r>
      <w:r>
        <w:t xml:space="preserve"> hybrid pairs 67 MW of solar with 65 MW of storage on the Liberty County line. AES has two requests of about 408 MW each, </w:t>
      </w:r>
      <w:r>
        <w:rPr>
          <w:b/>
        </w:rPr>
        <w:t>Beacon</w:t>
      </w:r>
      <w:r>
        <w:t xml:space="preserve"> and </w:t>
      </w:r>
      <w:r>
        <w:rPr>
          <w:b/>
        </w:rPr>
        <w:t>Sigma</w:t>
      </w:r>
      <w:r>
        <w:t>, at the former Deepwater plant in the Pasadena area, still in study. The public record does not establish whether they fall inside Pasadena's limits and so under its five-acre cap.</w:t>
      </w:r>
    </w:p>
    <w:p>
      <w:pPr>
        <w:pStyle w:val="Heading2"/>
        <w:spacing w:before="240" w:after="80"/>
      </w:pPr>
      <w:r>
        <w:t>Organized Opposition</w:t>
      </w:r>
    </w:p>
    <w:p>
      <w:pPr>
        <w:spacing w:after="200"/>
      </w:pPr>
      <w:r>
        <w:t>Opposition in Harris has been local, project-specific and largely unorganized. We found no named resident group, Facebook group or petition aimed at a Harris County project. The objections on record came from neighbors notified of special use permits in Baytown and Tomball and from LiUNA Local 350 in Baytown.</w:t>
      </w:r>
    </w:p>
    <w:p>
      <w:pPr>
        <w:spacing w:after="200"/>
      </w:pPr>
      <w:r>
        <w:t xml:space="preserve">The organized campaigns are next door. In League City (Galveston County), neighbors of an elementary school gathered more than 700 signatures against a 200 MW Cypress Creek project in 2024, and the city paused storage and then adopted an ordinance. In Katy, across the line in Waller County, the city denied Vesper Energy's 500 MW Ochoa project near Katy High School in October 2024; the developer asked the state utility commission to override the city, ERCOT intervened, and Vesper withdrew in July 2026. Statewide, the Republican Party of Texas adopted a </w:t>
      </w:r>
      <w:hyperlink r:id="rId16" w:history="1">
        <w:r>
          <w:rPr>
            <w:rStyle w:val="Hyperlink"/>
          </w:rPr>
          <w:t xml:space="preserve">resolution</w:t>
        </w:r>
      </w:hyperlink>
      <w:r>
        <w:t xml:space="preserve"> in March 2025 calling for limits on battery storage.</w:t>
      </w:r>
    </w:p>
    <w:p>
      <w:pPr>
        <w:pStyle w:val="Heading2"/>
        <w:spacing w:before="240" w:after="80"/>
      </w:pPr>
      <w:r>
        <w:t>What to watch next</w:t>
      </w:r>
    </w:p>
    <w:p>
      <w:pPr>
        <w:pStyle w:val="ListParagraph"/>
        <w:numPr>
          <w:ilvl w:val="0"/>
          <w:numId w:val="9"/>
        </w:numPr>
        <w:spacing w:after="80"/>
      </w:pPr>
      <w:r>
        <w:t>Texas Department of Insurance: the formal proposal and adoption of HB 3824 fire-safety rules for batteries entering service on or after January 1, 2027, and how the law's bar on "inconsistent" local rules is read against codes like Pasadena's.</w:t>
      </w:r>
    </w:p>
    <w:p>
      <w:pPr>
        <w:pStyle w:val="ListParagraph"/>
        <w:numPr>
          <w:ilvl w:val="0"/>
          <w:numId w:val="9"/>
        </w:numPr>
        <w:spacing w:after="80"/>
      </w:pPr>
      <w:r>
        <w:t>November 3, 2026: county judge (Plummer v. Sanchez) and Commissioners Court Precincts 2 and 4; the new court sits in January 2027.</w:t>
      </w:r>
    </w:p>
    <w:p>
      <w:pPr>
        <w:pStyle w:val="ListParagraph"/>
        <w:numPr>
          <w:ilvl w:val="0"/>
          <w:numId w:val="9"/>
        </w:numPr>
        <w:spacing w:after="80"/>
      </w:pPr>
      <w:r>
        <w:t>January 2027: the 90th Legislature convenes, the first session since a state permit for renewable plants (SB 819) died in committee.</w:t>
      </w:r>
    </w:p>
    <w:p>
      <w:pPr>
        <w:pStyle w:val="ListParagraph"/>
        <w:numPr>
          <w:ilvl w:val="0"/>
          <w:numId w:val="9"/>
        </w:numPr>
        <w:spacing w:after="80"/>
      </w:pPr>
      <w:r>
        <w:t>Baytown: construction of Claire (planned for December 2027) and Massey (January 2028), and any union-backed ballot measure.</w:t>
      </w:r>
    </w:p>
    <w:p>
      <w:pPr>
        <w:pStyle w:val="ListParagraph"/>
        <w:numPr>
          <w:ilvl w:val="0"/>
          <w:numId w:val="9"/>
        </w:numPr>
        <w:spacing w:after="80"/>
      </w:pPr>
      <w:r>
        <w:t>AES Beacon and Sigma at Deepwater (projected October 2029) and whether Pasadena's Article XII applies to them.</w:t>
      </w:r>
    </w:p>
    <w:p>
      <w:pPr>
        <w:pStyle w:val="ListParagraph"/>
        <w:numPr>
          <w:ilvl w:val="0"/>
          <w:numId w:val="9"/>
        </w:numPr>
        <w:spacing w:after="80"/>
      </w:pPr>
      <w:r>
        <w:t>CenterPoint's data-center load additions and ERCOT's Batch Zero results.</w:t>
      </w:r>
    </w:p>
    <w:p>
      <w:pPr>
        <w:pStyle w:val="Heading1"/>
        <w:spacing w:before="360" w:after="120"/>
      </w:pPr>
      <w:r>
        <w:t>Hawthorn Intelligence Appendix</w:t>
      </w:r>
    </w:p>
    <w:p>
      <w:pPr>
        <w:spacing w:after="200"/>
      </w:pPr>
      <w:r>
        <w:rPr>
          <w:b/>
        </w:rPr>
        <w:t>Restriction score:</w:t>
      </w:r>
      <w:r>
        <w:t xml:space="preserve"> </w:t>
      </w:r>
      <w:r>
        <w:rPr>
          <w:i/>
        </w:rPr>
        <w:t>0.36/1</w:t>
      </w:r>
      <w:r>
        <w:rPr>
          <w:rStyle w:val="FootnoteReference"/>
        </w:rPr>
        <w:footnoteReference w:id="1"/>
      </w:r>
    </w:p>
    <w:p>
      <w:pPr>
        <w:spacing w:after="200"/>
      </w:pPr>
      <w:r>
        <w:t>Harris sits in the 78</w:t>
      </w:r>
      <w:r>
        <w:rPr>
          <w:vertAlign w:val="superscript"/>
        </w:rPr>
        <w:t>th</w:t>
      </w:r>
      <w:r>
        <w:t xml:space="preserve"> percentile nationally, the 93</w:t>
      </w:r>
      <w:r>
        <w:rPr>
          <w:vertAlign w:val="superscript"/>
        </w:rPr>
        <w:t>rd</w:t>
      </w:r>
      <w:r>
        <w:t xml:space="preserve"> in Texas, and the 51</w:t>
      </w:r>
      <w:r>
        <w:rPr>
          <w:vertAlign w:val="superscript"/>
        </w:rPr>
        <w:t>st</w:t>
      </w:r>
      <w:r>
        <w:t xml:space="preserve"> among the 747 counties with a severe restriction on record. The model scores five county traits: population, median household income, operating wind capacity, megawatts of wind, solar and storage requested in interconnection queues, and the share of neighboring counties with a severe restriction.</w:t>
      </w:r>
      <w:r>
        <w:rPr>
          <w:rStyle w:val="FootnoteReference"/>
        </w:rPr>
        <w:footnoteReference w:id="2"/>
      </w:r>
      <w:r>
        <w:t xml:space="preserve"> In Texas, Tarrant (0.81), Denton (0.73) and Fort Bend (0.72) score highest; the state median is 0.13.</w:t>
      </w:r>
    </w:p>
    <w:p>
      <w:pPr>
        <w:spacing w:after="200"/>
      </w:pPr>
      <w:r>
        <w:rPr>
          <w:b/>
        </w:rPr>
        <w:t>Scale</w:t>
      </w:r>
    </w:p>
    <w:p>
      <w:pPr>
        <w:spacing w:after="200"/>
      </w:pPr>
      <w:r>
        <w:t>The score comes from Hawthorn's county model, a regularized logistic regression whose traits were chosen from nine candidates by a pre-registered stability rule and validated with five-fold cross-validation repeated five times. Every county is scored out of fold, and a cross-fitted recalibration keeps scores in line with observed rates (calibration slope 1.00). Across ten equal deciles of the 3,144 counties, the share with a severe restriction rises from 3.5 percent in the lowest to 65 percent in the highest. Harris is in the eighth.</w:t>
      </w:r>
    </w:p>
    <w:p>
      <w:pPr>
        <w:keepNext/>
        <w:spacing w:before="120" w:after="80"/>
      </w:pPr>
      <w:r>
        <w:rPr>
          <w:b/>
          <w:i/>
        </w:rPr>
        <w:t xml:space="preserve">Table 1 </w:t>
      </w:r>
      <w:r>
        <w:rPr>
          <w:i/>
        </w:rPr>
        <w:t>Hawthorn Intelligence Restriction Scale</w:t>
      </w:r>
      <w:r>
        <w:rPr>
          <w:rStyle w:val="FootnoteReference"/>
        </w:rPr>
        <w:footnoteReference w:id="3"/>
      </w:r>
    </w:p>
    <w:tbl>
      <w:tblPr>
        <w:tblStyle w:val="TableNormal"/>
        <w:tblW w:w="10080" w:type="dxa"/>
        <w:tblLayout w:type="fixed"/>
        <w:tblLook w:val="04A0" w:firstRow="1" w:lastRow="0" w:firstColumn="1" w:lastColumn="0" w:noHBand="0" w:noVBand="1"/>
      </w:tblPr>
      <w:tblGrid>
        <w:gridCol w:w="2000"/>
        <w:gridCol w:w="2600"/>
        <w:gridCol w:w="1600"/>
        <w:gridCol w:w="3880"/>
      </w:tblGrid>
      <w:tr>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Decile</w:t>
            </w:r>
          </w:p>
        </w:tc>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Score range</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Counties</w:t>
            </w:r>
          </w:p>
        </w:tc>
        <w:tc>
          <w:tcPr>
            <w:tcW w:w="38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Share with a severe restriction</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 (lowest)</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0.015 to 0.063</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3.5%</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0.063 to 0.083</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0.083 to 0.105</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7.0%</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0.105 to 0.131</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0.131 to 0.164</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15.9%</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0.164 to 0.210</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0.210 to 0.279</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8: Harris</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0.280 to 0.386</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33.4%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0.386 to 0.546</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44.3%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10 (highest)</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0.546 to 0.930</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65.1%</w:t>
            </w:r>
          </w:p>
        </w:tc>
      </w:tr>
    </w:tbl>
    <w:p>
      <w:pPr>
        <w:spacing w:after="40"/>
      </w:pPr>
    </w:p>
    <w:p>
      <w:pPr>
        <w:keepNext/>
        <w:spacing w:before="120" w:after="80"/>
      </w:pPr>
      <w:r>
        <w:rPr>
          <w:b/>
          <w:i/>
        </w:rPr>
        <w:t xml:space="preserve">Table 2 </w:t>
      </w:r>
      <w:r>
        <w:rPr>
          <w:i/>
        </w:rPr>
        <w:t>Harris against national, state and peer benchmarks</w:t>
      </w:r>
      <w:r>
        <w:rPr>
          <w:rStyle w:val="FootnoteReference"/>
        </w:rPr>
        <w:footnoteReference w:id="4"/>
      </w:r>
    </w:p>
    <w:tbl>
      <w:tblPr>
        <w:tblStyle w:val="TableNormal"/>
        <w:tblW w:w="10080" w:type="dxa"/>
        <w:tblLayout w:type="fixed"/>
        <w:tblLook w:val="04A0" w:firstRow="1" w:lastRow="0" w:firstColumn="1" w:lastColumn="0" w:noHBand="0" w:noVBand="1"/>
      </w:tblPr>
      <w:tblGrid>
        <w:gridCol w:w="3280"/>
        <w:gridCol w:w="1700"/>
        <w:gridCol w:w="1700"/>
        <w:gridCol w:w="1700"/>
        <w:gridCol w:w="1700"/>
      </w:tblGrid>
      <w:tr>
        <w:trPr>
          <w:cantSplit/>
          <w:tblHeader/>
        </w:trPr>
        <w:tc>
          <w:tcPr>
            <w:tcW w:w="32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Measure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Harris</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U.S. percentile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TX percentile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Peer median</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Restriction score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0.39</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Opposition records (this review)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Records per 100,000 residents</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82</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Interconnection requests, MW (model input)</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7,779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2,679</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Operating solar, MW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125</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Operating wind, MW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32</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Population (model input)</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4,838,303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2,117,366</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Residents per square mile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2,834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1,659</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Median household income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$74,983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$79,630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Bachelor's degree or higher</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34.2%</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35.9%</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2024 presidential margin</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D+5.5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88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96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D+11.7</w:t>
            </w:r>
          </w:p>
        </w:tc>
      </w:tr>
    </w:tbl>
    <w:p>
      <w:pPr>
        <w:spacing w:after="40"/>
      </w:pPr>
    </w:p>
    <w:p>
      <w:pPr>
        <w:spacing w:after="200"/>
      </w:pPr>
      <w:r>
        <w:t>Against the average U.S. county, Harris's population and interconnection queue account for about two-thirds of the movement in its score. Its neighbors pull the other way: one of seven has a severe restriction on record. Its partisan margin contributes nothing, because the 2024 margin did not keep a stable sign across the model's cross-validation folds and was dropped.</w:t>
      </w:r>
    </w:p>
    <w:p>
      <w:pPr>
        <w:keepNext/>
        <w:spacing w:before="120" w:after="80"/>
      </w:pPr>
      <w:r>
        <w:rPr>
          <w:b/>
          <w:i/>
        </w:rPr>
        <w:t xml:space="preserve">Table 3 </w:t>
      </w:r>
      <w:r>
        <w:rPr>
          <w:i/>
        </w:rPr>
        <w:t>Contribution of each model trait to Harris's score</w:t>
      </w:r>
      <w:r>
        <w:rPr>
          <w:rStyle w:val="FootnoteReference"/>
        </w:rPr>
        <w:footnoteReference w:id="5"/>
      </w:r>
    </w:p>
    <w:tbl>
      <w:tblPr>
        <w:tblStyle w:val="TableNormal"/>
        <w:tblW w:w="10080" w:type="dxa"/>
        <w:tblLayout w:type="fixed"/>
        <w:tblLook w:val="04A0" w:firstRow="1" w:lastRow="0" w:firstColumn="1" w:lastColumn="0" w:noHBand="0" w:noVBand="1"/>
      </w:tblPr>
      <w:tblGrid>
        <w:gridCol w:w="2600"/>
        <w:gridCol w:w="2000"/>
        <w:gridCol w:w="1500"/>
        <w:gridCol w:w="900"/>
        <w:gridCol w:w="1400"/>
        <w:gridCol w:w="1680"/>
      </w:tblGrid>
      <w:tr>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County trait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Harris (U.S. average)</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Model direction</w:t>
            </w:r>
          </w:p>
        </w:tc>
        <w:tc>
          <w:tcPr>
            <w:tcW w:w="9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Trust tier</w:t>
            </w:r>
          </w:p>
        </w:tc>
        <w:tc>
          <w:tcPr>
            <w:tcW w:w="14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Lift (log-odds)</w:t>
            </w:r>
          </w:p>
        </w:tc>
        <w:tc>
          <w:tcPr>
            <w:tcW w:w="16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Share of movement</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Population</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4,838,303 (28,995)</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+0.59</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47%</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Interconnection requests (MW)</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7,779 (177)</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+0.26</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21%</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Neighbors with a severe restriction</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14% (24%)</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-0.25</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Median household income</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$74,983 ($65,870)</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+0.12</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Operating wind capacity</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 (1.3)</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-0.04</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w:t>
            </w:r>
          </w:p>
        </w:tc>
      </w:tr>
    </w:tbl>
    <w:p>
      <w:pPr>
        <w:spacing w:after="40"/>
      </w:pPr>
    </w:p>
    <w:p>
      <w:pPr>
        <w:spacing w:after="200"/>
      </w:pPr>
      <w:r>
        <w:t>Harris's record is in line with its profile. Its structural peers (other U.S. counties matched on population, density, education and 2024 margin)</w:t>
      </w:r>
      <w:r>
        <w:rPr>
          <w:rStyle w:val="FootnoteReference"/>
        </w:rPr>
        <w:footnoteReference w:id="6"/>
      </w:r>
      <w:r>
        <w:t xml:space="preserve"> have a median score of 0.39, and five of the ten have a severe restriction on record. Harris's five records put it in the 95</w:t>
      </w:r>
      <w:r>
        <w:rPr>
          <w:vertAlign w:val="superscript"/>
        </w:rPr>
        <w:t>th</w:t>
      </w:r>
      <w:r>
        <w:t xml:space="preserve"> percentile nationally by count; spread across five million residents, they come to 0.1 per 100,000, the 56</w:t>
      </w:r>
      <w:r>
        <w:rPr>
          <w:vertAlign w:val="superscript"/>
        </w:rPr>
        <w:t>th</w:t>
      </w:r>
      <w:r>
        <w:t xml:space="preserve"> percentile.</w:t>
      </w:r>
    </w:p>
    <w:p>
      <w:pPr>
        <w:spacing w:after="200"/>
      </w:pPr>
      <w:r>
        <w:rPr>
          <w:b/>
        </w:rPr>
        <w:t>Comparable outcomes:</w:t>
      </w:r>
      <w:r>
        <w:t xml:space="preserve"> The platform records few decided contested projects in Texas, mostly rural wind and solar fights. Around Houston, battery outcomes have split: Tomball (2023) and Katy (2024, in Waller County) denied projects near homes; Baytown (2025) and League City (2024 to 2025) approved projects with conditions; and the large industrial-site projects in Houston and unincorporated Harris advanced without a recorded fight.</w:t>
      </w:r>
    </w:p>
    <w:p>
      <w:pPr>
        <w:keepNext/>
        <w:spacing w:before="120" w:after="80"/>
      </w:pPr>
      <w:r>
        <w:rPr>
          <w:b/>
          <w:i/>
        </w:rPr>
        <w:t xml:space="preserve">Table 4 </w:t>
      </w:r>
      <w:r>
        <w:rPr>
          <w:i/>
        </w:rPr>
        <w:t>Neighboring counties</w:t>
      </w:r>
      <w:r>
        <w:rPr>
          <w:rStyle w:val="FootnoteReference"/>
        </w:rPr>
        <w:footnoteReference w:id="7"/>
      </w:r>
    </w:p>
    <w:tbl>
      <w:tblPr>
        <w:tblStyle w:val="TableNormal"/>
        <w:tblW w:w="10080" w:type="dxa"/>
        <w:tblLayout w:type="fixed"/>
        <w:tblLook w:val="04A0" w:firstRow="1" w:lastRow="0" w:firstColumn="1" w:lastColumn="0" w:noHBand="0" w:noVBand="1"/>
      </w:tblPr>
      <w:tblGrid>
        <w:gridCol w:w="2000"/>
        <w:gridCol w:w="1500"/>
        <w:gridCol w:w="1700"/>
        <w:gridCol w:w="1500"/>
        <w:gridCol w:w="1800"/>
        <w:gridCol w:w="1580"/>
      </w:tblGrid>
      <w:tr>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Neighboring county</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Restriction score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Severe restriction on record</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Opposition records</w:t>
            </w:r>
          </w:p>
        </w:tc>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Interconnection requests, MW</w:t>
            </w:r>
          </w:p>
        </w:tc>
        <w:tc>
          <w:tcPr>
            <w:tcW w:w="15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Population</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Fort Bend, TX</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0.72</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4,352</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893,767</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Montgomery, TX</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0.45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623</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684,432</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Galveston, TX</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0.43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3,098</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358,990</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Brazoria, TX</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15,471</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391,255</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Chambers, TX</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1,181</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51,498</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Waller, TX</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yes</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2,275</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61,552</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Liberty, TX</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0.20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2,583</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103,380</w:t>
            </w:r>
          </w:p>
        </w:tc>
      </w:tr>
    </w:tbl>
    <w:p>
      <w:pPr>
        <w:spacing w:after="40"/>
      </w:pPr>
    </w:p>
    <w:p>
      <w:pPr>
        <w:pStyle w:val="Heading2"/>
        <w:spacing w:before="240" w:after="80"/>
      </w:pPr>
      <w:r>
        <w:t>How to Read Hawthorn Intelligence Reports</w:t>
      </w:r>
    </w:p>
    <w:p>
      <w:pPr>
        <w:spacing w:after="200"/>
      </w:pPr>
      <w:r>
        <w:rPr>
          <w:b/>
        </w:rPr>
        <w:t>County Restriction Score and decile:</w:t>
      </w:r>
      <w:r>
        <w:t xml:space="preserve"> A calibrated 0 to 1 measure of how closely a county resembles counties that have enacted severe wind, solar or battery-storage restrictions (an explicit moratorium or ban, or terms likely to act as one, such as a solar or storage setback of 1,000 feet or more). It is reported with its likely range and national decile (Table 1). It describes county profiles, not any specific project, and its drivers are predictive associations, not causes.</w:t>
      </w:r>
    </w:p>
    <w:p>
      <w:pPr>
        <w:spacing w:after="200"/>
      </w:pPr>
      <w:r>
        <w:rPr>
          <w:b/>
        </w:rPr>
        <w:t>Evidence status:</w:t>
      </w:r>
      <w:r>
        <w:t xml:space="preserve"> How thoroughly a county's restriction record has been checked against the instruments themselves. It describes verification effort, not the likelihood of a restriction.</w:t>
      </w:r>
    </w:p>
    <w:p>
      <w:pPr>
        <w:keepNext/>
        <w:spacing w:before="120" w:after="80"/>
      </w:pPr>
      <w:r>
        <w:rPr>
          <w:b/>
          <w:i/>
        </w:rPr>
        <w:t xml:space="preserve">Table 5 </w:t>
      </w:r>
      <w:r>
        <w:rPr>
          <w:i/>
        </w:rPr>
        <w:t>Evidence status</w:t>
      </w:r>
      <w:r>
        <w:rPr>
          <w:rStyle w:val="FootnoteReference"/>
        </w:rPr>
        <w:footnoteReference w:id="8"/>
      </w:r>
    </w:p>
    <w:tbl>
      <w:tblPr>
        <w:tblStyle w:val="TableNormal"/>
        <w:tblW w:w="10080" w:type="dxa"/>
        <w:tblLayout w:type="fixed"/>
        <w:tblLook w:val="04A0" w:firstRow="1" w:lastRow="0" w:firstColumn="1" w:lastColumn="0" w:noHBand="0" w:noVBand="1"/>
      </w:tblPr>
      <w:tblGrid>
        <w:gridCol w:w="1900"/>
        <w:gridCol w:w="6080"/>
        <w:gridCol w:w="2100"/>
      </w:tblGrid>
      <w:tr>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Status</w:t>
            </w:r>
          </w:p>
        </w:tc>
        <w:tc>
          <w:tcPr>
            <w:tcW w:w="60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Meaning</w:t>
            </w:r>
          </w:p>
        </w:tc>
        <w:tc>
          <w:tcPr>
            <w:tcW w:w="21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U.S. counties</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Verified (Harris)</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At least one restriction checked against the instrument itself or the minutes that adopted it</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72 (2.2%)</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Recorded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Restrictions or contested projects on record from news, trackers or compiled databases, none yet read against the instrument</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1,340 (41.6%)</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Checked, none found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 reviewed search of the county's codes, minutes and news found no restriction (graded A to C by independence of sources)</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 (0.1%)</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Unexamined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 record and no documented check; absence of a record is not evidence of absence</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1,808 (56.1%)</w:t>
            </w:r>
          </w:p>
        </w:tc>
      </w:tr>
    </w:tbl>
    <w:p>
      <w:pPr>
        <w:spacing w:after="40"/>
      </w:pPr>
    </w:p>
    <w:p>
      <w:pPr>
        <w:spacing w:after="200"/>
      </w:pPr>
      <w:r>
        <w:rPr>
          <w:b/>
        </w:rPr>
        <w:t>Outcome tiers:</w:t>
      </w:r>
      <w:r>
        <w:t xml:space="preserve"> Project results, recorded by what happened. Only terminal dispositions count as decided; a vote that has not produced a final disposition stays pending.</w:t>
      </w:r>
    </w:p>
    <w:p>
      <w:pPr>
        <w:keepNext/>
        <w:spacing w:before="120" w:after="80"/>
      </w:pPr>
      <w:r>
        <w:rPr>
          <w:b/>
          <w:i/>
        </w:rPr>
        <w:t xml:space="preserve">Table 6 </w:t>
      </w:r>
      <w:r>
        <w:rPr>
          <w:i/>
        </w:rPr>
        <w:t>Outcome tiers</w:t>
      </w:r>
      <w:r>
        <w:rPr>
          <w:rStyle w:val="FootnoteReference"/>
        </w:rPr>
        <w:footnoteReference w:id="9"/>
      </w:r>
    </w:p>
    <w:tbl>
      <w:tblPr>
        <w:tblStyle w:val="TableNormal"/>
        <w:tblW w:w="10080" w:type="dxa"/>
        <w:tblLayout w:type="fixed"/>
        <w:tblLook w:val="04A0" w:firstRow="1" w:lastRow="0" w:firstColumn="1" w:lastColumn="0" w:noHBand="0" w:noVBand="1"/>
      </w:tblPr>
      <w:tblGrid>
        <w:gridCol w:w="2400"/>
        <w:gridCol w:w="4200"/>
        <w:gridCol w:w="3480"/>
      </w:tblGrid>
      <w:tr>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Outcome tier</w:t>
            </w:r>
          </w:p>
        </w:tc>
        <w:tc>
          <w:tcPr>
            <w:tcW w:w="42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Definition</w:t>
            </w:r>
          </w:p>
        </w:tc>
        <w:tc>
          <w:tcPr>
            <w:tcW w:w="34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Harris projects</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advanced_confirmed</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approval; the project may proceed</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Massey (Baytown, August 14, 2025)</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restricted_conditional</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approval carrying binding conditions</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Claire (Baytown, November 13, 2025: 200-foot-plus setbacks, wall, emergency plan)</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blocked_confirmed</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stop: denied or withdrawn</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Black Mountain, Pitchford Road (Tomball, June 19, 2023)</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pending</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 terminal disposition yet</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AES Beacon and Sigma (Deepwater); other queued projects without a local decision</w:t>
            </w:r>
          </w:p>
        </w:tc>
      </w:tr>
    </w:tbl>
    <w:p>
      <w:pPr>
        <w:spacing w:after="40"/>
      </w:pPr>
    </w:p>
    <w:p>
      <w:pPr>
        <w:spacing w:after="200"/>
      </w:pPr>
      <w:r>
        <w:rPr>
          <w:b/>
        </w:rPr>
        <w:t>Trust tiers:</w:t>
      </w:r>
      <w:r>
        <w:t xml:space="preserve"> Model traits are tiered by exposure to detection bias. Tier 1 (operating wind capacity and interconnection requests, from federal and grid-operator records) carries the least. Tier 2 (neighbors' restrictions) inherits whatever the restriction record misses. Tier 3 (population and income) also tracks news coverage and is read with more caution (Table 3).</w:t>
      </w:r>
    </w:p>
    <w:p>
      <w:pPr>
        <w:pStyle w:val="Heading2"/>
        <w:spacing w:before="240" w:after="80"/>
      </w:pPr>
      <w:r>
        <w:t>Why developers are looking at Harris</w:t>
      </w:r>
    </w:p>
    <w:p>
      <w:pPr>
        <w:spacing w:after="200"/>
      </w:pPr>
      <w:r>
        <w:rPr>
          <w:b/>
        </w:rPr>
        <w:t>Power access:</w:t>
      </w:r>
      <w:r>
        <w:t xml:space="preserve"> Houston is a load pocket. Imports from the north have long been among ERCOT's costliest congestion points, and storage near the load captures those price spreads. Retired power plants offer ready-made interconnections: Jupiter's Callisto projects sit on the former H.O. Clarke site, AES's Beacon and Sigma at the former Deepwater station, and Black Mountain's Outer Loop at Greens Bayou. Demand is rising: CenterPoint has 12.2 GW of committed industrial load, </w:t>
      </w:r>
      <w:hyperlink r:id="rId13" w:history="1">
        <w:r>
          <w:rPr>
            <w:rStyle w:val="Hyperlink"/>
          </w:rPr>
          <w:t xml:space="preserve">expects</w:t>
        </w:r>
      </w:hyperlink>
      <w:r>
        <w:t xml:space="preserve"> 8 GW of data centers by 2029, and submitted more than 17 GW to ERCOT's </w:t>
      </w:r>
      <w:hyperlink r:id="rId17" w:history="1">
        <w:r>
          <w:rPr>
            <w:rStyle w:val="Hyperlink"/>
          </w:rPr>
          <w:t xml:space="preserve">"Batch Zero"</w:t>
        </w:r>
      </w:hyperlink>
      <w:r>
        <w:t xml:space="preserve"> large-load study. After Hurricane Beryl cut power to about 2.26 million CenterPoint customers in July 2024, the Public Utility Commission </w:t>
      </w:r>
      <w:hyperlink r:id="rId18" w:history="1">
        <w:r>
          <w:rPr>
            <w:rStyle w:val="Hyperlink"/>
          </w:rPr>
          <w:t xml:space="preserve">approved</w:t>
        </w:r>
      </w:hyperlink>
      <w:r>
        <w:t xml:space="preserve"> a roughly $2.7 billion resiliency plan, and in September 2026 the county broke ground on an </w:t>
      </w:r>
      <w:hyperlink r:id="rId19" w:history="1">
        <w:r>
          <w:rPr>
            <w:rStyle w:val="Hyperlink"/>
          </w:rPr>
          <w:t xml:space="preserve">$88 million community solar and storage program</w:t>
        </w:r>
      </w:hyperlink>
      <w:r>
        <w:t>.</w:t>
      </w:r>
    </w:p>
    <w:p>
      <w:pPr>
        <w:spacing w:after="200"/>
      </w:pPr>
      <w:r>
        <w:rPr>
          <w:b/>
        </w:rPr>
        <w:t>Land use</w:t>
      </w:r>
      <w:r>
        <w:t xml:space="preserve"> is where the friction is. On industrial land, as at H.O. Clarke, Jupiter Power reportedly met no opposition. On suburban land, as with Claire's nine acres zoned Suburban Residential in Baytown, proximity to homes became the issue. Pasadena's code makes the trade explicit: storage only near utility property and away from homes, schools and flood zones.</w:t>
      </w:r>
    </w:p>
    <w:p>
      <w:pPr>
        <w:pStyle w:val="Heading2"/>
        <w:spacing w:before="240" w:after="80"/>
      </w:pPr>
      <w:r>
        <w:t>Restriction timeline</w:t>
      </w:r>
    </w:p>
    <w:p>
      <w:pPr>
        <w:pStyle w:val="ListParagraph"/>
        <w:numPr>
          <w:ilvl w:val="0"/>
          <w:numId w:val="9"/>
        </w:numPr>
        <w:spacing w:after="80"/>
      </w:pPr>
      <w:r>
        <w:t xml:space="preserve">June 19, 2023: Tomball City Council unanimously </w:t>
      </w:r>
      <w:hyperlink r:id="rId20" w:history="1">
        <w:r>
          <w:rPr>
            <w:rStyle w:val="Hyperlink"/>
          </w:rPr>
          <w:t xml:space="preserve">denies</w:t>
        </w:r>
      </w:hyperlink>
      <w:r>
        <w:t xml:space="preserve"> a conditional use permit for a Black Mountain Energy Storage battery on Pitchford Road.</w:t>
      </w:r>
    </w:p>
    <w:p>
      <w:pPr>
        <w:pStyle w:val="ListParagraph"/>
        <w:numPr>
          <w:ilvl w:val="0"/>
          <w:numId w:val="9"/>
        </w:numPr>
        <w:spacing w:after="80"/>
      </w:pPr>
      <w:r>
        <w:t xml:space="preserve">October 8, 2024: Pasadena City Council unanimously </w:t>
      </w:r>
      <w:hyperlink r:id="rId21" w:history="1">
        <w:r>
          <w:rPr>
            <w:rStyle w:val="Hyperlink"/>
          </w:rPr>
          <w:t xml:space="preserve">adopts</w:t>
        </w:r>
      </w:hyperlink>
      <w:r>
        <w:t xml:space="preserve"> Ordinance 2024-198, a 90-day moratorium on commercial battery permits in the city and its extraterritorial jurisdiction.</w:t>
      </w:r>
    </w:p>
    <w:p>
      <w:pPr>
        <w:pStyle w:val="ListParagraph"/>
        <w:numPr>
          <w:ilvl w:val="0"/>
          <w:numId w:val="9"/>
        </w:numPr>
        <w:spacing w:after="80"/>
      </w:pPr>
      <w:r>
        <w:t xml:space="preserve">January 7, 2025: Pasadena unanimously </w:t>
      </w:r>
      <w:hyperlink r:id="rId22" w:history="1">
        <w:r>
          <w:rPr>
            <w:rStyle w:val="Hyperlink"/>
          </w:rPr>
          <w:t xml:space="preserve">extends</w:t>
        </w:r>
      </w:hyperlink>
      <w:r>
        <w:t xml:space="preserve"> the moratorium 90 days (Ordinance 2025-001).</w:t>
      </w:r>
    </w:p>
    <w:p>
      <w:pPr>
        <w:pStyle w:val="ListParagraph"/>
        <w:numPr>
          <w:ilvl w:val="0"/>
          <w:numId w:val="9"/>
        </w:numPr>
        <w:spacing w:after="80"/>
      </w:pPr>
      <w:r>
        <w:t xml:space="preserve">April 1, 2025: Pasadena unanimously </w:t>
      </w:r>
      <w:hyperlink r:id="rId14" w:history="1">
        <w:r>
          <w:rPr>
            <w:rStyle w:val="Hyperlink"/>
          </w:rPr>
          <w:t xml:space="preserve">adopts</w:t>
        </w:r>
      </w:hyperlink>
      <w:r>
        <w:t xml:space="preserve"> Ordinance 2025-082, Article XII "Energy Storage Systems": five-acre cap, 500 feet from residences, 1,000 feet from critical facilities, special use permit with plume study.</w:t>
      </w:r>
    </w:p>
    <w:p>
      <w:pPr>
        <w:pStyle w:val="ListParagraph"/>
        <w:numPr>
          <w:ilvl w:val="0"/>
          <w:numId w:val="9"/>
        </w:numPr>
        <w:spacing w:after="80"/>
      </w:pPr>
      <w:r>
        <w:t xml:space="preserve">August 14, 2025: Baytown City Council </w:t>
      </w:r>
      <w:hyperlink r:id="rId23" w:history="1">
        <w:r>
          <w:rPr>
            <w:rStyle w:val="Hyperlink"/>
          </w:rPr>
          <w:t xml:space="preserve">approves</w:t>
        </w:r>
      </w:hyperlink>
      <w:r>
        <w:t xml:space="preserve"> the 100 MW Massey project over resident and union objections.</w:t>
      </w:r>
    </w:p>
    <w:p>
      <w:pPr>
        <w:pStyle w:val="ListParagraph"/>
        <w:numPr>
          <w:ilvl w:val="0"/>
          <w:numId w:val="9"/>
        </w:numPr>
        <w:spacing w:after="80"/>
      </w:pPr>
      <w:r>
        <w:t>September 1, 2025: State laws HB 3809 (battery decommissioning) and HB 3824 (battery fire safety, with limits on inconsistent local rules) take effect.</w:t>
      </w:r>
    </w:p>
    <w:p>
      <w:pPr>
        <w:pStyle w:val="ListParagraph"/>
        <w:numPr>
          <w:ilvl w:val="0"/>
          <w:numId w:val="9"/>
        </w:numPr>
        <w:spacing w:after="80"/>
      </w:pPr>
      <w:r>
        <w:t xml:space="preserve">November 13, 2025: Baytown </w:t>
      </w:r>
      <w:hyperlink r:id="rId24" w:history="1">
        <w:r>
          <w:rPr>
            <w:rStyle w:val="Hyperlink"/>
          </w:rPr>
          <w:t xml:space="preserve">approves</w:t>
        </w:r>
      </w:hyperlink>
      <w:r>
        <w:t xml:space="preserve"> the 406 MW Claire project in a Suburban Residential zone, reportedly 4-3.</w:t>
      </w:r>
    </w:p>
    <w:p>
      <w:pPr>
        <w:pStyle w:val="ListParagraph"/>
        <w:numPr>
          <w:ilvl w:val="0"/>
          <w:numId w:val="9"/>
        </w:numPr>
        <w:spacing w:after="80"/>
      </w:pPr>
      <w:r>
        <w:t xml:space="preserve">April 23, 2026: Harris County Fire Marshal Laurie Christensen, for Commissioners Court, </w:t>
      </w:r>
      <w:hyperlink r:id="rId25" w:history="1">
        <w:r>
          <w:rPr>
            <w:rStyle w:val="Hyperlink"/>
          </w:rPr>
          <w:t xml:space="preserve">asks</w:t>
        </w:r>
      </w:hyperlink>
      <w:r>
        <w:t xml:space="preserve"> a House committee for statewide NFPA 855-based standards.</w:t>
      </w:r>
    </w:p>
    <w:p>
      <w:pPr>
        <w:spacing w:after="200"/>
      </w:pPr>
      <w:r>
        <w:rPr>
          <w:b/>
        </w:rPr>
        <w:t>How the state law was written:</w:t>
      </w:r>
      <w:r>
        <w:t xml:space="preserve"> HB 3824, signed June 20, 2025, directs the Commissioner of Insurance to adopt fire standards "based solely on" UL and NFPA 855 for batteries of 1 MWh or more entering service on or after January 1, 2027, and </w:t>
      </w:r>
      <w:hyperlink r:id="rId26" w:history="1">
        <w:r>
          <w:rPr>
            <w:rStyle w:val="Hyperlink"/>
          </w:rPr>
          <w:t xml:space="preserve">provides</w:t>
        </w:r>
      </w:hyperlink>
      <w:r>
        <w:t xml:space="preserve"> that "a municipality or county may not adopt, enforce, or maintain an ordinance, order, or rule regulating conduct in a field of regulation that is inconsistent with the standards." Pasadena's code mixes fire-design rules with land-use siting rules. Which parts survive depends on the department's final rules, still an </w:t>
      </w:r>
      <w:hyperlink r:id="rId27" w:history="1">
        <w:r>
          <w:rPr>
            <w:rStyle w:val="Hyperlink"/>
          </w:rPr>
          <w:t xml:space="preserve">informal working draft</w:t>
        </w:r>
      </w:hyperlink>
      <w:r>
        <w:t xml:space="preserve"> on October 16, 2026.</w:t>
      </w:r>
    </w:p>
    <w:p>
      <w:pPr>
        <w:pStyle w:val="Heading2"/>
        <w:spacing w:before="240" w:after="80"/>
      </w:pPr>
      <w:r>
        <w:t>Project outcomes</w:t>
      </w:r>
    </w:p>
    <w:p>
      <w:pPr>
        <w:pStyle w:val="ListParagraph"/>
        <w:numPr>
          <w:ilvl w:val="0"/>
          <w:numId w:val="15"/>
        </w:numPr>
        <w:spacing w:after="80"/>
      </w:pPr>
      <w:r>
        <w:rPr>
          <w:b/>
        </w:rPr>
        <w:t>Claire BESS</w:t>
      </w:r>
      <w:r>
        <w:t xml:space="preserve"> (Balanced Rock Power; BRP Blue Topaz 3 LLC): 1010 Bob Smith Road, Baytown, interconnecting at Cedar Bayou 138 kV. Planning commission </w:t>
      </w:r>
      <w:hyperlink r:id="rId28" w:history="1">
        <w:r>
          <w:rPr>
            <w:rStyle w:val="Hyperlink"/>
          </w:rPr>
          <w:t xml:space="preserve">recommended approval 6-2</w:t>
        </w:r>
      </w:hyperlink>
      <w:r>
        <w:t xml:space="preserve"> on November 11, 2025; council approved it November 13. The developer projects more than $40 million in property taxes over 20 years; operation is planned for December 2027.</w:t>
      </w:r>
    </w:p>
    <w:p>
      <w:pPr>
        <w:pStyle w:val="ListParagraph"/>
        <w:numPr>
          <w:ilvl w:val="0"/>
          <w:numId w:val="15"/>
        </w:numPr>
        <w:spacing w:after="80"/>
      </w:pPr>
      <w:r>
        <w:rPr>
          <w:b/>
        </w:rPr>
        <w:t>Massey Energy Storage</w:t>
      </w:r>
      <w:r>
        <w:t xml:space="preserve"> (Cypress Creek Renewables): about 15.5 acres at 2015 Massey Tompkins Road, Baytown; rezoned to General Commercial with a special use permit on August 14, 2025. We found no evidence the union's ballot measure went forward. The developer projects about $20 million in taxes over 20 years.</w:t>
      </w:r>
    </w:p>
    <w:p>
      <w:pPr>
        <w:pStyle w:val="ListParagraph"/>
        <w:numPr>
          <w:ilvl w:val="0"/>
          <w:numId w:val="15"/>
        </w:numPr>
        <w:spacing w:after="80"/>
      </w:pPr>
      <w:r>
        <w:rPr>
          <w:b/>
        </w:rPr>
        <w:t>Pitchford Road BESS</w:t>
      </w:r>
      <w:r>
        <w:t xml:space="preserve"> (Black Mountain Energy Storage; landowner Michael Kirtley), Tomball: the council rezoned the land to light industrial but denied the conditional use permit on June 19, 2023; size not reported.</w:t>
      </w:r>
    </w:p>
    <w:p>
      <w:pPr>
        <w:pStyle w:val="ListParagraph"/>
        <w:numPr>
          <w:ilvl w:val="0"/>
          <w:numId w:val="15"/>
        </w:numPr>
        <w:spacing w:after="80"/>
      </w:pPr>
      <w:r>
        <w:rPr>
          <w:b/>
        </w:rPr>
        <w:t>AES Beacon and Sigma Storage</w:t>
      </w:r>
      <w:r>
        <w:t>: about 408 MW each at the Deepwater 345 kV and 138 kV substations in the Pasadena area, in ERCOT study with operation projected for October 2029; no local decision recorded.</w:t>
      </w:r>
    </w:p>
    <w:p>
      <w:pPr>
        <w:pStyle w:val="Heading2"/>
        <w:spacing w:before="240" w:after="80"/>
      </w:pPr>
      <w:r>
        <w:t>Opposition</w:t>
      </w:r>
    </w:p>
    <w:p>
      <w:pPr>
        <w:spacing w:after="200"/>
      </w:pPr>
      <w:r>
        <w:t xml:space="preserve">Organized groups on record: none specific to Harris County. Opponents on record are LiUNA Local 350, whose president Robert Ramos </w:t>
      </w:r>
      <w:hyperlink r:id="rId29" w:history="1">
        <w:r>
          <w:rPr>
            <w:rStyle w:val="Hyperlink"/>
          </w:rPr>
          <w:t xml:space="preserve">opposed</w:t>
        </w:r>
      </w:hyperlink>
      <w:r>
        <w:t xml:space="preserve"> Massey in August 2025, and residents of Baytown's Country Club View neighborhood, who opposed Claire. Concerns include fire and explosion risk, toxic plumes, proximity to homes and schools, hurricane and freeze resilience, flooding and the capacity of local fire departments. Waller County Judge Trey Duhon has </w:t>
      </w:r>
      <w:hyperlink r:id="rId30" w:history="1">
        <w:r>
          <w:rPr>
            <w:rStyle w:val="Hyperlink"/>
          </w:rPr>
          <w:t xml:space="preserve">promoted</w:t>
        </w:r>
      </w:hyperlink>
      <w:r>
        <w:t xml:space="preserve"> sub-regional planning commissions under Chapter 391 of the Local Government Code as a way for counties to resist battery projects.</w:t>
      </w:r>
    </w:p>
    <w:p>
      <w:pPr>
        <w:pStyle w:val="Heading2"/>
        <w:spacing w:before="240" w:after="80"/>
      </w:pPr>
      <w:r>
        <w:t>Local Context</w:t>
      </w:r>
    </w:p>
    <w:p>
      <w:pPr>
        <w:spacing w:after="200"/>
      </w:pPr>
      <w:r>
        <w:t xml:space="preserve">County Judge Lina Hidalgo (D) is not seeking a third term. Former Houston City Council members Letitia Plummer (D) and Orlando Sanchez (R) meet on November 3, 2026; a University of Houston Hobby School </w:t>
      </w:r>
      <w:hyperlink r:id="rId31" w:history="1">
        <w:r>
          <w:rPr>
            <w:rStyle w:val="Hyperlink"/>
          </w:rPr>
          <w:t xml:space="preserve">poll</w:t>
        </w:r>
      </w:hyperlink>
      <w:r>
        <w:t xml:space="preserve"> fielded October 3 to 8 had Plummer at 47 percent and Sanchez at 40. Energy and storage were not among the polled issues; voters ranked crime, property taxes, voting rights and flooding highest. Both candidates have backed "community lighthouses" for power and cooling during outages; neither has stated a position on battery siting. Commissioners Adrian Garcia (Precinct 2) and Lesley Briones (Precinct 4) are also on the ballot.</w:t>
      </w:r>
    </w:p>
    <w:p>
      <w:pPr>
        <w:spacing w:after="200"/>
      </w:pPr>
      <w:r>
        <w:t>In Pasadena, Thomas Schoenbein, who moved or seconded both moratorium ordinances as a councilmember, was elected mayor in 2025.</w:t>
      </w:r>
    </w:p>
    <w:p>
      <w:pPr>
        <w:pStyle w:val="Heading2"/>
        <w:spacing w:before="240" w:after="80"/>
      </w:pPr>
      <w:r>
        <w:t>State Context</w:t>
      </w:r>
    </w:p>
    <w:p>
      <w:pPr>
        <w:spacing w:after="200"/>
      </w:pPr>
      <w:r>
        <w:t xml:space="preserve">Texas has no state siting permit for wind, solar or storage plants, and the 2025 session left that unchanged. SB 819, which would have required one for renewable plants of 10 MW or more, passed the Senate and </w:t>
      </w:r>
      <w:hyperlink r:id="rId32" w:history="1">
        <w:r>
          <w:rPr>
            <w:rStyle w:val="Hyperlink"/>
          </w:rPr>
          <w:t xml:space="preserve">died</w:t>
        </w:r>
      </w:hyperlink>
      <w:r>
        <w:t xml:space="preserve"> in House State Affairs, as did SB 388 and SB 715. What passed was storage-specific: HB 3809 adds decommissioning and financial-assurance terms to battery leases signed from September 1, 2025, and HB 3824 creates state fire standards for batteries entering service from 2027 and limits local rules inconsistent with them. SB 6 changes how large loads such as data centers connect to the ERCOT grid.</w:t>
      </w:r>
    </w:p>
    <w:p>
      <w:pPr>
        <w:spacing w:after="200"/>
      </w:pPr>
      <w:r>
        <w:t xml:space="preserve">The House State Affairs Committee held an interim </w:t>
      </w:r>
      <w:hyperlink r:id="rId33" w:history="1">
        <w:r>
          <w:rPr>
            <w:rStyle w:val="Hyperlink"/>
          </w:rPr>
          <w:t xml:space="preserve">hearing</w:t>
        </w:r>
      </w:hyperlink>
      <w:r>
        <w:t xml:space="preserve"> on battery safety on April 23, 2026, where rural opponents dominated public comment; Senate committees took up renewable decommissioning and storage in September 2026. The Advanced Power Alliance, for the industry, argues the 2025 laws "strike the right balance"; the Republican Party of Texas has called for tighter limits.</w:t>
      </w:r>
    </w:p>
    <w:p>
      <w:pPr>
        <w:pStyle w:val="Heading2"/>
        <w:spacing w:before="240" w:after="80"/>
      </w:pPr>
      <w:r>
        <w:t>Sources</w:t>
      </w:r>
    </w:p>
    <w:p>
      <w:pPr>
        <w:spacing w:after="40"/>
      </w:pPr>
      <w:r>
        <w:rPr>
          <w:sz w:val="16"/>
        </w:rPr>
        <w:t xml:space="preserve">S1. U.S. Census Bureau, Vintage 2025 county population estimates. </w:t>
      </w:r>
      <w:hyperlink r:id="rId9" w:history="1">
        <w:r>
          <w:rPr>
            <w:rStyle w:val="Hyperlink"/>
            <w:sz w:val="16"/>
            <w:szCs w:val="16"/>
          </w:rPr>
          <w:t xml:space="preserve">https://www2.census.gov/programs-surveys/popest/datasets/2020-2025/counties/totals/co-est2025-alldata.csv</w:t>
        </w:r>
      </w:hyperlink>
    </w:p>
    <w:p>
      <w:pPr>
        <w:spacing w:after="40"/>
      </w:pPr>
      <w:r>
        <w:rPr>
          <w:sz w:val="16"/>
        </w:rPr>
        <w:t>S2. U.S. Census Bureau, American Community Survey 2020-2024 5-year estimates (B19013, S1501), via pricephillips/renewable-opposition county_covariates.csv.</w:t>
      </w:r>
    </w:p>
    <w:p>
      <w:pPr>
        <w:spacing w:after="40"/>
      </w:pPr>
      <w:r>
        <w:rPr>
          <w:sz w:val="16"/>
        </w:rPr>
        <w:t xml:space="preserve">S3. MIT Election Data and Science Lab, County Presidential Election Returns 2000-2024, doi:10.7910/DVN/VOQCHQ. </w:t>
      </w:r>
      <w:hyperlink r:id="rId10" w:history="1">
        <w:r>
          <w:rPr>
            <w:rStyle w:val="Hyperlink"/>
            <w:sz w:val="16"/>
            <w:szCs w:val="16"/>
          </w:rPr>
          <w:t xml:space="preserve">https://electionlab.mit.edu/data</w:t>
        </w:r>
      </w:hyperlink>
    </w:p>
    <w:p>
      <w:pPr>
        <w:spacing w:after="40"/>
      </w:pPr>
      <w:r>
        <w:rPr>
          <w:sz w:val="16"/>
        </w:rPr>
        <w:t xml:space="preserve">S4. U.S. Energy Information Administration, Preliminary Monthly Electric Generator Inventory (EIA-860M), August 2026. </w:t>
      </w:r>
      <w:hyperlink r:id="rId11" w:history="1">
        <w:r>
          <w:rPr>
            <w:rStyle w:val="Hyperlink"/>
            <w:sz w:val="16"/>
            <w:szCs w:val="16"/>
          </w:rPr>
          <w:t xml:space="preserve">https://www.eia.gov/electricity/data/eia860m/</w:t>
        </w:r>
      </w:hyperlink>
    </w:p>
    <w:p>
      <w:pPr>
        <w:spacing w:after="40"/>
      </w:pPr>
      <w:r>
        <w:rPr>
          <w:sz w:val="16"/>
        </w:rPr>
        <w:t xml:space="preserve">S5. Quicksand Check, Harris County, TX: Energy projects and permits (summary of ERCOT GIS report, September 2026). </w:t>
      </w:r>
      <w:hyperlink r:id="rId12" w:history="1">
        <w:r>
          <w:rPr>
            <w:rStyle w:val="Hyperlink"/>
            <w:sz w:val="16"/>
            <w:szCs w:val="16"/>
          </w:rPr>
          <w:t xml:space="preserve">https://quicksandcheck.com/texas/harris-county/</w:t>
        </w:r>
      </w:hyperlink>
    </w:p>
    <w:p>
      <w:pPr>
        <w:spacing w:after="40"/>
      </w:pPr>
      <w:r>
        <w:rPr>
          <w:sz w:val="16"/>
        </w:rPr>
        <w:t xml:space="preserve">S6. City of Pasadena, City Council minutes, Oct. 1, 2024. </w:t>
      </w:r>
      <w:hyperlink r:id="rId34" w:history="1">
        <w:r>
          <w:rPr>
            <w:rStyle w:val="Hyperlink"/>
            <w:sz w:val="16"/>
            <w:szCs w:val="16"/>
          </w:rPr>
          <w:t xml:space="preserve">https://www.pasadenatx.gov/AgendaCenter/ViewFile/Minutes/_10012024-531</w:t>
        </w:r>
      </w:hyperlink>
    </w:p>
    <w:p>
      <w:pPr>
        <w:spacing w:after="40"/>
      </w:pPr>
      <w:r>
        <w:rPr>
          <w:sz w:val="16"/>
        </w:rPr>
        <w:t xml:space="preserve">S7. City of Pasadena, City Council minutes, Oct. 8, 2024. </w:t>
      </w:r>
      <w:hyperlink r:id="rId21" w:history="1">
        <w:r>
          <w:rPr>
            <w:rStyle w:val="Hyperlink"/>
            <w:sz w:val="16"/>
            <w:szCs w:val="16"/>
          </w:rPr>
          <w:t xml:space="preserve">https://www.pasadenatx.gov/AgendaCenter/ViewFile/Minutes/_10082024-533</w:t>
        </w:r>
      </w:hyperlink>
    </w:p>
    <w:p>
      <w:pPr>
        <w:spacing w:after="40"/>
      </w:pPr>
      <w:r>
        <w:rPr>
          <w:sz w:val="16"/>
        </w:rPr>
        <w:t xml:space="preserve">S8. City of Pasadena, agenda packet with Ordinance 2025-001, Jan. 6, 2025. </w:t>
      </w:r>
      <w:hyperlink r:id="rId35" w:history="1">
        <w:r>
          <w:rPr>
            <w:rStyle w:val="Hyperlink"/>
            <w:sz w:val="16"/>
            <w:szCs w:val="16"/>
          </w:rPr>
          <w:t xml:space="preserve">https://www.pasadenatx.gov/AgendaCenter/ViewFile/Agenda/_01062025-552</w:t>
        </w:r>
      </w:hyperlink>
    </w:p>
    <w:p>
      <w:pPr>
        <w:spacing w:after="40"/>
      </w:pPr>
      <w:r>
        <w:rPr>
          <w:sz w:val="16"/>
        </w:rPr>
        <w:t xml:space="preserve">S9. City of Pasadena, City Council minutes, Jan. 7, 2025. </w:t>
      </w:r>
      <w:hyperlink r:id="rId22" w:history="1">
        <w:r>
          <w:rPr>
            <w:rStyle w:val="Hyperlink"/>
            <w:sz w:val="16"/>
            <w:szCs w:val="16"/>
          </w:rPr>
          <w:t xml:space="preserve">https://www.pasadenatx.gov/AgendaCenter/ViewFile/Minutes/_01072025-553</w:t>
        </w:r>
      </w:hyperlink>
    </w:p>
    <w:p>
      <w:pPr>
        <w:spacing w:after="40"/>
      </w:pPr>
      <w:r>
        <w:rPr>
          <w:sz w:val="16"/>
        </w:rPr>
        <w:t xml:space="preserve">S10. City of Pasadena, agenda packet with Ordinance 2025-082 and Article XII, Mar. 18, 2025. </w:t>
      </w:r>
      <w:hyperlink r:id="rId36" w:history="1">
        <w:r>
          <w:rPr>
            <w:rStyle w:val="Hyperlink"/>
            <w:sz w:val="16"/>
            <w:szCs w:val="16"/>
          </w:rPr>
          <w:t xml:space="preserve">https://www.pasadenatx.gov/AgendaCenter/ViewFile/Agenda/_03182025-571</w:t>
        </w:r>
      </w:hyperlink>
    </w:p>
    <w:p>
      <w:pPr>
        <w:spacing w:after="40"/>
      </w:pPr>
      <w:r>
        <w:rPr>
          <w:sz w:val="16"/>
        </w:rPr>
        <w:t xml:space="preserve">S11. City of Pasadena, City Council minutes, Apr. 1, 2025. </w:t>
      </w:r>
      <w:hyperlink r:id="rId14" w:history="1">
        <w:r>
          <w:rPr>
            <w:rStyle w:val="Hyperlink"/>
            <w:sz w:val="16"/>
            <w:szCs w:val="16"/>
          </w:rPr>
          <w:t xml:space="preserve">https://www.pasadenatx.gov/AgendaCenter/ViewFile/Minutes/_04012025-574</w:t>
        </w:r>
      </w:hyperlink>
    </w:p>
    <w:p>
      <w:pPr>
        <w:spacing w:after="40"/>
      </w:pPr>
      <w:r>
        <w:rPr>
          <w:sz w:val="16"/>
        </w:rPr>
        <w:t xml:space="preserve">S12. City of Pasadena, City Council agenda, Oct. 20, 2026. </w:t>
      </w:r>
      <w:hyperlink r:id="rId37" w:history="1">
        <w:r>
          <w:rPr>
            <w:rStyle w:val="Hyperlink"/>
            <w:sz w:val="16"/>
            <w:szCs w:val="16"/>
          </w:rPr>
          <w:t xml:space="preserve">https://www.pasadenatx.gov/AgendaCenter/ViewFile/Agenda/_10202026-735</w:t>
        </w:r>
      </w:hyperlink>
    </w:p>
    <w:p>
      <w:pPr>
        <w:spacing w:after="40"/>
      </w:pPr>
      <w:r>
        <w:rPr>
          <w:sz w:val="16"/>
        </w:rPr>
        <w:t xml:space="preserve">S13. City of Baytown, 2015 Massey Tompkins special use permit and zoning map amendment, Aug. 27, 2025. </w:t>
      </w:r>
      <w:hyperlink r:id="rId23" w:history="1">
        <w:r>
          <w:rPr>
            <w:rStyle w:val="Hyperlink"/>
            <w:sz w:val="16"/>
            <w:szCs w:val="16"/>
          </w:rPr>
          <w:t xml:space="preserve">https://baytown.org/CivicAlerts.asp?AID=1231</w:t>
        </w:r>
      </w:hyperlink>
    </w:p>
    <w:p>
      <w:pPr>
        <w:spacing w:after="40"/>
      </w:pPr>
      <w:r>
        <w:rPr>
          <w:sz w:val="16"/>
        </w:rPr>
        <w:t xml:space="preserve">S14. City of Baytown, 1010 Bob Smith Road zoning map amendment and special use permit, Jan. 22, 2026. </w:t>
      </w:r>
      <w:hyperlink r:id="rId24" w:history="1">
        <w:r>
          <w:rPr>
            <w:rStyle w:val="Hyperlink"/>
            <w:sz w:val="16"/>
            <w:szCs w:val="16"/>
          </w:rPr>
          <w:t xml:space="preserve">https://baytown.org/CivicAlerts.asp?AID=1362</w:t>
        </w:r>
      </w:hyperlink>
    </w:p>
    <w:p>
      <w:pPr>
        <w:spacing w:after="40"/>
      </w:pPr>
      <w:r>
        <w:rPr>
          <w:sz w:val="16"/>
        </w:rPr>
        <w:t xml:space="preserve">S15. Baytown Sun, Concerns expressed over battery storage complex, Aug. 20, 2025. </w:t>
      </w:r>
      <w:hyperlink r:id="rId29" w:history="1">
        <w:r>
          <w:rPr>
            <w:rStyle w:val="Hyperlink"/>
            <w:sz w:val="16"/>
            <w:szCs w:val="16"/>
          </w:rPr>
          <w:t xml:space="preserve">https://baytownsun.com/news/concerns-expressed-over-battery-storage-complex/article_3bf1ec16-f4c2-4bec-98c9-ebc2066b94c6.html</w:t>
        </w:r>
      </w:hyperlink>
    </w:p>
    <w:p>
      <w:pPr>
        <w:spacing w:after="40"/>
      </w:pPr>
      <w:r>
        <w:rPr>
          <w:sz w:val="16"/>
        </w:rPr>
        <w:t xml:space="preserve">S16. Baytown Sun, Baytown Planning &amp; Zoning recommends approval of 9-acre battery storage facility in residential area, Nov. 12, 2025. </w:t>
      </w:r>
      <w:hyperlink r:id="rId28" w:history="1">
        <w:r>
          <w:rPr>
            <w:rStyle w:val="Hyperlink"/>
            <w:sz w:val="16"/>
            <w:szCs w:val="16"/>
          </w:rPr>
          <w:t xml:space="preserve">https://baytownsun.com/local/baytown-planning-zoning-recommends-approval-of-9-acre-battery-storage-facility-in-residential-area/article_dda8b8c0-a892-4c64-94ad-2e0e91e6e920.html</w:t>
        </w:r>
      </w:hyperlink>
    </w:p>
    <w:p>
      <w:pPr>
        <w:spacing w:after="40"/>
      </w:pPr>
      <w:r>
        <w:rPr>
          <w:sz w:val="16"/>
        </w:rPr>
        <w:t xml:space="preserve">S17. Baytown Sun, Council approves battery storage, Nov. 2025. </w:t>
      </w:r>
      <w:hyperlink r:id="rId38" w:history="1">
        <w:r>
          <w:rPr>
            <w:rStyle w:val="Hyperlink"/>
            <w:sz w:val="16"/>
            <w:szCs w:val="16"/>
          </w:rPr>
          <w:t xml:space="preserve">https://baytownsun.com/local/council-approves-battery-storage/article_ad53181c-e3cb-43d0-bf1a-a1b684e4a532.html</w:t>
        </w:r>
      </w:hyperlink>
    </w:p>
    <w:p>
      <w:pPr>
        <w:spacing w:after="40"/>
      </w:pPr>
      <w:r>
        <w:rPr>
          <w:sz w:val="16"/>
        </w:rPr>
        <w:t xml:space="preserve">S18. City of Baytown, Special use permit, Garth Road battery energy storage system, 2023. </w:t>
      </w:r>
      <w:hyperlink r:id="rId39" w:history="1">
        <w:r>
          <w:rPr>
            <w:rStyle w:val="Hyperlink"/>
            <w:sz w:val="16"/>
            <w:szCs w:val="16"/>
          </w:rPr>
          <w:t xml:space="preserve">https://www.baytown.org/CivicAlerts.aspx?AID=808</w:t>
        </w:r>
      </w:hyperlink>
    </w:p>
    <w:p>
      <w:pPr>
        <w:spacing w:after="40"/>
      </w:pPr>
      <w:r>
        <w:rPr>
          <w:sz w:val="16"/>
        </w:rPr>
        <w:t xml:space="preserve">S19. Community Impact, Tomball City Council denies conditional use permit for battery storage system, June 21, 2023. </w:t>
      </w:r>
      <w:hyperlink r:id="rId20" w:history="1">
        <w:r>
          <w:rPr>
            <w:rStyle w:val="Hyperlink"/>
            <w:sz w:val="16"/>
            <w:szCs w:val="16"/>
          </w:rPr>
          <w:t xml:space="preserve">https://communityimpact.com/tomball-magnolia/government/tomball-city-council-denies-conditional-use-permit-for-battery-storage-system/</w:t>
        </w:r>
      </w:hyperlink>
    </w:p>
    <w:p>
      <w:pPr>
        <w:spacing w:after="40"/>
      </w:pPr>
      <w:r>
        <w:rPr>
          <w:sz w:val="16"/>
        </w:rPr>
        <w:t xml:space="preserve">S20. Harris County Fire Marshal's Office, Energy storage systems. </w:t>
      </w:r>
      <w:hyperlink r:id="rId15" w:history="1">
        <w:r>
          <w:rPr>
            <w:rStyle w:val="Hyperlink"/>
            <w:sz w:val="16"/>
            <w:szCs w:val="16"/>
          </w:rPr>
          <w:t xml:space="preserve">https://hcfchub.net/ova_dep/energy-storage-systems/</w:t>
        </w:r>
      </w:hyperlink>
    </w:p>
    <w:p>
      <w:pPr>
        <w:spacing w:after="40"/>
      </w:pPr>
      <w:r>
        <w:rPr>
          <w:sz w:val="16"/>
        </w:rPr>
        <w:t xml:space="preserve">S21. Texas House Committee on State Affairs, compilation of public comments, hearing of Apr. 23, 2026. </w:t>
      </w:r>
      <w:hyperlink r:id="rId25" w:history="1">
        <w:r>
          <w:rPr>
            <w:rStyle w:val="Hyperlink"/>
            <w:sz w:val="16"/>
            <w:szCs w:val="16"/>
          </w:rPr>
          <w:t xml:space="preserve">https://capitol.texas.gov/tlodocs/89R/handouts/C4502026042310001/63fa389c-78a1-45e9-9914-c39bb46ecf2c.PDF</w:t>
        </w:r>
      </w:hyperlink>
    </w:p>
    <w:p>
      <w:pPr>
        <w:spacing w:after="40"/>
      </w:pPr>
      <w:r>
        <w:rPr>
          <w:sz w:val="16"/>
        </w:rPr>
        <w:t xml:space="preserve">S22. Advanced Power Alliance, testimony before the House Committee on State Affairs, Apr. 23, 2026. </w:t>
      </w:r>
      <w:hyperlink r:id="rId33" w:history="1">
        <w:r>
          <w:rPr>
            <w:rStyle w:val="Hyperlink"/>
            <w:sz w:val="16"/>
            <w:szCs w:val="16"/>
          </w:rPr>
          <w:t xml:space="preserve">https://poweralliance.org/2026/04/23/advanced-power-alliance-testifies-before-texas-house-committee-on-state-affairs-2/</w:t>
        </w:r>
      </w:hyperlink>
    </w:p>
    <w:p>
      <w:pPr>
        <w:spacing w:after="40"/>
      </w:pPr>
      <w:r>
        <w:rPr>
          <w:sz w:val="16"/>
        </w:rPr>
        <w:t xml:space="preserve">S23. Texas Legislature, HB 3824 (89R), enrolled text. </w:t>
      </w:r>
      <w:hyperlink r:id="rId26" w:history="1">
        <w:r>
          <w:rPr>
            <w:rStyle w:val="Hyperlink"/>
            <w:sz w:val="16"/>
            <w:szCs w:val="16"/>
          </w:rPr>
          <w:t xml:space="preserve">https://capitol.texas.gov/tlodocs/89R/billtext/html/HB03824F.htm</w:t>
        </w:r>
      </w:hyperlink>
    </w:p>
    <w:p>
      <w:pPr>
        <w:spacing w:after="40"/>
      </w:pPr>
      <w:r>
        <w:rPr>
          <w:sz w:val="16"/>
        </w:rPr>
        <w:t xml:space="preserve">S24. Texas Legislature, HB 3809 (89R), bill analysis. </w:t>
      </w:r>
      <w:hyperlink r:id="rId40" w:history="1">
        <w:r>
          <w:rPr>
            <w:rStyle w:val="Hyperlink"/>
            <w:sz w:val="16"/>
            <w:szCs w:val="16"/>
          </w:rPr>
          <w:t xml:space="preserve">https://capitol.texas.gov/tlodocs/89R/analysis/html/HB03809S.htm</w:t>
        </w:r>
      </w:hyperlink>
    </w:p>
    <w:p>
      <w:pPr>
        <w:spacing w:after="40"/>
      </w:pPr>
      <w:r>
        <w:rPr>
          <w:sz w:val="16"/>
        </w:rPr>
        <w:t xml:space="preserve">S25. Texas Legislature, SB 6 (89R), enrolled bill analysis. </w:t>
      </w:r>
      <w:hyperlink r:id="rId41" w:history="1">
        <w:r>
          <w:rPr>
            <w:rStyle w:val="Hyperlink"/>
            <w:sz w:val="16"/>
            <w:szCs w:val="16"/>
          </w:rPr>
          <w:t xml:space="preserve">https://capitol.texas.gov/tlodocs/89R/analysis/html/SB00006F.htm</w:t>
        </w:r>
      </w:hyperlink>
    </w:p>
    <w:p>
      <w:pPr>
        <w:spacing w:after="40"/>
      </w:pPr>
      <w:r>
        <w:rPr>
          <w:sz w:val="16"/>
        </w:rPr>
        <w:t xml:space="preserve">S26. Texas Legislature, SB 819 (89R), bill history. </w:t>
      </w:r>
      <w:hyperlink r:id="rId32" w:history="1">
        <w:r>
          <w:rPr>
            <w:rStyle w:val="Hyperlink"/>
            <w:sz w:val="16"/>
            <w:szCs w:val="16"/>
          </w:rPr>
          <w:t xml:space="preserve">https://capitol.texas.gov/BillLookup/History.aspx?LegSess=89R&amp;Bill=SB819</w:t>
        </w:r>
      </w:hyperlink>
    </w:p>
    <w:p>
      <w:pPr>
        <w:spacing w:after="40"/>
      </w:pPr>
      <w:r>
        <w:rPr>
          <w:sz w:val="16"/>
        </w:rPr>
        <w:t xml:space="preserve">S27. Texas Department of Insurance, rules page (BESS safety informal working draft). </w:t>
      </w:r>
      <w:hyperlink r:id="rId27" w:history="1">
        <w:r>
          <w:rPr>
            <w:rStyle w:val="Hyperlink"/>
            <w:sz w:val="16"/>
            <w:szCs w:val="16"/>
          </w:rPr>
          <w:t xml:space="preserve">https://www.tdi.texas.gov/rules/index.html</w:t>
        </w:r>
      </w:hyperlink>
    </w:p>
    <w:p>
      <w:pPr>
        <w:spacing w:after="40"/>
      </w:pPr>
      <w:r>
        <w:rPr>
          <w:sz w:val="16"/>
        </w:rPr>
        <w:t xml:space="preserve">S28. Republican Party of Texas, Resolution to protect Texas counties from the rapid expansion of battery energy storage systems, Mar. 28, 2025. </w:t>
      </w:r>
      <w:hyperlink r:id="rId16" w:history="1">
        <w:r>
          <w:rPr>
            <w:rStyle w:val="Hyperlink"/>
            <w:sz w:val="16"/>
            <w:szCs w:val="16"/>
          </w:rPr>
          <w:t xml:space="preserve">https://texasgop.org/resolution-to-protect-texas-counties-from-the-rapid-expansion-of-battery-energy-storage-systems-bess/</w:t>
        </w:r>
      </w:hyperlink>
    </w:p>
    <w:p>
      <w:pPr>
        <w:spacing w:after="40"/>
      </w:pPr>
      <w:r>
        <w:rPr>
          <w:sz w:val="16"/>
        </w:rPr>
        <w:t xml:space="preserve">S29. Rigzone, CenterPoint targets 8 GW of data center load in 3 years, Apr. 26, 2026. </w:t>
      </w:r>
      <w:hyperlink r:id="rId13" w:history="1">
        <w:r>
          <w:rPr>
            <w:rStyle w:val="Hyperlink"/>
            <w:sz w:val="16"/>
            <w:szCs w:val="16"/>
          </w:rPr>
          <w:t xml:space="preserve">https://www.rigzone.com/news/centerpoint_targets_8_gw_of_data_center_load_in_3_years-26-apr-2026-183533-article/</w:t>
        </w:r>
      </w:hyperlink>
    </w:p>
    <w:p>
      <w:pPr>
        <w:spacing w:after="40"/>
      </w:pPr>
      <w:r>
        <w:rPr>
          <w:sz w:val="16"/>
        </w:rPr>
        <w:t xml:space="preserve">S30. Bracewell (Houston Business Journal), CenterPoint expects 14 GW of demand added to grid by 2031, July 28, 2026. </w:t>
      </w:r>
      <w:hyperlink r:id="rId17" w:history="1">
        <w:r>
          <w:rPr>
            <w:rStyle w:val="Hyperlink"/>
            <w:sz w:val="16"/>
            <w:szCs w:val="16"/>
          </w:rPr>
          <w:t xml:space="preserve">https://www.bracewell.com/news-events/centerpoint-expects-14-gw-of-demand-added-to-grid-by-2031-thanks-to-new-ercot-process/</w:t>
        </w:r>
      </w:hyperlink>
    </w:p>
    <w:p>
      <w:pPr>
        <w:spacing w:after="40"/>
      </w:pPr>
      <w:r>
        <w:rPr>
          <w:sz w:val="16"/>
        </w:rPr>
        <w:t xml:space="preserve">S31. Utility Dive, Texas regulators trim, approve $2.7B CenterPoint system resiliency plan, Aug. 25, 2025. </w:t>
      </w:r>
      <w:hyperlink r:id="rId18" w:history="1">
        <w:r>
          <w:rPr>
            <w:rStyle w:val="Hyperlink"/>
            <w:sz w:val="16"/>
            <w:szCs w:val="16"/>
          </w:rPr>
          <w:t xml:space="preserve">https://www.utilitydive.com/news/texas-regulators-trim-approve-27b-centerpoint-system-resiliency-plan/758476/</w:t>
        </w:r>
      </w:hyperlink>
    </w:p>
    <w:p>
      <w:pPr>
        <w:spacing w:after="40"/>
      </w:pPr>
      <w:r>
        <w:rPr>
          <w:sz w:val="16"/>
        </w:rPr>
        <w:t xml:space="preserve">S32. Community Impact, Harris County launches affordable clean energy program, Oct. 1, 2026. </w:t>
      </w:r>
      <w:hyperlink r:id="rId19" w:history="1">
        <w:r>
          <w:rPr>
            <w:rStyle w:val="Hyperlink"/>
            <w:sz w:val="16"/>
            <w:szCs w:val="16"/>
          </w:rPr>
          <w:t xml:space="preserve">https://communityimpact.com/bay-area/environment/harris-county-launches-affordable-clean-energy-program/</w:t>
        </w:r>
      </w:hyperlink>
    </w:p>
    <w:p>
      <w:pPr>
        <w:spacing w:after="40"/>
      </w:pPr>
      <w:r>
        <w:rPr>
          <w:sz w:val="16"/>
        </w:rPr>
        <w:t xml:space="preserve">S33. University of Houston Hobby School, Harris County Election 2026: countywide and Precincts 2 and 4, October 2026. </w:t>
      </w:r>
      <w:hyperlink r:id="rId31" w:history="1">
        <w:r>
          <w:rPr>
            <w:rStyle w:val="Hyperlink"/>
            <w:sz w:val="16"/>
            <w:szCs w:val="16"/>
          </w:rPr>
          <w:t xml:space="preserve">https://www.uh.edu/hobby/harris2026/county2026.pdf</w:t>
        </w:r>
      </w:hyperlink>
    </w:p>
    <w:p>
      <w:pPr>
        <w:spacing w:after="40"/>
      </w:pPr>
      <w:r>
        <w:rPr>
          <w:sz w:val="16"/>
        </w:rPr>
        <w:t xml:space="preserve">S34. Community Impact, Katy City Council denies permit for energy storage facility amid community pushback, Oct. 15, 2024. </w:t>
      </w:r>
      <w:hyperlink r:id="rId42" w:history="1">
        <w:r>
          <w:rPr>
            <w:rStyle w:val="Hyperlink"/>
            <w:sz w:val="16"/>
            <w:szCs w:val="16"/>
          </w:rPr>
          <w:t xml:space="preserve">https://communityimpact.com/houston/katy-north/government/2024/10/15/katy-city-council-denies-permit-for-energy-storage-facility-amid-community-pushback/</w:t>
        </w:r>
      </w:hyperlink>
    </w:p>
    <w:p>
      <w:pPr>
        <w:spacing w:after="40"/>
      </w:pPr>
      <w:r>
        <w:rPr>
          <w:sz w:val="16"/>
        </w:rPr>
        <w:t xml:space="preserve">S35. Click2Houston, Katy battery plant decision delayed; ERCOT says city's denial affects grid authority, Dec. 8, 2025. </w:t>
      </w:r>
      <w:hyperlink r:id="rId43" w:history="1">
        <w:r>
          <w:rPr>
            <w:rStyle w:val="Hyperlink"/>
            <w:sz w:val="16"/>
            <w:szCs w:val="16"/>
          </w:rPr>
          <w:t xml:space="preserve">https://www.click2houston.com/news/local/2025/12/08/katy-battery-plant-decision-delayed-ercot-says-citys-denial-affects-grid-authority/</w:t>
        </w:r>
      </w:hyperlink>
    </w:p>
    <w:p>
      <w:pPr>
        <w:spacing w:after="40"/>
      </w:pPr>
      <w:r>
        <w:rPr>
          <w:sz w:val="16"/>
        </w:rPr>
        <w:t xml:space="preserve">S36. Covering Katy, Ochoa Energy Storage withdraws application to build battery storage facility near Katy High School, July 14, 2026. </w:t>
      </w:r>
      <w:hyperlink r:id="rId44" w:history="1">
        <w:r>
          <w:rPr>
            <w:rStyle w:val="Hyperlink"/>
            <w:sz w:val="16"/>
            <w:szCs w:val="16"/>
          </w:rPr>
          <w:t xml:space="preserve">https://coveringkaty.com/news/katy/ochoa-energy-storage-withdraws-application-to-build-battery-/</w:t>
        </w:r>
      </w:hyperlink>
    </w:p>
    <w:p>
      <w:pPr>
        <w:spacing w:after="40"/>
      </w:pPr>
      <w:r>
        <w:rPr>
          <w:sz w:val="16"/>
        </w:rPr>
        <w:t xml:space="preserve">S37. Community Impact, Proposed battery storage facility in League City faces resident backlash, Mar. 26, 2024. </w:t>
      </w:r>
      <w:hyperlink r:id="rId45" w:history="1">
        <w:r>
          <w:rPr>
            <w:rStyle w:val="Hyperlink"/>
            <w:sz w:val="16"/>
            <w:szCs w:val="16"/>
          </w:rPr>
          <w:t xml:space="preserve">https://communityimpact.com/bay-area/development/proposed-battery-storage-facility-in-league-city-faces-resident-backlash/</w:t>
        </w:r>
      </w:hyperlink>
    </w:p>
    <w:p>
      <w:pPr>
        <w:spacing w:after="40"/>
      </w:pPr>
      <w:r>
        <w:rPr>
          <w:sz w:val="16"/>
        </w:rPr>
        <w:t xml:space="preserve">S38. City of League City, staff report, BESS ordinance, June 17, 2024. </w:t>
      </w:r>
      <w:hyperlink r:id="rId46" w:history="1">
        <w:r>
          <w:rPr>
            <w:rStyle w:val="Hyperlink"/>
            <w:sz w:val="16"/>
            <w:szCs w:val="16"/>
          </w:rPr>
          <w:t xml:space="preserve">https://www.leaguecitytx.gov/DocumentCenter/View/44947/4A-Staff-Report---BESS-Ordinance</w:t>
        </w:r>
      </w:hyperlink>
    </w:p>
    <w:p>
      <w:pPr>
        <w:spacing w:after="40"/>
      </w:pPr>
      <w:r>
        <w:rPr>
          <w:sz w:val="16"/>
        </w:rPr>
        <w:t xml:space="preserve">S39. Boerne Star, County makes move to help in fight against battery storage systems, Oct. 19, 2024. </w:t>
      </w:r>
      <w:hyperlink r:id="rId30" w:history="1">
        <w:r>
          <w:rPr>
            <w:rStyle w:val="Hyperlink"/>
            <w:sz w:val="16"/>
            <w:szCs w:val="16"/>
          </w:rPr>
          <w:t xml:space="preserve">https://www.boernestar.com/article/9257,county-makes-move-to-help-in-fight-against-battery-storage-systems</w:t>
        </w:r>
      </w:hyperlink>
    </w:p>
    <w:p>
      <w:pPr>
        <w:spacing w:after="40"/>
      </w:pPr>
      <w:r>
        <w:rPr>
          <w:sz w:val="16"/>
        </w:rPr>
        <w:t>S40. Hawthorn platform, pricephillips/renewable-opposition, commit 65df5c9 (restrictions, contested_projects, county_summary, county_covariates, queue_projects, facilities, county_adjacency), and the provisional county restriction model fitted October 16, 2026 under config/county_model_registration.json.</w:t>
      </w:r>
    </w:p>
    <w:p>
      <w:pPr>
        <w:pStyle w:val="Heading2"/>
        <w:spacing w:before="240" w:after="80"/>
      </w:pPr>
      <w:r>
        <w:t>Image credits</w:t>
      </w:r>
    </w:p>
    <w:p>
      <w:pPr>
        <w:spacing w:after="40"/>
      </w:pPr>
      <w:r>
        <w:rPr>
          <w:sz w:val="16"/>
        </w:rPr>
        <w:t>Page 1 county map: Hawthorn Intelligence, drawn from U.S. Census Bureau 2024 county boundaries (data/geo/counties_2024.topojson in the Hawthorn platform), in the style of David Benbennick's public-domain Wikimedia Commons county maps.</w:t>
      </w:r>
    </w:p>
    <w:sectPr w:rsidR="005946EE" w:rsidRPr="003F776A" w:rsidSect="00E11A44">
      <w:footerReference w:type="even" r:id="rId149"/>
      <w:footerReference w:type="default" r:id="rId15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01BE7D9" w14:textId="77777777" w:rsidR="00366813" w:rsidRDefault="00366813" w:rsidP="00E11A44">
      <w:r>
        <w:separator/>
      </w:r>
    </w:p>
  </w:endnote>
  <w:endnote w:type="continuationSeparator" w:id="0">
    <w:p w14:paraId="7F1D3C3F" w14:textId="77777777" w:rsidR="00366813" w:rsidRDefault="00366813" w:rsidP="00E11A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810910205"/>
      <w:docPartObj>
        <w:docPartGallery w:val="Page Numbers (Bottom of Page)"/>
        <w:docPartUnique/>
      </w:docPartObj>
    </w:sdtPr>
    <w:sdtEndPr>
      <w:rPr>
        <w:rStyle w:val="PageNumber"/>
      </w:rPr>
    </w:sdtEndPr>
    <w:sdtContent>
      <w:p w14:paraId="45C0DE88" w14:textId="30757198" w:rsidR="00C04B27" w:rsidRDefault="00C04B27" w:rsidP="00FA41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DFF2772" w14:textId="77777777" w:rsidR="00C04B27" w:rsidRDefault="00C04B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54050151"/>
      <w:docPartObj>
        <w:docPartGallery w:val="Page Numbers (Bottom of Page)"/>
        <w:docPartUnique/>
      </w:docPartObj>
    </w:sdtPr>
    <w:sdtEndPr>
      <w:rPr>
        <w:rStyle w:val="PageNumber"/>
      </w:rPr>
    </w:sdtEndPr>
    <w:sdtContent>
      <w:p w14:paraId="058F8DB0" w14:textId="66776AEF" w:rsidR="00C04B27" w:rsidRDefault="00C04B27" w:rsidP="00FA41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96D13B8" w14:textId="3FF3F7B7" w:rsidR="0081428A" w:rsidRDefault="00C04B27" w:rsidP="00C04B27">
    <w:pPr>
      <w:pStyle w:val="Footer"/>
      <w:ind w:right="360"/>
    </w:pPr>
    <w:r w:rsidRPr="000971D7">
      <w:rPr>
        <w:noProof/>
        <w:highlight w:val="yellow"/>
      </w:rPr>
      <w:drawing>
        <wp:anchor distT="0" distB="0" distL="114300" distR="114300" simplePos="0" relativeHeight="251658240" behindDoc="0" locked="0" layoutInCell="1" allowOverlap="1" wp14:anchorId="0D730020" wp14:editId="0FD87A89">
          <wp:simplePos x="0" y="0"/>
          <wp:positionH relativeFrom="margin">
            <wp:posOffset>0</wp:posOffset>
          </wp:positionH>
          <wp:positionV relativeFrom="margin">
            <wp:posOffset>8923020</wp:posOffset>
          </wp:positionV>
          <wp:extent cx="899795" cy="179705"/>
          <wp:effectExtent l="0" t="0" r="1905" b="0"/>
          <wp:wrapSquare wrapText="bothSides"/>
          <wp:docPr id="29" name="Picture 7" descr="A green text on a black background&#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descr="A green text on a black background&#10;&#10;Description automatically generated"/>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99795" cy="179705"/>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52A3C9" w14:textId="77777777" w:rsidR="00366813" w:rsidRDefault="00366813" w:rsidP="00E11A44">
      <w:r>
        <w:separator/>
      </w:r>
    </w:p>
  </w:footnote>
  <w:footnote w:type="continuationSeparator" w:id="0">
    <w:p w14:paraId="3EE11083" w14:textId="77777777" w:rsidR="00366813" w:rsidRDefault="00366813" w:rsidP="00E11A44">
      <w:r>
        <w:continuationSeparator/>
      </w:r>
    </w:p>
  </w:footnote>
  <w:footnote w:id="1">
    <w:p>
      <w:pPr>
        <w:pStyle w:val="FootnoteText"/>
      </w:pPr>
      <w:r>
        <w:rPr>
          <w:rStyle w:val="FootnoteReference"/>
          <w:rFonts w:ascii="Georgia" w:hAnsi="Georgia"/>
          <w:sz w:val="16"/>
          <w:szCs w:val="16"/>
        </w:rPr>
        <w:footnoteRef/>
      </w:r>
      <w:r>
        <w:rPr>
          <w:rFonts w:ascii="Georgia" w:hAnsi="Georgia"/>
          <w:sz w:val="16"/>
          <w:szCs w:val="16"/>
        </w:rPr>
        <w:t xml:space="preserve"> With a likely range of 0.31 to 0.39 (10th to 90th percentile of 200 bootstrap refits), against a national base rate of 0.24.</w:t>
      </w:r>
    </w:p>
  </w:footnote>
  <w:footnote w:id="2">
    <w:p>
      <w:pPr>
        <w:pStyle w:val="FootnoteText"/>
      </w:pPr>
      <w:r>
        <w:rPr>
          <w:rStyle w:val="FootnoteReference"/>
          <w:rFonts w:ascii="Georgia" w:hAnsi="Georgia"/>
          <w:sz w:val="16"/>
          <w:szCs w:val="16"/>
        </w:rPr>
        <w:footnoteRef/>
      </w:r>
      <w:r>
        <w:rPr>
          <w:rFonts w:ascii="Georgia" w:hAnsi="Georgia"/>
          <w:sz w:val="16"/>
          <w:szCs w:val="16"/>
        </w:rPr>
        <w:t xml:space="preserve"> Model validation: cross-validated AUC (area under the ROC curve: the chance a restricted county outscores an unrestricted one) 0.78 (0.81 when whole states are held out), Brier (mean squared error of the scores) score 0.145 against a 0.181 no-skill baseline (skill 0.20), expected calibration error 0.016 (0.010 on the gate's equal-width bins), across 3,144 counties; it passes the platform's pre-registered calibration gate. Median scores for restricted and unrestricted counties sit 21 points apart (0.34 and 0.14). This is a provisional fit made for this report; the platform's own county model is still being built.</w:t>
      </w:r>
    </w:p>
  </w:footnote>
  <w:footnote w:id="3">
    <w:p>
      <w:pPr>
        <w:pStyle w:val="FootnoteText"/>
      </w:pPr>
      <w:r>
        <w:rPr>
          <w:rStyle w:val="FootnoteReference"/>
          <w:rFonts w:ascii="Georgia" w:hAnsi="Georgia"/>
          <w:sz w:val="16"/>
          <w:szCs w:val="16"/>
        </w:rPr>
        <w:footnoteRef/>
      </w:r>
      <w:r>
        <w:rPr>
          <w:rFonts w:ascii="Georgia" w:hAnsi="Georgia"/>
          <w:sz w:val="16"/>
          <w:szCs w:val="16"/>
        </w:rPr>
        <w:t xml:space="preserve"> Deciles computed from all 3,144 scored counties (the 50 states and DC) as of October 16, 2026. A severe restriction is one scoring 3 or 4 on the platform's severity scale. Harris's own label rests on Pasadena's 2024 moratorium, which the platform lists as extended and in force; the city's minutes show it was replaced in April 2025 by Article XII, whose 500-foot residential setback would score 2. The label does not enter Harris's own out-of-fold score.</w:t>
      </w:r>
    </w:p>
  </w:footnote>
  <w:footnote w:id="4">
    <w:p>
      <w:pPr>
        <w:pStyle w:val="FootnoteText"/>
      </w:pPr>
      <w:r>
        <w:rPr>
          <w:rStyle w:val="FootnoteReference"/>
          <w:rFonts w:ascii="Georgia" w:hAnsi="Georgia"/>
          <w:sz w:val="16"/>
          <w:szCs w:val="16"/>
        </w:rPr>
        <w:footnoteRef/>
      </w:r>
      <w:r>
        <w:rPr>
          <w:rFonts w:ascii="Georgia" w:hAnsi="Georgia"/>
          <w:sz w:val="16"/>
          <w:szCs w:val="16"/>
        </w:rPr>
        <w:t xml:space="preserve"> Percentiles are mid-rank: the share of counties below Harris plus half of ties. The margin row ranks Democratic lean. Opposition records include the Pasadena storage code and the three contested projects this review found, which the platform's published data does not yet hold; all other counties' records are as published. Demographic rows show the model inputs (ACS 2020-2024). Operating solar counts every EIA-860M plant that lists solar among its technologies, so Harris's 136 MW includes the battery half of the Liberty hybrid; solar alone is about 72 MW. Interconnection requests cover all statuses (about 7.1 GW was active at the end of 2025).</w:t>
      </w:r>
    </w:p>
  </w:footnote>
  <w:footnote w:id="5">
    <w:p>
      <w:pPr>
        <w:pStyle w:val="FootnoteText"/>
      </w:pPr>
      <w:r>
        <w:rPr>
          <w:rStyle w:val="FootnoteReference"/>
          <w:rFonts w:ascii="Georgia" w:hAnsi="Georgia"/>
          <w:sz w:val="16"/>
          <w:szCs w:val="16"/>
        </w:rPr>
        <w:footnoteRef/>
      </w:r>
      <w:r>
        <w:rPr>
          <w:rFonts w:ascii="Georgia" w:hAnsi="Georgia"/>
          <w:sz w:val="16"/>
          <w:szCs w:val="16"/>
        </w:rPr>
        <w:t xml:space="preserve"> Lift is the median cross-validated coefficient times Harris's standardized, transformed value, summed to 0.69 log-odds above an average county. Share of movement is each trait's absolute lift as a share of the total. Averages are on the model's log scale.</w:t>
      </w:r>
    </w:p>
  </w:footnote>
  <w:footnote w:id="6">
    <w:p>
      <w:pPr>
        <w:pStyle w:val="FootnoteText"/>
      </w:pPr>
      <w:r>
        <w:rPr>
          <w:rStyle w:val="FootnoteReference"/>
          <w:rFonts w:ascii="Georgia" w:hAnsi="Georgia"/>
          <w:sz w:val="16"/>
          <w:szCs w:val="16"/>
        </w:rPr>
        <w:footnoteRef/>
      </w:r>
      <w:r>
        <w:rPr>
          <w:rFonts w:ascii="Georgia" w:hAnsi="Georgia"/>
          <w:sz w:val="16"/>
          <w:szCs w:val="16"/>
        </w:rPr>
        <w:t xml:space="preserve"> The peers are Tarrant, Dallas and Bexar (TX), Miami-Dade, Broward, Hillsborough and Orange (FL), and Sacramento, Los Angeles and Orange (CA); Orange (CA) scores highest at 0.91.</w:t>
      </w:r>
    </w:p>
  </w:footnote>
  <w:footnote w:id="7">
    <w:p>
      <w:pPr>
        <w:pStyle w:val="FootnoteText"/>
      </w:pPr>
      <w:r>
        <w:rPr>
          <w:rStyle w:val="FootnoteReference"/>
          <w:rFonts w:ascii="Georgia" w:hAnsi="Georgia"/>
          <w:sz w:val="16"/>
          <w:szCs w:val="16"/>
        </w:rPr>
        <w:footnoteRef/>
      </w:r>
      <w:r>
        <w:rPr>
          <w:rFonts w:ascii="Georgia" w:hAnsi="Georgia"/>
          <w:sz w:val="16"/>
          <w:szCs w:val="16"/>
        </w:rPr>
        <w:t xml:space="preserve"> Scores describe county profiles, not restriction status. Waller's severe record is the City of Waller's 2010 limit on small wind systems; Katy's denial of the 500 MW Ochoa project (2024, withdrawn 2026) is on a Waller County site and not yet in the platform. League City and Texas City in Galveston County have adopted storage rules that are not yet in the platform. Interconnection requests are from LBNL Queued Up (data through 2025); population is the ACS 2020-2024 model input.</w:t>
      </w:r>
    </w:p>
  </w:footnote>
  <w:footnote w:id="8">
    <w:p>
      <w:pPr>
        <w:pStyle w:val="FootnoteText"/>
      </w:pPr>
      <w:r>
        <w:rPr>
          <w:rStyle w:val="FootnoteReference"/>
          <w:rFonts w:ascii="Georgia" w:hAnsi="Georgia"/>
          <w:sz w:val="16"/>
          <w:szCs w:val="16"/>
        </w:rPr>
        <w:footnoteRef/>
      </w:r>
      <w:r>
        <w:rPr>
          <w:rFonts w:ascii="Georgia" w:hAnsi="Georgia"/>
          <w:sz w:val="16"/>
          <w:szCs w:val="16"/>
        </w:rPr>
        <w:t xml:space="preserve"> Distribution across 3,222 counties and county equivalents in the platform's published data as of October 13, 2026.</w:t>
      </w:r>
    </w:p>
  </w:footnote>
  <w:footnote w:id="9">
    <w:p>
      <w:pPr>
        <w:pStyle w:val="FootnoteText"/>
      </w:pPr>
      <w:r>
        <w:rPr>
          <w:rStyle w:val="FootnoteReference"/>
          <w:rFonts w:ascii="Georgia" w:hAnsi="Georgia"/>
          <w:sz w:val="16"/>
          <w:szCs w:val="16"/>
        </w:rPr>
        <w:footnoteRef/>
      </w:r>
      <w:r>
        <w:rPr>
          <w:rFonts w:ascii="Georgia" w:hAnsi="Georgia"/>
          <w:sz w:val="16"/>
          <w:szCs w:val="16"/>
        </w:rPr>
        <w:t xml:space="preserve"> Tiers for the Baytown and Tomball projects are assigned from the public record cited under Project outcomes; the Claire vote count rests on a Baytown Sun report we could not open.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E27473"/>
    <w:multiLevelType w:val="hybridMultilevel"/>
    <w:tmpl w:val="87FC4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5F0280"/>
    <w:multiLevelType w:val="hybridMultilevel"/>
    <w:tmpl w:val="D69EF024"/>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8C751A"/>
    <w:multiLevelType w:val="hybridMultilevel"/>
    <w:tmpl w:val="94949552"/>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D07E84"/>
    <w:multiLevelType w:val="multilevel"/>
    <w:tmpl w:val="E0EE8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124721"/>
    <w:multiLevelType w:val="hybridMultilevel"/>
    <w:tmpl w:val="100CDE60"/>
    <w:lvl w:ilvl="0" w:tplc="A606D5D2">
      <w:start w:val="1"/>
      <w:numFmt w:val="bullet"/>
      <w:lvlText w:val="•"/>
      <w:lvlJc w:val="left"/>
      <w:pPr>
        <w:ind w:left="360" w:hanging="240"/>
      </w:pPr>
    </w:lvl>
    <w:lvl w:ilvl="1" w:tplc="6AB65CCE">
      <w:numFmt w:val="decimal"/>
      <w:lvlText w:val=""/>
      <w:lvlJc w:val="left"/>
    </w:lvl>
    <w:lvl w:ilvl="2" w:tplc="C9E0209E">
      <w:numFmt w:val="decimal"/>
      <w:lvlText w:val=""/>
      <w:lvlJc w:val="left"/>
    </w:lvl>
    <w:lvl w:ilvl="3" w:tplc="930EF30A">
      <w:numFmt w:val="decimal"/>
      <w:lvlText w:val=""/>
      <w:lvlJc w:val="left"/>
    </w:lvl>
    <w:lvl w:ilvl="4" w:tplc="8F6EE14E">
      <w:numFmt w:val="decimal"/>
      <w:lvlText w:val=""/>
      <w:lvlJc w:val="left"/>
    </w:lvl>
    <w:lvl w:ilvl="5" w:tplc="F93E6B34">
      <w:numFmt w:val="decimal"/>
      <w:lvlText w:val=""/>
      <w:lvlJc w:val="left"/>
    </w:lvl>
    <w:lvl w:ilvl="6" w:tplc="2BA8233C">
      <w:numFmt w:val="decimal"/>
      <w:lvlText w:val=""/>
      <w:lvlJc w:val="left"/>
    </w:lvl>
    <w:lvl w:ilvl="7" w:tplc="2C60DF98">
      <w:numFmt w:val="decimal"/>
      <w:lvlText w:val=""/>
      <w:lvlJc w:val="left"/>
    </w:lvl>
    <w:lvl w:ilvl="8" w:tplc="693A50F4">
      <w:numFmt w:val="decimal"/>
      <w:lvlText w:val=""/>
      <w:lvlJc w:val="left"/>
    </w:lvl>
  </w:abstractNum>
  <w:abstractNum w:abstractNumId="5" w15:restartNumberingAfterBreak="0">
    <w:nsid w:val="490D349E"/>
    <w:multiLevelType w:val="hybridMultilevel"/>
    <w:tmpl w:val="815E53C0"/>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0B20698"/>
    <w:multiLevelType w:val="hybridMultilevel"/>
    <w:tmpl w:val="6060BC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6676F54"/>
    <w:multiLevelType w:val="hybridMultilevel"/>
    <w:tmpl w:val="87962A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6B7DAA"/>
    <w:multiLevelType w:val="hybridMultilevel"/>
    <w:tmpl w:val="55C4A090"/>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9" w15:restartNumberingAfterBreak="0">
    <w:nsid w:val="6C996983"/>
    <w:multiLevelType w:val="hybridMultilevel"/>
    <w:tmpl w:val="3ACAA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EB830B2"/>
    <w:multiLevelType w:val="hybridMultilevel"/>
    <w:tmpl w:val="7E46C3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61374107">
    <w:abstractNumId w:val="1"/>
  </w:num>
  <w:num w:numId="2" w16cid:durableId="1245800776">
    <w:abstractNumId w:val="5"/>
  </w:num>
  <w:num w:numId="3" w16cid:durableId="923958287">
    <w:abstractNumId w:val="2"/>
  </w:num>
  <w:num w:numId="4" w16cid:durableId="1241794666">
    <w:abstractNumId w:val="4"/>
    <w:lvlOverride w:ilvl="0">
      <w:startOverride w:val="1"/>
    </w:lvlOverride>
  </w:num>
  <w:num w:numId="5" w16cid:durableId="458647231">
    <w:abstractNumId w:val="10"/>
  </w:num>
  <w:num w:numId="6" w16cid:durableId="376003952">
    <w:abstractNumId w:val="7"/>
  </w:num>
  <w:num w:numId="7" w16cid:durableId="1015500443">
    <w:abstractNumId w:val="8"/>
  </w:num>
  <w:num w:numId="8" w16cid:durableId="1826436875">
    <w:abstractNumId w:val="9"/>
  </w:num>
  <w:num w:numId="9" w16cid:durableId="970406196">
    <w:abstractNumId w:val="6"/>
  </w:num>
  <w:num w:numId="10" w16cid:durableId="1817408200">
    <w:abstractNumId w:val="3"/>
  </w:num>
  <w:num w:numId="11" w16cid:durableId="1432436436">
    <w:abstractNumId w:val="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attachedTemplate r:id="rId1"/>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A71"/>
    <w:rsid w:val="000012E9"/>
    <w:rsid w:val="00002F26"/>
    <w:rsid w:val="00052238"/>
    <w:rsid w:val="00085F75"/>
    <w:rsid w:val="00090CAE"/>
    <w:rsid w:val="00096BB9"/>
    <w:rsid w:val="000A7153"/>
    <w:rsid w:val="000B12E5"/>
    <w:rsid w:val="000B441C"/>
    <w:rsid w:val="000C7D8E"/>
    <w:rsid w:val="000D7BE7"/>
    <w:rsid w:val="000F4CD3"/>
    <w:rsid w:val="00113839"/>
    <w:rsid w:val="001230C8"/>
    <w:rsid w:val="00135834"/>
    <w:rsid w:val="00151761"/>
    <w:rsid w:val="001609FA"/>
    <w:rsid w:val="0016389A"/>
    <w:rsid w:val="00171E89"/>
    <w:rsid w:val="0017333B"/>
    <w:rsid w:val="0017639D"/>
    <w:rsid w:val="0019490A"/>
    <w:rsid w:val="001B7BFF"/>
    <w:rsid w:val="001B7EE7"/>
    <w:rsid w:val="001D1E49"/>
    <w:rsid w:val="001D2E23"/>
    <w:rsid w:val="001D2F2A"/>
    <w:rsid w:val="001D70C3"/>
    <w:rsid w:val="001E07E3"/>
    <w:rsid w:val="001E4437"/>
    <w:rsid w:val="001F2412"/>
    <w:rsid w:val="00222018"/>
    <w:rsid w:val="0022433B"/>
    <w:rsid w:val="00230BBC"/>
    <w:rsid w:val="00232302"/>
    <w:rsid w:val="0023752F"/>
    <w:rsid w:val="00244403"/>
    <w:rsid w:val="00254C3D"/>
    <w:rsid w:val="00256E9E"/>
    <w:rsid w:val="00281113"/>
    <w:rsid w:val="002879A6"/>
    <w:rsid w:val="00297C73"/>
    <w:rsid w:val="002B17A6"/>
    <w:rsid w:val="002B59FB"/>
    <w:rsid w:val="002D282F"/>
    <w:rsid w:val="002F273C"/>
    <w:rsid w:val="003024A6"/>
    <w:rsid w:val="00305772"/>
    <w:rsid w:val="003149DB"/>
    <w:rsid w:val="00315204"/>
    <w:rsid w:val="00325C31"/>
    <w:rsid w:val="00351312"/>
    <w:rsid w:val="003536FA"/>
    <w:rsid w:val="00353B25"/>
    <w:rsid w:val="00360C26"/>
    <w:rsid w:val="00366813"/>
    <w:rsid w:val="00372230"/>
    <w:rsid w:val="0037774E"/>
    <w:rsid w:val="0038285C"/>
    <w:rsid w:val="00386D6F"/>
    <w:rsid w:val="003A414B"/>
    <w:rsid w:val="003A4C6E"/>
    <w:rsid w:val="003A79D4"/>
    <w:rsid w:val="003C2F3A"/>
    <w:rsid w:val="003E54D8"/>
    <w:rsid w:val="003E65D3"/>
    <w:rsid w:val="003F0268"/>
    <w:rsid w:val="003F63DD"/>
    <w:rsid w:val="003F7219"/>
    <w:rsid w:val="003F776A"/>
    <w:rsid w:val="004032BA"/>
    <w:rsid w:val="00421137"/>
    <w:rsid w:val="00427D3C"/>
    <w:rsid w:val="00436EC3"/>
    <w:rsid w:val="00437D46"/>
    <w:rsid w:val="00441F82"/>
    <w:rsid w:val="00444B01"/>
    <w:rsid w:val="0045202E"/>
    <w:rsid w:val="00485909"/>
    <w:rsid w:val="004A0AB0"/>
    <w:rsid w:val="004B4DDA"/>
    <w:rsid w:val="004D00A2"/>
    <w:rsid w:val="004D71AE"/>
    <w:rsid w:val="004F7D95"/>
    <w:rsid w:val="0050213D"/>
    <w:rsid w:val="00502D03"/>
    <w:rsid w:val="0051487E"/>
    <w:rsid w:val="00524567"/>
    <w:rsid w:val="00535A3A"/>
    <w:rsid w:val="00536359"/>
    <w:rsid w:val="00562B06"/>
    <w:rsid w:val="00566E7E"/>
    <w:rsid w:val="005946EE"/>
    <w:rsid w:val="0059707B"/>
    <w:rsid w:val="005A64AA"/>
    <w:rsid w:val="005E607B"/>
    <w:rsid w:val="005F1947"/>
    <w:rsid w:val="005F254D"/>
    <w:rsid w:val="005F5CC8"/>
    <w:rsid w:val="00600BA3"/>
    <w:rsid w:val="00603721"/>
    <w:rsid w:val="00606BAB"/>
    <w:rsid w:val="006153E0"/>
    <w:rsid w:val="00631444"/>
    <w:rsid w:val="00654EB7"/>
    <w:rsid w:val="0067378A"/>
    <w:rsid w:val="00673F23"/>
    <w:rsid w:val="00681325"/>
    <w:rsid w:val="00682077"/>
    <w:rsid w:val="0068292B"/>
    <w:rsid w:val="00682E3A"/>
    <w:rsid w:val="006905B6"/>
    <w:rsid w:val="006A46A4"/>
    <w:rsid w:val="006B175D"/>
    <w:rsid w:val="006C2016"/>
    <w:rsid w:val="006C7750"/>
    <w:rsid w:val="006D0599"/>
    <w:rsid w:val="006D09F1"/>
    <w:rsid w:val="006D4F6F"/>
    <w:rsid w:val="006E5581"/>
    <w:rsid w:val="006F1DB8"/>
    <w:rsid w:val="007009B1"/>
    <w:rsid w:val="0070408E"/>
    <w:rsid w:val="007368F1"/>
    <w:rsid w:val="00741AD8"/>
    <w:rsid w:val="00762DBE"/>
    <w:rsid w:val="0076316F"/>
    <w:rsid w:val="00764B87"/>
    <w:rsid w:val="00774CBA"/>
    <w:rsid w:val="0077666F"/>
    <w:rsid w:val="00781A16"/>
    <w:rsid w:val="00782FBC"/>
    <w:rsid w:val="00782FC5"/>
    <w:rsid w:val="007907BB"/>
    <w:rsid w:val="007918FA"/>
    <w:rsid w:val="007A4695"/>
    <w:rsid w:val="007C0C31"/>
    <w:rsid w:val="007D1DB2"/>
    <w:rsid w:val="007E0B30"/>
    <w:rsid w:val="007E70F5"/>
    <w:rsid w:val="007F4D65"/>
    <w:rsid w:val="007F79B2"/>
    <w:rsid w:val="00804A65"/>
    <w:rsid w:val="0081084B"/>
    <w:rsid w:val="00810B1E"/>
    <w:rsid w:val="0081191E"/>
    <w:rsid w:val="0081428A"/>
    <w:rsid w:val="00855F85"/>
    <w:rsid w:val="00857BCA"/>
    <w:rsid w:val="0086257C"/>
    <w:rsid w:val="008B301E"/>
    <w:rsid w:val="008B51A6"/>
    <w:rsid w:val="008C06CC"/>
    <w:rsid w:val="008C1C1D"/>
    <w:rsid w:val="008C1F31"/>
    <w:rsid w:val="008D5C9C"/>
    <w:rsid w:val="008E4058"/>
    <w:rsid w:val="008F5562"/>
    <w:rsid w:val="0092327A"/>
    <w:rsid w:val="00927688"/>
    <w:rsid w:val="009322D0"/>
    <w:rsid w:val="009322E5"/>
    <w:rsid w:val="00933D58"/>
    <w:rsid w:val="00934070"/>
    <w:rsid w:val="00943251"/>
    <w:rsid w:val="00946EDE"/>
    <w:rsid w:val="0094796A"/>
    <w:rsid w:val="00973ECB"/>
    <w:rsid w:val="00977CF3"/>
    <w:rsid w:val="00995CF6"/>
    <w:rsid w:val="009B36E0"/>
    <w:rsid w:val="009B768F"/>
    <w:rsid w:val="009C0FA9"/>
    <w:rsid w:val="009D6343"/>
    <w:rsid w:val="009E40AB"/>
    <w:rsid w:val="009F060D"/>
    <w:rsid w:val="009F3E72"/>
    <w:rsid w:val="00A20284"/>
    <w:rsid w:val="00A2048C"/>
    <w:rsid w:val="00A26C4B"/>
    <w:rsid w:val="00A32B01"/>
    <w:rsid w:val="00A40E58"/>
    <w:rsid w:val="00A478B1"/>
    <w:rsid w:val="00A5124A"/>
    <w:rsid w:val="00A51947"/>
    <w:rsid w:val="00A659D2"/>
    <w:rsid w:val="00A717D9"/>
    <w:rsid w:val="00AC6429"/>
    <w:rsid w:val="00AC6DB0"/>
    <w:rsid w:val="00AC79EE"/>
    <w:rsid w:val="00AE3F1E"/>
    <w:rsid w:val="00AF7CD5"/>
    <w:rsid w:val="00B01277"/>
    <w:rsid w:val="00B16AAC"/>
    <w:rsid w:val="00B35035"/>
    <w:rsid w:val="00B35633"/>
    <w:rsid w:val="00B41355"/>
    <w:rsid w:val="00B43043"/>
    <w:rsid w:val="00B5658B"/>
    <w:rsid w:val="00B71D88"/>
    <w:rsid w:val="00B76A19"/>
    <w:rsid w:val="00B80367"/>
    <w:rsid w:val="00B828C1"/>
    <w:rsid w:val="00B84FF7"/>
    <w:rsid w:val="00B8777C"/>
    <w:rsid w:val="00B901F6"/>
    <w:rsid w:val="00B92891"/>
    <w:rsid w:val="00BA6CCD"/>
    <w:rsid w:val="00BB1D70"/>
    <w:rsid w:val="00BC457E"/>
    <w:rsid w:val="00BC4682"/>
    <w:rsid w:val="00C04B27"/>
    <w:rsid w:val="00C30E19"/>
    <w:rsid w:val="00C3419A"/>
    <w:rsid w:val="00C43374"/>
    <w:rsid w:val="00C46EB1"/>
    <w:rsid w:val="00C55A5B"/>
    <w:rsid w:val="00C6564F"/>
    <w:rsid w:val="00C70FD9"/>
    <w:rsid w:val="00C8078C"/>
    <w:rsid w:val="00C80FD4"/>
    <w:rsid w:val="00C85479"/>
    <w:rsid w:val="00C87DD1"/>
    <w:rsid w:val="00C90703"/>
    <w:rsid w:val="00C916B3"/>
    <w:rsid w:val="00C92288"/>
    <w:rsid w:val="00C92881"/>
    <w:rsid w:val="00CA3656"/>
    <w:rsid w:val="00CA7AD7"/>
    <w:rsid w:val="00CB197C"/>
    <w:rsid w:val="00CB5A71"/>
    <w:rsid w:val="00CC661E"/>
    <w:rsid w:val="00CD29AB"/>
    <w:rsid w:val="00CE07F4"/>
    <w:rsid w:val="00CF3151"/>
    <w:rsid w:val="00CF49F8"/>
    <w:rsid w:val="00CF718E"/>
    <w:rsid w:val="00D01257"/>
    <w:rsid w:val="00D053BB"/>
    <w:rsid w:val="00D06907"/>
    <w:rsid w:val="00D1663B"/>
    <w:rsid w:val="00D319FB"/>
    <w:rsid w:val="00D36DF2"/>
    <w:rsid w:val="00D604AC"/>
    <w:rsid w:val="00D72797"/>
    <w:rsid w:val="00D755BB"/>
    <w:rsid w:val="00D759AE"/>
    <w:rsid w:val="00D80AA0"/>
    <w:rsid w:val="00D93498"/>
    <w:rsid w:val="00DA2F6A"/>
    <w:rsid w:val="00DC071F"/>
    <w:rsid w:val="00DC2D18"/>
    <w:rsid w:val="00DC3405"/>
    <w:rsid w:val="00DC41BC"/>
    <w:rsid w:val="00DD559E"/>
    <w:rsid w:val="00DE7F9A"/>
    <w:rsid w:val="00DF69A2"/>
    <w:rsid w:val="00E01CF9"/>
    <w:rsid w:val="00E11A44"/>
    <w:rsid w:val="00E17935"/>
    <w:rsid w:val="00E53061"/>
    <w:rsid w:val="00E606C4"/>
    <w:rsid w:val="00E63B5E"/>
    <w:rsid w:val="00E75C0B"/>
    <w:rsid w:val="00E869A2"/>
    <w:rsid w:val="00EB0F28"/>
    <w:rsid w:val="00EB227A"/>
    <w:rsid w:val="00EC2376"/>
    <w:rsid w:val="00EC440A"/>
    <w:rsid w:val="00F0773E"/>
    <w:rsid w:val="00F13948"/>
    <w:rsid w:val="00F1419F"/>
    <w:rsid w:val="00F34435"/>
    <w:rsid w:val="00F42C89"/>
    <w:rsid w:val="00F46547"/>
    <w:rsid w:val="00F5109A"/>
    <w:rsid w:val="00F579FB"/>
    <w:rsid w:val="00F6581C"/>
    <w:rsid w:val="00F75545"/>
    <w:rsid w:val="00FA2A8A"/>
    <w:rsid w:val="00FA411E"/>
    <w:rsid w:val="00FA7C31"/>
    <w:rsid w:val="00FB1202"/>
    <w:rsid w:val="00FB393A"/>
    <w:rsid w:val="00FB5246"/>
    <w:rsid w:val="00FB5E6E"/>
    <w:rsid w:val="00FC34EA"/>
    <w:rsid w:val="00FD24B0"/>
    <w:rsid w:val="00FD39C1"/>
    <w:rsid w:val="00FD40BF"/>
    <w:rsid w:val="00FD792F"/>
    <w:rsid w:val="00FE42D6"/>
    <w:rsid w:val="2FE551D2"/>
    <w:rsid w:val="5394C88E"/>
    <w:rsid w:val="6E9AA6B9"/>
    <w:rsid w:val="7E7042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96F812"/>
  <w15:chartTrackingRefBased/>
  <w15:docId w15:val="{942C1725-115D-7B44-83C7-A1B548326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Theme="minorHAnsi" w:hAnsi="Georgia" w:cs="Times New Roman (Body CS)"/>
        <w:color w:val="196B24" w:themeColor="accent3"/>
        <w:kern w:val="2"/>
        <w:sz w:val="44"/>
        <w:szCs w:val="3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6FA"/>
    <w:rPr>
      <w:color w:val="auto"/>
      <w:sz w:val="24"/>
      <w:szCs w:val="24"/>
    </w:rPr>
  </w:style>
  <w:style w:type="paragraph" w:styleId="Heading1">
    <w:name w:val="heading 1"/>
    <w:basedOn w:val="Normal"/>
    <w:next w:val="Normal"/>
    <w:link w:val="Heading1Char"/>
    <w:uiPriority w:val="9"/>
    <w:qFormat/>
    <w:rsid w:val="003536FA"/>
    <w:pPr>
      <w:keepNext/>
      <w:keepLines/>
      <w:spacing w:before="240"/>
      <w:outlineLvl w:val="0"/>
    </w:pPr>
    <w:rPr>
      <w:rFonts w:eastAsiaTheme="majorEastAsia" w:cstheme="majorBidi"/>
      <w:color w:val="124F1A" w:themeColor="accent3" w:themeShade="BF"/>
      <w:sz w:val="36"/>
      <w:szCs w:val="36"/>
    </w:rPr>
  </w:style>
  <w:style w:type="paragraph" w:styleId="Heading2">
    <w:name w:val="heading 2"/>
    <w:basedOn w:val="Normal"/>
    <w:next w:val="Normal"/>
    <w:link w:val="Heading2Char"/>
    <w:uiPriority w:val="9"/>
    <w:unhideWhenUsed/>
    <w:qFormat/>
    <w:rsid w:val="003536FA"/>
    <w:pPr>
      <w:keepNext/>
      <w:keepLines/>
      <w:spacing w:before="40"/>
      <w:outlineLvl w:val="1"/>
    </w:pPr>
    <w:rPr>
      <w:rFonts w:eastAsiaTheme="majorEastAsia" w:cstheme="majorBidi"/>
      <w:color w:val="0F4761" w:themeColor="accent1" w:themeShade="BF"/>
      <w:sz w:val="28"/>
      <w:szCs w:val="28"/>
    </w:rPr>
  </w:style>
  <w:style w:type="paragraph" w:styleId="Heading3">
    <w:name w:val="heading 3"/>
    <w:basedOn w:val="Normal"/>
    <w:next w:val="Normal"/>
    <w:link w:val="Heading3Char"/>
    <w:uiPriority w:val="9"/>
    <w:unhideWhenUsed/>
    <w:qFormat/>
    <w:rsid w:val="003536FA"/>
    <w:pPr>
      <w:keepNext/>
      <w:keepLines/>
      <w:spacing w:before="40"/>
      <w:outlineLvl w:val="2"/>
    </w:pPr>
    <w:rPr>
      <w:rFonts w:eastAsiaTheme="majorEastAsia" w:cstheme="majorBidi"/>
      <w:b/>
      <w:bCs/>
      <w:color w:val="BF4E14" w:themeColor="accent2" w:themeShade="BF"/>
      <w:sz w:val="26"/>
      <w:szCs w:val="26"/>
    </w:rPr>
  </w:style>
  <w:style w:type="paragraph" w:styleId="Heading4">
    <w:name w:val="heading 4"/>
    <w:basedOn w:val="Normal"/>
    <w:next w:val="Normal"/>
    <w:link w:val="Heading4Char"/>
    <w:uiPriority w:val="9"/>
    <w:unhideWhenUsed/>
    <w:qFormat/>
    <w:rsid w:val="003536FA"/>
    <w:pPr>
      <w:keepNext/>
      <w:keepLines/>
      <w:spacing w:before="4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81A1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81A16"/>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81A16"/>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81A16"/>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81A16"/>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36FA"/>
    <w:rPr>
      <w:rFonts w:eastAsiaTheme="majorEastAsia" w:cstheme="majorBidi"/>
      <w:color w:val="124F1A" w:themeColor="accent3" w:themeShade="BF"/>
      <w:sz w:val="36"/>
      <w:szCs w:val="36"/>
    </w:rPr>
  </w:style>
  <w:style w:type="character" w:customStyle="1" w:styleId="Heading2Char">
    <w:name w:val="Heading 2 Char"/>
    <w:basedOn w:val="DefaultParagraphFont"/>
    <w:link w:val="Heading2"/>
    <w:uiPriority w:val="9"/>
    <w:rsid w:val="003536FA"/>
    <w:rPr>
      <w:rFonts w:eastAsiaTheme="majorEastAsia" w:cstheme="majorBidi"/>
      <w:color w:val="0F4761" w:themeColor="accent1" w:themeShade="BF"/>
      <w:sz w:val="28"/>
      <w:szCs w:val="28"/>
    </w:rPr>
  </w:style>
  <w:style w:type="character" w:customStyle="1" w:styleId="Heading3Char">
    <w:name w:val="Heading 3 Char"/>
    <w:basedOn w:val="DefaultParagraphFont"/>
    <w:link w:val="Heading3"/>
    <w:uiPriority w:val="9"/>
    <w:rsid w:val="003536FA"/>
    <w:rPr>
      <w:rFonts w:eastAsiaTheme="majorEastAsia" w:cstheme="majorBidi"/>
      <w:b/>
      <w:bCs/>
      <w:color w:val="BF4E14" w:themeColor="accent2" w:themeShade="BF"/>
      <w:sz w:val="26"/>
      <w:szCs w:val="26"/>
    </w:rPr>
  </w:style>
  <w:style w:type="character" w:customStyle="1" w:styleId="Heading4Char">
    <w:name w:val="Heading 4 Char"/>
    <w:basedOn w:val="DefaultParagraphFont"/>
    <w:link w:val="Heading4"/>
    <w:uiPriority w:val="9"/>
    <w:rsid w:val="003536FA"/>
    <w:rPr>
      <w:rFonts w:asciiTheme="majorHAnsi" w:eastAsiaTheme="majorEastAsia" w:hAnsiTheme="majorHAnsi" w:cstheme="majorBidi"/>
      <w:i/>
      <w:iCs/>
      <w:color w:val="0F4761" w:themeColor="accent1" w:themeShade="BF"/>
      <w:sz w:val="24"/>
      <w:szCs w:val="24"/>
    </w:rPr>
  </w:style>
  <w:style w:type="character" w:customStyle="1" w:styleId="Heading5Char">
    <w:name w:val="Heading 5 Char"/>
    <w:basedOn w:val="DefaultParagraphFont"/>
    <w:link w:val="Heading5"/>
    <w:uiPriority w:val="9"/>
    <w:semiHidden/>
    <w:rsid w:val="00781A16"/>
    <w:rPr>
      <w:rFonts w:asciiTheme="minorHAnsi" w:eastAsiaTheme="majorEastAsia" w:hAnsiTheme="minorHAnsi" w:cstheme="majorBidi"/>
      <w:color w:val="0F4761" w:themeColor="accent1" w:themeShade="BF"/>
      <w:sz w:val="24"/>
      <w:szCs w:val="24"/>
    </w:rPr>
  </w:style>
  <w:style w:type="character" w:customStyle="1" w:styleId="Heading6Char">
    <w:name w:val="Heading 6 Char"/>
    <w:basedOn w:val="DefaultParagraphFont"/>
    <w:link w:val="Heading6"/>
    <w:uiPriority w:val="9"/>
    <w:semiHidden/>
    <w:rsid w:val="00781A16"/>
    <w:rPr>
      <w:rFonts w:asciiTheme="minorHAnsi" w:eastAsiaTheme="majorEastAsia" w:hAnsiTheme="minorHAnsi" w:cstheme="majorBidi"/>
      <w:i/>
      <w:iCs/>
      <w:color w:val="595959" w:themeColor="text1" w:themeTint="A6"/>
      <w:sz w:val="24"/>
      <w:szCs w:val="24"/>
    </w:rPr>
  </w:style>
  <w:style w:type="character" w:customStyle="1" w:styleId="Heading7Char">
    <w:name w:val="Heading 7 Char"/>
    <w:basedOn w:val="DefaultParagraphFont"/>
    <w:link w:val="Heading7"/>
    <w:uiPriority w:val="9"/>
    <w:semiHidden/>
    <w:rsid w:val="00781A16"/>
    <w:rPr>
      <w:rFonts w:asciiTheme="minorHAnsi" w:eastAsiaTheme="majorEastAsia" w:hAnsiTheme="minorHAnsi"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781A16"/>
    <w:rPr>
      <w:rFonts w:asciiTheme="minorHAnsi" w:eastAsiaTheme="majorEastAsia" w:hAnsiTheme="minorHAnsi" w:cstheme="majorBidi"/>
      <w:i/>
      <w:iCs/>
      <w:color w:val="272727" w:themeColor="text1" w:themeTint="D8"/>
      <w:sz w:val="24"/>
      <w:szCs w:val="24"/>
    </w:rPr>
  </w:style>
  <w:style w:type="character" w:customStyle="1" w:styleId="Heading9Char">
    <w:name w:val="Heading 9 Char"/>
    <w:basedOn w:val="DefaultParagraphFont"/>
    <w:link w:val="Heading9"/>
    <w:uiPriority w:val="9"/>
    <w:semiHidden/>
    <w:rsid w:val="00781A16"/>
    <w:rPr>
      <w:rFonts w:asciiTheme="minorHAnsi" w:eastAsiaTheme="majorEastAsia" w:hAnsiTheme="minorHAnsi" w:cstheme="majorBidi"/>
      <w:color w:val="272727" w:themeColor="text1" w:themeTint="D8"/>
      <w:sz w:val="24"/>
      <w:szCs w:val="24"/>
    </w:rPr>
  </w:style>
  <w:style w:type="paragraph" w:styleId="Title">
    <w:name w:val="Title"/>
    <w:basedOn w:val="Normal"/>
    <w:next w:val="Normal"/>
    <w:link w:val="TitleChar"/>
    <w:uiPriority w:val="10"/>
    <w:qFormat/>
    <w:rsid w:val="00781A1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1A16"/>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781A16"/>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1A1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81A1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81A16"/>
    <w:rPr>
      <w:i/>
      <w:iCs/>
      <w:color w:val="404040" w:themeColor="text1" w:themeTint="BF"/>
      <w:sz w:val="24"/>
      <w:szCs w:val="24"/>
    </w:rPr>
  </w:style>
  <w:style w:type="paragraph" w:styleId="ListParagraph">
    <w:name w:val="List Paragraph"/>
    <w:basedOn w:val="Normal"/>
    <w:qFormat/>
    <w:rsid w:val="00781A16"/>
    <w:pPr>
      <w:ind w:left="720"/>
      <w:contextualSpacing/>
    </w:pPr>
  </w:style>
  <w:style w:type="character" w:styleId="IntenseEmphasis">
    <w:name w:val="Intense Emphasis"/>
    <w:basedOn w:val="DefaultParagraphFont"/>
    <w:uiPriority w:val="21"/>
    <w:qFormat/>
    <w:rsid w:val="00781A16"/>
    <w:rPr>
      <w:i/>
      <w:iCs/>
      <w:color w:val="0F4761" w:themeColor="accent1" w:themeShade="BF"/>
    </w:rPr>
  </w:style>
  <w:style w:type="paragraph" w:styleId="IntenseQuote">
    <w:name w:val="Intense Quote"/>
    <w:basedOn w:val="Normal"/>
    <w:next w:val="Normal"/>
    <w:link w:val="IntenseQuoteChar"/>
    <w:uiPriority w:val="30"/>
    <w:qFormat/>
    <w:rsid w:val="00781A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1A16"/>
    <w:rPr>
      <w:i/>
      <w:iCs/>
      <w:color w:val="0F4761" w:themeColor="accent1" w:themeShade="BF"/>
      <w:sz w:val="24"/>
      <w:szCs w:val="24"/>
    </w:rPr>
  </w:style>
  <w:style w:type="character" w:styleId="IntenseReference">
    <w:name w:val="Intense Reference"/>
    <w:basedOn w:val="DefaultParagraphFont"/>
    <w:uiPriority w:val="32"/>
    <w:qFormat/>
    <w:rsid w:val="00781A16"/>
    <w:rPr>
      <w:b/>
      <w:bCs/>
      <w:smallCaps/>
      <w:color w:val="0F4761" w:themeColor="accent1" w:themeShade="BF"/>
      <w:spacing w:val="5"/>
    </w:rPr>
  </w:style>
  <w:style w:type="character" w:styleId="Hyperlink">
    <w:name w:val="Hyperlink"/>
    <w:uiPriority w:val="99"/>
    <w:unhideWhenUsed/>
    <w:rsid w:val="00781A16"/>
    <w:rPr>
      <w:color w:val="0563C1"/>
      <w:u w:val="single"/>
    </w:rPr>
  </w:style>
  <w:style w:type="paragraph" w:styleId="NoSpacing">
    <w:name w:val="No Spacing"/>
    <w:uiPriority w:val="1"/>
    <w:qFormat/>
    <w:rsid w:val="00973ECB"/>
    <w:rPr>
      <w:color w:val="auto"/>
      <w:sz w:val="24"/>
      <w:szCs w:val="24"/>
    </w:rPr>
  </w:style>
  <w:style w:type="paragraph" w:styleId="FootnoteText">
    <w:name w:val="footnote text"/>
    <w:basedOn w:val="Normal"/>
    <w:link w:val="FootnoteTextChar"/>
    <w:uiPriority w:val="99"/>
    <w:semiHidden/>
    <w:unhideWhenUsed/>
    <w:rsid w:val="00E11A44"/>
    <w:rPr>
      <w:rFonts w:ascii="Arial" w:eastAsia="Arial" w:hAnsi="Arial" w:cs="Arial"/>
      <w:kern w:val="0"/>
      <w:sz w:val="20"/>
      <w:szCs w:val="20"/>
      <w14:ligatures w14:val="none"/>
    </w:rPr>
  </w:style>
  <w:style w:type="character" w:customStyle="1" w:styleId="FootnoteTextChar">
    <w:name w:val="Footnote Text Char"/>
    <w:basedOn w:val="DefaultParagraphFont"/>
    <w:link w:val="FootnoteText"/>
    <w:uiPriority w:val="99"/>
    <w:semiHidden/>
    <w:rsid w:val="00E11A44"/>
    <w:rPr>
      <w:rFonts w:ascii="Arial" w:eastAsia="Arial" w:hAnsi="Arial" w:cs="Arial"/>
      <w:color w:val="auto"/>
      <w:kern w:val="0"/>
      <w:sz w:val="20"/>
      <w:szCs w:val="20"/>
      <w14:ligatures w14:val="none"/>
    </w:rPr>
  </w:style>
  <w:style w:type="character" w:styleId="FootnoteReference">
    <w:name w:val="footnote reference"/>
    <w:basedOn w:val="DefaultParagraphFont"/>
    <w:uiPriority w:val="99"/>
    <w:semiHidden/>
    <w:unhideWhenUsed/>
    <w:rsid w:val="00E11A44"/>
    <w:rPr>
      <w:vertAlign w:val="superscript"/>
    </w:rPr>
  </w:style>
  <w:style w:type="paragraph" w:styleId="Header">
    <w:name w:val="header"/>
    <w:basedOn w:val="Normal"/>
    <w:link w:val="HeaderChar"/>
    <w:uiPriority w:val="99"/>
    <w:unhideWhenUsed/>
    <w:rsid w:val="007009B1"/>
    <w:pPr>
      <w:tabs>
        <w:tab w:val="center" w:pos="4680"/>
        <w:tab w:val="right" w:pos="9360"/>
      </w:tabs>
    </w:pPr>
  </w:style>
  <w:style w:type="character" w:customStyle="1" w:styleId="HeaderChar">
    <w:name w:val="Header Char"/>
    <w:basedOn w:val="DefaultParagraphFont"/>
    <w:link w:val="Header"/>
    <w:uiPriority w:val="99"/>
    <w:rsid w:val="007009B1"/>
    <w:rPr>
      <w:color w:val="auto"/>
      <w:sz w:val="24"/>
      <w:szCs w:val="24"/>
    </w:rPr>
  </w:style>
  <w:style w:type="paragraph" w:styleId="Footer">
    <w:name w:val="footer"/>
    <w:basedOn w:val="Normal"/>
    <w:link w:val="FooterChar"/>
    <w:uiPriority w:val="99"/>
    <w:unhideWhenUsed/>
    <w:rsid w:val="007009B1"/>
    <w:pPr>
      <w:tabs>
        <w:tab w:val="center" w:pos="4680"/>
        <w:tab w:val="right" w:pos="9360"/>
      </w:tabs>
    </w:pPr>
  </w:style>
  <w:style w:type="character" w:customStyle="1" w:styleId="FooterChar">
    <w:name w:val="Footer Char"/>
    <w:basedOn w:val="DefaultParagraphFont"/>
    <w:link w:val="Footer"/>
    <w:uiPriority w:val="99"/>
    <w:rsid w:val="007009B1"/>
    <w:rPr>
      <w:color w:val="auto"/>
      <w:sz w:val="24"/>
      <w:szCs w:val="24"/>
    </w:rPr>
  </w:style>
  <w:style w:type="character" w:styleId="PageNumber">
    <w:name w:val="page number"/>
    <w:basedOn w:val="DefaultParagraphFont"/>
    <w:uiPriority w:val="99"/>
    <w:semiHidden/>
    <w:unhideWhenUsed/>
    <w:rsid w:val="00C04B27"/>
  </w:style>
  <w:style w:type="character" w:styleId="FollowedHyperlink">
    <w:name w:val="FollowedHyperlink"/>
    <w:basedOn w:val="DefaultParagraphFont"/>
    <w:uiPriority w:val="99"/>
    <w:semiHidden/>
    <w:unhideWhenUsed/>
    <w:rsid w:val="00DC2D18"/>
    <w:rPr>
      <w:color w:val="96607D" w:themeColor="followedHyperlink"/>
      <w:u w:val="single"/>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color w:val="auto"/>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8D5C9C"/>
    <w:rPr>
      <w:b/>
      <w:bCs/>
    </w:rPr>
  </w:style>
  <w:style w:type="character" w:customStyle="1" w:styleId="CommentSubjectChar">
    <w:name w:val="Comment Subject Char"/>
    <w:basedOn w:val="CommentTextChar"/>
    <w:link w:val="CommentSubject"/>
    <w:uiPriority w:val="99"/>
    <w:semiHidden/>
    <w:rsid w:val="008D5C9C"/>
    <w:rPr>
      <w:b/>
      <w:bCs/>
      <w:color w:val="auto"/>
      <w:sz w:val="20"/>
      <w:szCs w:val="20"/>
    </w:rPr>
  </w:style>
  <w:style w:type="paragraph" w:styleId="Revision">
    <w:name w:val="Revision"/>
    <w:hidden/>
    <w:uiPriority w:val="99"/>
    <w:semiHidden/>
    <w:rsid w:val="008D5C9C"/>
    <w:rPr>
      <w:color w:val="auto"/>
      <w:sz w:val="24"/>
      <w:szCs w:val="24"/>
    </w:rPr>
  </w:style>
  <w:style w:type="character" w:styleId="UnresolvedMention">
    <w:name w:val="Unresolved Mention"/>
    <w:basedOn w:val="DefaultParagraphFont"/>
    <w:uiPriority w:val="99"/>
    <w:semiHidden/>
    <w:unhideWhenUsed/>
    <w:rsid w:val="000B441C"/>
    <w:rPr>
      <w:color w:val="605E5C"/>
      <w:shd w:val="clear" w:color="auto" w:fill="E1DFDD"/>
    </w:rPr>
  </w:style>
  <w:style w:type="table" w:styleId="PlainTable5">
    <w:name w:val="Plain Table 5"/>
    <w:basedOn w:val="TableNormal"/>
    <w:uiPriority w:val="45"/>
    <w:rsid w:val="006905B6"/>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49" Type="http://schemas.openxmlformats.org/officeDocument/2006/relationships/footer" Target="footer1.xml"/><Relationship Id="rId5" Type="http://schemas.openxmlformats.org/officeDocument/2006/relationships/webSettings" Target="webSettings.xml"/><Relationship Id="rId15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1"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3" Type="http://schemas.openxmlformats.org/officeDocument/2006/relationships/styles" Target="styles.xml"/><Relationship Id="rId153" Type="http://schemas.openxmlformats.org/officeDocument/2006/relationships/theme" Target="theme/theme1.xml"/><Relationship Id="rId4" Type="http://schemas.openxmlformats.org/officeDocument/2006/relationships/settings" Target="settings.xml"/><Relationship Id="rId8" Type="http://schemas.openxmlformats.org/officeDocument/2006/relationships/image" Target="media/image6.png"/><Relationship Id="rId9" Type="http://schemas.openxmlformats.org/officeDocument/2006/relationships/hyperlink" Target="https://www2.census.gov/programs-surveys/popest/datasets/2020-2025/counties/totals/co-est2025-alldata.csv" TargetMode="External"/><Relationship Id="rId10" Type="http://schemas.openxmlformats.org/officeDocument/2006/relationships/hyperlink" Target="https://electionlab.mit.edu/data" TargetMode="External"/><Relationship Id="rId11" Type="http://schemas.openxmlformats.org/officeDocument/2006/relationships/hyperlink" Target="https://www.eia.gov/electricity/data/eia860m/" TargetMode="External"/><Relationship Id="rId12" Type="http://schemas.openxmlformats.org/officeDocument/2006/relationships/hyperlink" Target="https://quicksandcheck.com/texas/harris-county/" TargetMode="External"/><Relationship Id="rId13" Type="http://schemas.openxmlformats.org/officeDocument/2006/relationships/hyperlink" Target="https://www.rigzone.com/news/centerpoint_targets_8_gw_of_data_center_load_in_3_years-26-apr-2026-183533-article/" TargetMode="External"/><Relationship Id="rId14" Type="http://schemas.openxmlformats.org/officeDocument/2006/relationships/hyperlink" Target="https://www.pasadenatx.gov/AgendaCenter/ViewFile/Minutes/_04012025-574" TargetMode="External"/><Relationship Id="rId15" Type="http://schemas.openxmlformats.org/officeDocument/2006/relationships/hyperlink" Target="https://hcfchub.net/ova_dep/energy-storage-systems/" TargetMode="External"/><Relationship Id="rId16" Type="http://schemas.openxmlformats.org/officeDocument/2006/relationships/hyperlink" Target="https://texasgop.org/resolution-to-protect-texas-counties-from-the-rapid-expansion-of-battery-energy-storage-systems-bess/" TargetMode="External"/><Relationship Id="rId17" Type="http://schemas.openxmlformats.org/officeDocument/2006/relationships/hyperlink" Target="https://www.bracewell.com/news-events/centerpoint-expects-14-gw-of-demand-added-to-grid-by-2031-thanks-to-new-ercot-process/" TargetMode="External"/><Relationship Id="rId18" Type="http://schemas.openxmlformats.org/officeDocument/2006/relationships/hyperlink" Target="https://www.utilitydive.com/news/texas-regulators-trim-approve-27b-centerpoint-system-resiliency-plan/758476/" TargetMode="External"/><Relationship Id="rId19" Type="http://schemas.openxmlformats.org/officeDocument/2006/relationships/hyperlink" Target="https://communityimpact.com/bay-area/environment/harris-county-launches-affordable-clean-energy-program/" TargetMode="External"/><Relationship Id="rId20" Type="http://schemas.openxmlformats.org/officeDocument/2006/relationships/hyperlink" Target="https://communityimpact.com/tomball-magnolia/government/tomball-city-council-denies-conditional-use-permit-for-battery-storage-system/" TargetMode="External"/><Relationship Id="rId21" Type="http://schemas.openxmlformats.org/officeDocument/2006/relationships/hyperlink" Target="https://www.pasadenatx.gov/AgendaCenter/ViewFile/Minutes/_10082024-533" TargetMode="External"/><Relationship Id="rId22" Type="http://schemas.openxmlformats.org/officeDocument/2006/relationships/hyperlink" Target="https://www.pasadenatx.gov/AgendaCenter/ViewFile/Minutes/_01072025-553" TargetMode="External"/><Relationship Id="rId23" Type="http://schemas.openxmlformats.org/officeDocument/2006/relationships/hyperlink" Target="https://baytown.org/CivicAlerts.asp?AID=1231" TargetMode="External"/><Relationship Id="rId24" Type="http://schemas.openxmlformats.org/officeDocument/2006/relationships/hyperlink" Target="https://baytown.org/CivicAlerts.asp?AID=1362" TargetMode="External"/><Relationship Id="rId25" Type="http://schemas.openxmlformats.org/officeDocument/2006/relationships/hyperlink" Target="https://capitol.texas.gov/tlodocs/89R/handouts/C4502026042310001/63fa389c-78a1-45e9-9914-c39bb46ecf2c.PDF" TargetMode="External"/><Relationship Id="rId26" Type="http://schemas.openxmlformats.org/officeDocument/2006/relationships/hyperlink" Target="https://capitol.texas.gov/tlodocs/89R/billtext/html/HB03824F.htm" TargetMode="External"/><Relationship Id="rId27" Type="http://schemas.openxmlformats.org/officeDocument/2006/relationships/hyperlink" Target="https://www.tdi.texas.gov/rules/index.html" TargetMode="External"/><Relationship Id="rId28" Type="http://schemas.openxmlformats.org/officeDocument/2006/relationships/hyperlink" Target="https://baytownsun.com/local/baytown-planning-zoning-recommends-approval-of-9-acre-battery-storage-facility-in-residential-area/article_dda8b8c0-a892-4c64-94ad-2e0e91e6e920.html" TargetMode="External"/><Relationship Id="rId29" Type="http://schemas.openxmlformats.org/officeDocument/2006/relationships/hyperlink" Target="https://baytownsun.com/news/concerns-expressed-over-battery-storage-complex/article_3bf1ec16-f4c2-4bec-98c9-ebc2066b94c6.html" TargetMode="External"/><Relationship Id="rId30" Type="http://schemas.openxmlformats.org/officeDocument/2006/relationships/hyperlink" Target="https://www.boernestar.com/article/9257,county-makes-move-to-help-in-fight-against-battery-storage-systems" TargetMode="External"/><Relationship Id="rId31" Type="http://schemas.openxmlformats.org/officeDocument/2006/relationships/hyperlink" Target="https://www.uh.edu/hobby/harris2026/county2026.pdf" TargetMode="External"/><Relationship Id="rId32" Type="http://schemas.openxmlformats.org/officeDocument/2006/relationships/hyperlink" Target="https://capitol.texas.gov/BillLookup/History.aspx?LegSess=89R&amp;Bill=SB819" TargetMode="External"/><Relationship Id="rId33" Type="http://schemas.openxmlformats.org/officeDocument/2006/relationships/hyperlink" Target="https://poweralliance.org/2026/04/23/advanced-power-alliance-testifies-before-texas-house-committee-on-state-affairs-2/" TargetMode="External"/><Relationship Id="rId34" Type="http://schemas.openxmlformats.org/officeDocument/2006/relationships/hyperlink" Target="https://www.pasadenatx.gov/AgendaCenter/ViewFile/Minutes/_10012024-531" TargetMode="External"/><Relationship Id="rId35" Type="http://schemas.openxmlformats.org/officeDocument/2006/relationships/hyperlink" Target="https://www.pasadenatx.gov/AgendaCenter/ViewFile/Agenda/_01062025-552" TargetMode="External"/><Relationship Id="rId36" Type="http://schemas.openxmlformats.org/officeDocument/2006/relationships/hyperlink" Target="https://www.pasadenatx.gov/AgendaCenter/ViewFile/Agenda/_03182025-571" TargetMode="External"/><Relationship Id="rId37" Type="http://schemas.openxmlformats.org/officeDocument/2006/relationships/hyperlink" Target="https://www.pasadenatx.gov/AgendaCenter/ViewFile/Agenda/_10202026-735" TargetMode="External"/><Relationship Id="rId38" Type="http://schemas.openxmlformats.org/officeDocument/2006/relationships/hyperlink" Target="https://baytownsun.com/local/council-approves-battery-storage/article_ad53181c-e3cb-43d0-bf1a-a1b684e4a532.html" TargetMode="External"/><Relationship Id="rId39" Type="http://schemas.openxmlformats.org/officeDocument/2006/relationships/hyperlink" Target="https://www.baytown.org/CivicAlerts.aspx?AID=808" TargetMode="External"/><Relationship Id="rId40" Type="http://schemas.openxmlformats.org/officeDocument/2006/relationships/hyperlink" Target="https://capitol.texas.gov/tlodocs/89R/analysis/html/HB03809S.htm" TargetMode="External"/><Relationship Id="rId41" Type="http://schemas.openxmlformats.org/officeDocument/2006/relationships/hyperlink" Target="https://capitol.texas.gov/tlodocs/89R/analysis/html/SB00006F.htm" TargetMode="External"/><Relationship Id="rId42" Type="http://schemas.openxmlformats.org/officeDocument/2006/relationships/hyperlink" Target="https://communityimpact.com/houston/katy-north/government/2024/10/15/katy-city-council-denies-permit-for-energy-storage-facility-amid-community-pushback/" TargetMode="External"/><Relationship Id="rId43" Type="http://schemas.openxmlformats.org/officeDocument/2006/relationships/hyperlink" Target="https://www.click2houston.com/news/local/2025/12/08/katy-battery-plant-decision-delayed-ercot-says-citys-denial-affects-grid-authority/" TargetMode="External"/><Relationship Id="rId44" Type="http://schemas.openxmlformats.org/officeDocument/2006/relationships/hyperlink" Target="https://coveringkaty.com/news/katy/ochoa-energy-storage-withdraws-application-to-build-battery-/" TargetMode="External"/><Relationship Id="rId45" Type="http://schemas.openxmlformats.org/officeDocument/2006/relationships/hyperlink" Target="https://communityimpact.com/bay-area/development/proposed-battery-storage-facility-in-league-city-faces-resident-backlash/" TargetMode="External"/><Relationship Id="rId46" Type="http://schemas.openxmlformats.org/officeDocument/2006/relationships/hyperlink" Target="https://www.leaguecitytx.gov/DocumentCenter/View/44947/4A-Staff-Report---BESS-Ordinance"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pricephillips_1/Library/Group%20Containers/UBF8T346G9.Office/User%20Content.localized/Templates.localized/Jefferson%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A3F24F-BA9A-A14D-AF97-B48AA56D97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Jefferson Template.dotx</Template>
  <TotalTime>1</TotalTime>
  <Pages>14</Pages>
  <Words>8903</Words>
  <Characters>50753</Characters>
  <Application>Microsoft Office Word</Application>
  <DocSecurity>0</DocSecurity>
  <Lines>422</Lines>
  <Paragraphs>119</Paragraphs>
  <ScaleCrop>false</ScaleCrop>
  <Company/>
  <LinksUpToDate>false</LinksUpToDate>
  <CharactersWithSpaces>59537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Harris County, Texas</dc:title>
  <dc:subject/>
  <dc:creator>Hawthorn Intelligence</dc:creator>
  <cp:keywords/>
  <dc:description/>
  <cp:lastModifiedBy>Price Phillips</cp:lastModifiedBy>
  <cp:revision>2</cp:revision>
  <dcterms:created xsi:type="dcterms:W3CDTF">2026-10-06T23:40:00Z</dcterms:created>
  <dcterms:modified xsi:type="dcterms:W3CDTF">2026-10-06T23:40:00Z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833ca4179ddc4440e32b1503b7343a276b82409d5fae394ed954e11378a838e9</vt:lpwstr>
  </property>
</Properties>
</file>