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before="360" w:after="120"/>
      </w:pPr>
      <w:r>
        <w:rPr>
          <w:b/>
        </w:rPr>
        <w:t>Case Study</w:t>
      </w:r>
      <w:r>
        <w:t>: Cherokee County, Kansas</w:t>
      </w:r>
    </w:p>
    <w:p>
      <w:pPr>
        <w:spacing w:after="200"/>
      </w:pPr>
      <w:r>
        <w:rPr>
          <w:b/>
        </w:rPr>
        <w:t>Hawthorn Intelligence</w:t>
      </w:r>
    </w:p>
    <w:p>
      <w:pPr>
        <w:spacing w:after="200"/>
      </w:pPr>
      <w:r>
        <w:drawing>
          <wp:anchor distT="0" distB="0" distL="114300" distR="114300" simplePos="0" relativeHeight="251660290" behindDoc="0" locked="0" layoutInCell="1" allowOverlap="1" wp14:anchorId="237B77BB" wp14:editId="52ACF41C">
            <wp:simplePos x="0" y="0"/>
            <wp:positionH relativeFrom="column">
              <wp:posOffset>3291840</wp:posOffset>
            </wp:positionH>
            <wp:positionV relativeFrom="paragraph">
              <wp:posOffset>134804</wp:posOffset>
            </wp:positionV>
            <wp:extent cx="3108960" cy="1596580"/>
            <wp:effectExtent l="0" t="0" r="0" b="5080"/>
            <wp:wrapSquare wrapText="bothSides"/>
            <wp:docPr id="2044851896" name="Picture 2" descr="Case Study: Cherokee County, Kansas locato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e Study: Cherokee County, Kansas locator ma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8960" cy="1596580"/>
                    </a:xfrm>
                    <a:prstGeom prst="rect">
                      <a:avLst/>
                    </a:prstGeom>
                    <a:noFill/>
                    <a:ln>
                      <a:noFill/>
                    </a:ln>
                  </pic:spPr>
                </pic:pic>
              </a:graphicData>
            </a:graphic>
            <wp14:sizeRelH relativeFrom="page">
              <wp14:pctWidth>0</wp14:pctWidth>
            </wp14:sizeRelH>
            <wp14:sizeRelV relativeFrom="page">
              <wp14:pctHeight>0</wp14:pctHeight>
            </wp14:sizeRelV>
          </wp:anchor>
        </w:drawing>
      </w:r>
      <w:r>
        <w:rPr>
          <w:i/>
        </w:rPr>
        <w:t>Data as of October 16, 2026</w:t>
      </w:r>
    </w:p>
    <w:p>
      <w:pPr>
        <w:pStyle w:val="Heading2"/>
        <w:spacing w:before="240" w:after="80"/>
      </w:pPr>
      <w:r>
        <w:t>Key Takeaways</w:t>
      </w:r>
    </w:p>
    <w:p>
      <w:pPr>
        <w:pStyle w:val="ListParagraph"/>
        <w:numPr>
          <w:ilvl w:val="0"/>
          <w:numId w:val="11"/>
        </w:numPr>
        <w:spacing w:after="80"/>
      </w:pPr>
      <w:r>
        <w:rPr>
          <w:b/>
        </w:rPr>
        <w:t>A county that pauses first</w:t>
      </w:r>
      <w:r>
        <w:t>: a 2021 wind moratorium; 2022 wind rules with a 5,250-foot property-line setback; a commercial solar moratorium from June 2024 to July 2026; and a broader moratorium, adopted in December 2025 and renewed through March 31, 2027, on building commercial wind and solar and on using county roads and infrastructure for renewables, storage and data centers.</w:t>
      </w:r>
    </w:p>
    <w:p>
      <w:pPr>
        <w:pStyle w:val="ListParagraph"/>
        <w:numPr>
          <w:ilvl w:val="0"/>
          <w:numId w:val="11"/>
        </w:numPr>
        <w:spacing w:after="80"/>
      </w:pPr>
      <w:r>
        <w:rPr>
          <w:b/>
        </w:rPr>
        <w:t>A stalled flagship project</w:t>
      </w:r>
      <w:r>
        <w:t>: Clearway Energy's 225 MW Rainbow Springs Solar has leases with about a dozen landowners and a tax offer on the table, and Clearway has presented to the board "probably ten times." A matching request on the regional grid operator's queue holds an executed interconnection agreement for 2028. The project cannot be built while the moratorium stands.</w:t>
      </w:r>
    </w:p>
    <w:p>
      <w:pPr>
        <w:pStyle w:val="ListParagraph"/>
        <w:numPr>
          <w:ilvl w:val="0"/>
          <w:numId w:val="11"/>
        </w:numPr>
        <w:spacing w:after="80"/>
      </w:pPr>
      <w:r>
        <w:rPr>
          <w:b/>
        </w:rPr>
        <w:t>A record well ahead of its profile:</w:t>
      </w:r>
      <w:r>
        <w:t xml:space="preserve"> Hawthorn Intelligence places Cherokee in only the 43</w:t>
      </w:r>
      <w:r>
        <w:rPr>
          <w:vertAlign w:val="superscript"/>
        </w:rPr>
        <w:t>rd</w:t>
      </w:r>
      <w:r>
        <w:t xml:space="preserve"> percentile (</w:t>
      </w:r>
      <w:r>
        <w:rPr>
          <w:i/>
        </w:rPr>
        <w:t>i.e.,</w:t>
      </w:r>
      <w:r>
        <w:t xml:space="preserve"> 57% of U.S. counties score higher) for resemblance to counties with severe renewable restrictions. Yet it holds two severe restrictions and sits in the 95</w:t>
      </w:r>
      <w:r>
        <w:rPr>
          <w:vertAlign w:val="superscript"/>
        </w:rPr>
        <w:t>th</w:t>
      </w:r>
      <w:r>
        <w:t xml:space="preserve"> percentile nationally for recorded opposition per resident.</w:t>
      </w:r>
    </w:p>
    <w:p>
      <w:pPr>
        <w:pStyle w:val="ListParagraph"/>
        <w:numPr>
          <w:ilvl w:val="0"/>
          <w:numId w:val="11"/>
        </w:numPr>
        <w:spacing w:after="80"/>
      </w:pPr>
      <w:r>
        <w:rPr>
          <w:b/>
        </w:rPr>
        <w:t>What to watch</w:t>
      </w:r>
      <w:r>
        <w:t>: the county's first zoning code, now being drafted; the moratorium's March 31, 2027 end date; the November 3 race for the District 1 seat, which Commissioner Carlisle-Frazier is leaving; and the 2027 Kansas session.</w:t>
      </w:r>
    </w:p>
    <w:p>
      <w:pPr>
        <w:pStyle w:val="Heading2"/>
        <w:spacing w:before="240" w:after="80"/>
      </w:pPr>
      <w:r>
        <w:t>Summary</w:t>
      </w:r>
    </w:p>
    <w:p>
      <w:pPr>
        <w:spacing w:after="200"/>
      </w:pPr>
      <w:r>
        <w:t>Cherokee County is closed to utility-scale wind and solar for now and is writing the rules that will decide whether it reopens. The three-member Board of County Commissioners adopted a wind moratorium in 2021 after RWE scouted a project, and a commercial solar moratorium that ran from June 2024 to July 2026 while Clearway sought its project. Since December 2025 a broader moratorium, now renewed through March 31, 2027, bars building commercial wind and solar and using county roads and infrastructure for renewables, storage, data centers and crypto mining. The county has no zoning today. A consultant is drafting its first zoning code under a comprehensive plan that lists wind farms, solar farms, battery storage and data centers as "high impact" uses.</w:t>
      </w:r>
    </w:p>
    <w:p>
      <w:pPr>
        <w:spacing w:after="200"/>
      </w:pPr>
      <w:r>
        <w:t>Hawthorn Intelligence assigns Cherokee a County Restriction Score of 0.14, below the national base rate of 0.24. That puts it in the fifth national decile (one tenth of U.S. counties, ranked by score), the 43</w:t>
      </w:r>
      <w:r>
        <w:rPr>
          <w:vertAlign w:val="superscript"/>
        </w:rPr>
        <w:t>rd</w:t>
      </w:r>
      <w:r>
        <w:t xml:space="preserve"> percentile nationally and 67</w:t>
      </w:r>
      <w:r>
        <w:rPr>
          <w:vertAlign w:val="superscript"/>
        </w:rPr>
        <w:t>th</w:t>
      </w:r>
      <w:r>
        <w:t xml:space="preserve"> of 105 Kansas counties. The score measures how closely a county's profile resembles counties that have enacted severe restrictions; it is not a forecast for any project. Here the record matters more than the profile. Cherokee's restrictions are Verified against the county's own resolutions, and among the 747 counties with a severe restriction on record, its profile scores in only the 15</w:t>
      </w:r>
      <w:r>
        <w:rPr>
          <w:vertAlign w:val="superscript"/>
        </w:rPr>
        <w:t>th</w:t>
      </w:r>
      <w:r>
        <w:t xml:space="preserve"> percentile.</w:t>
      </w:r>
    </w:p>
    <w:p>
      <w:pPr>
        <w:spacing w:after="200"/>
      </w:pPr>
      <w:r>
        <w:t>Developers come for the Riverton power plant's 161 kV substation and lines, farm and former mining land in the far southeast corner of Kansas, and landowners willing to lease. Opponents have raised the Tri-State Mining District's legacy of lead, zinc and cadmium in the soil and the cost of eventual cleanup, and residents at 2025 planning workshops rated utility-scale solar lowest of nine topics. The board split 2-1 on the September 2024 extension, the December 2025 moratorium, its 2026 renewal and the comprehensive plan, with Commissioner Myra Carlisle-Frazier in the minority each time; she is not running again.</w:t>
      </w:r>
    </w:p>
    <w:p>
      <w:pPr>
        <w:pStyle w:val="Heading1"/>
        <w:spacing w:before="360" w:after="120"/>
      </w:pPr>
      <w:r>
        <w:t>Hawthorn Intelligence</w:t>
      </w:r>
    </w:p>
    <w:p>
      <w:pPr>
        <w:pStyle w:val="Heading2"/>
        <w:spacing w:before="240" w:after="80"/>
      </w:pPr>
      <w:r>
        <w:t>Summary</w:t>
      </w:r>
    </w:p>
    <w:p>
      <w:pPr>
        <w:spacing w:after="200"/>
      </w:pPr>
      <w:r>
        <w:t>Cherokee County, home to about 19,000 people in the southeast corner of Kansas, has adopted three moratoria covering renewables since 2021, adopted wind rules with a 5,250-foot setback, and in 2026 began writing its first zoning code. Its one advanced project, Clearway's 225 MW Rainbow Springs Solar, is on hold. Its County Restriction Score of 0.14 places it in decile 5 of 10, while its own Verified record places it among the restricted counties.</w:t>
      </w:r>
    </w:p>
    <w:p>
      <w:pPr>
        <w:pStyle w:val="Heading2"/>
        <w:spacing w:before="240" w:after="80"/>
      </w:pPr>
      <w:r>
        <w:t>Hawthorn Intelligence Ratings</w:t>
      </w:r>
    </w:p>
    <w:tbl>
      <w:tblPr>
        <w:tblStyle w:val="PlainTable5"/>
        <w:tblW w:w="10080" w:type="dxa"/>
        <w:tblLayout w:type="fixed"/>
        <w:tblLook w:val="04A0" w:firstRow="1" w:lastRow="0" w:firstColumn="1" w:lastColumn="0" w:noHBand="0" w:noVBand="1"/>
      </w:tblPr>
      <w:tblGrid>
        <w:gridCol w:w="2700"/>
        <w:gridCol w:w="2500"/>
        <w:gridCol w:w="4880"/>
      </w:tblGrid>
      <w:tr>
        <w:trPr>
          <w:cantSplit/>
          <w:tblHeader/>
        </w:trPr>
        <w:tc>
          <w:tcPr>
            <w:tcW w:w="2700" w:type="dxa"/>
            <w:tcMar>
              <w:top w:w="30" w:type="dxa"/>
              <w:left w:w="80" w:type="dxa"/>
              <w:bottom w:w="30" w:type="dxa"/>
              <w:right w:w="80" w:type="dxa"/>
            </w:tcMar>
          </w:tcPr>
          <w:p>
            <w:pPr>
              <w:keepNext/>
              <w:spacing w:after="0"/>
            </w:pPr>
            <w:r>
              <w:rPr>
                <w:b/>
                <w:sz w:val="20"/>
              </w:rPr>
              <w:t>Hawthorn rating</w:t>
            </w:r>
          </w:p>
        </w:tc>
        <w:tc>
          <w:tcPr>
            <w:tcW w:w="2500" w:type="dxa"/>
            <w:tcMar>
              <w:top w:w="30" w:type="dxa"/>
              <w:left w:w="80" w:type="dxa"/>
              <w:bottom w:w="30" w:type="dxa"/>
              <w:right w:w="80" w:type="dxa"/>
            </w:tcMar>
          </w:tcPr>
          <w:p>
            <w:pPr>
              <w:keepNext/>
              <w:spacing w:after="0"/>
            </w:pPr>
            <w:r>
              <w:rPr>
                <w:b/>
                <w:sz w:val="20"/>
              </w:rPr>
              <w:t>Cherokee County</w:t>
            </w:r>
          </w:p>
        </w:tc>
        <w:tc>
          <w:tcPr>
            <w:tcW w:w="4880" w:type="dxa"/>
            <w:tcMar>
              <w:top w:w="30" w:type="dxa"/>
              <w:left w:w="80" w:type="dxa"/>
              <w:bottom w:w="30" w:type="dxa"/>
              <w:right w:w="80" w:type="dxa"/>
            </w:tcMar>
          </w:tcPr>
          <w:p>
            <w:pPr>
              <w:keepNext/>
              <w:spacing w:after="0"/>
            </w:pPr>
            <w:r>
              <w:rPr>
                <w:b/>
                <w:sz w:val="20"/>
              </w:rPr>
              <w:t>Explanation</w:t>
            </w:r>
          </w:p>
        </w:tc>
      </w:tr>
      <w:tr>
        <w:trPr>
          <w:cantSplit/>
        </w:trPr>
        <w:tc>
          <w:tcPr>
            <w:tcW w:w="2700" w:type="dxa"/>
            <w:tcMar>
              <w:top w:w="30" w:type="dxa"/>
              <w:left w:w="80" w:type="dxa"/>
              <w:bottom w:w="30" w:type="dxa"/>
              <w:right w:w="80" w:type="dxa"/>
            </w:tcMar>
          </w:tcPr>
          <w:p>
            <w:pPr>
              <w:keepNext/>
              <w:spacing w:after="0"/>
            </w:pPr>
            <w:r>
              <w:rPr>
                <w:sz w:val="20"/>
              </w:rPr>
              <w:t>County Restriction Score</w:t>
            </w:r>
          </w:p>
        </w:tc>
        <w:tc>
          <w:tcPr>
            <w:tcW w:w="2500" w:type="dxa"/>
            <w:tcMar>
              <w:top w:w="30" w:type="dxa"/>
              <w:left w:w="80" w:type="dxa"/>
              <w:bottom w:w="30" w:type="dxa"/>
              <w:right w:w="80" w:type="dxa"/>
            </w:tcMar>
          </w:tcPr>
          <w:p>
            <w:pPr>
              <w:keepNext/>
              <w:spacing w:after="0"/>
            </w:pPr>
            <w:r>
              <w:rPr>
                <w:b/>
                <w:sz w:val="20"/>
              </w:rPr>
              <w:t>0.14 (likely range 0.13 to 0.15)</w:t>
            </w:r>
          </w:p>
        </w:tc>
        <w:tc>
          <w:tcPr>
            <w:tcW w:w="4880" w:type="dxa"/>
            <w:tcMar>
              <w:top w:w="30" w:type="dxa"/>
              <w:left w:w="80" w:type="dxa"/>
              <w:bottom w:w="30" w:type="dxa"/>
              <w:right w:w="80" w:type="dxa"/>
            </w:tcMar>
          </w:tcPr>
          <w:p>
            <w:pPr>
              <w:keepNext/>
              <w:spacing w:after="0"/>
            </w:pPr>
            <w:r>
              <w:rPr>
                <w:sz w:val="20"/>
              </w:rPr>
              <w:t>Resemblance to counties with a severe wind, solar or storage restriction on record, on a 0 to 1 scale; national base rate 0.24</w:t>
            </w:r>
          </w:p>
        </w:tc>
      </w:tr>
      <w:tr>
        <w:trPr>
          <w:cantSplit/>
        </w:trPr>
        <w:tc>
          <w:tcPr>
            <w:tcW w:w="2700" w:type="dxa"/>
            <w:tcMar>
              <w:top w:w="30" w:type="dxa"/>
              <w:left w:w="80" w:type="dxa"/>
              <w:bottom w:w="30" w:type="dxa"/>
              <w:right w:w="80" w:type="dxa"/>
            </w:tcMar>
          </w:tcPr>
          <w:p>
            <w:pPr>
              <w:keepNext/>
              <w:spacing w:after="0"/>
            </w:pPr>
            <w:r>
              <w:rPr>
                <w:sz w:val="20"/>
              </w:rPr>
              <w:t>Score decile</w:t>
            </w:r>
          </w:p>
        </w:tc>
        <w:tc>
          <w:tcPr>
            <w:tcW w:w="2500" w:type="dxa"/>
            <w:tcMar>
              <w:top w:w="30" w:type="dxa"/>
              <w:left w:w="80" w:type="dxa"/>
              <w:bottom w:w="30" w:type="dxa"/>
              <w:right w:w="80" w:type="dxa"/>
            </w:tcMar>
          </w:tcPr>
          <w:p>
            <w:pPr>
              <w:keepNext/>
              <w:spacing w:after="0"/>
            </w:pPr>
            <w:r>
              <w:rPr>
                <w:b/>
                <w:sz w:val="20"/>
              </w:rPr>
              <w:t>5 of 10</w:t>
            </w:r>
          </w:p>
        </w:tc>
        <w:tc>
          <w:tcPr>
            <w:tcW w:w="4880" w:type="dxa"/>
            <w:tcMar>
              <w:top w:w="30" w:type="dxa"/>
              <w:left w:w="80" w:type="dxa"/>
              <w:bottom w:w="30" w:type="dxa"/>
              <w:right w:w="80" w:type="dxa"/>
            </w:tcMar>
          </w:tcPr>
          <w:p>
            <w:pPr>
              <w:keepNext/>
              <w:spacing w:after="0"/>
            </w:pPr>
            <w:r>
              <w:rPr>
                <w:sz w:val="20"/>
              </w:rPr>
              <w:t>Fifth tenth of 3,144 U.S. counties (scores 0.131 to 0.164); 15.9 percent of decile 5 counties have a severe restriction</w:t>
            </w:r>
          </w:p>
        </w:tc>
      </w:tr>
      <w:tr>
        <w:trPr>
          <w:cantSplit/>
        </w:trPr>
        <w:tc>
          <w:tcPr>
            <w:tcW w:w="2700" w:type="dxa"/>
            <w:tcMar>
              <w:top w:w="30" w:type="dxa"/>
              <w:left w:w="80" w:type="dxa"/>
              <w:bottom w:w="30" w:type="dxa"/>
              <w:right w:w="80" w:type="dxa"/>
            </w:tcMar>
          </w:tcPr>
          <w:p>
            <w:pPr>
              <w:keepNext/>
              <w:spacing w:after="0"/>
            </w:pPr>
            <w:r>
              <w:rPr>
                <w:sz w:val="20"/>
              </w:rPr>
              <w:t>National and Kansas standing</w:t>
            </w:r>
          </w:p>
        </w:tc>
        <w:tc>
          <w:tcPr>
            <w:tcW w:w="2500" w:type="dxa"/>
            <w:tcMar>
              <w:top w:w="30" w:type="dxa"/>
              <w:left w:w="80" w:type="dxa"/>
              <w:bottom w:w="30" w:type="dxa"/>
              <w:right w:w="80" w:type="dxa"/>
            </w:tcMar>
          </w:tcPr>
          <w:p>
            <w:pPr>
              <w:keepNext/>
              <w:spacing w:after="0"/>
            </w:pPr>
            <w:r>
              <w:rPr>
                <w:b/>
                <w:sz w:val="20"/>
              </w:rPr>
              <w:t>43</w:t>
            </w:r>
            <w:r>
              <w:rPr>
                <w:b/>
                <w:sz w:val="20"/>
                <w:vertAlign w:val="superscript"/>
              </w:rPr>
              <w:t>rd</w:t>
            </w:r>
            <w:r>
              <w:rPr>
                <w:b/>
                <w:sz w:val="20"/>
              </w:rPr>
              <w:t xml:space="preserve"> percentile; 67</w:t>
            </w:r>
            <w:r>
              <w:rPr>
                <w:b/>
                <w:sz w:val="20"/>
                <w:vertAlign w:val="superscript"/>
              </w:rPr>
              <w:t>th</w:t>
            </w:r>
            <w:r>
              <w:rPr>
                <w:b/>
                <w:sz w:val="20"/>
              </w:rPr>
              <w:t xml:space="preserve"> of 105</w:t>
            </w:r>
          </w:p>
        </w:tc>
        <w:tc>
          <w:tcPr>
            <w:tcW w:w="4880" w:type="dxa"/>
            <w:tcMar>
              <w:top w:w="30" w:type="dxa"/>
              <w:left w:w="80" w:type="dxa"/>
              <w:bottom w:w="30" w:type="dxa"/>
              <w:right w:w="80" w:type="dxa"/>
            </w:tcMar>
          </w:tcPr>
          <w:p>
            <w:pPr>
              <w:keepNext/>
              <w:spacing w:after="0"/>
            </w:pPr>
            <w:r>
              <w:rPr>
                <w:sz w:val="20"/>
              </w:rPr>
              <w:t>Share of U.S. counties scoring below Cherokee; rank among Kansas counties</w:t>
            </w:r>
          </w:p>
        </w:tc>
      </w:tr>
      <w:tr>
        <w:trPr>
          <w:cantSplit/>
        </w:trPr>
        <w:tc>
          <w:tcPr>
            <w:tcW w:w="2700" w:type="dxa"/>
            <w:tcMar>
              <w:top w:w="30" w:type="dxa"/>
              <w:left w:w="80" w:type="dxa"/>
              <w:bottom w:w="30" w:type="dxa"/>
              <w:right w:w="80" w:type="dxa"/>
            </w:tcMar>
          </w:tcPr>
          <w:p>
            <w:pPr>
              <w:keepNext/>
              <w:spacing w:after="0"/>
            </w:pPr>
            <w:r>
              <w:rPr>
                <w:sz w:val="20"/>
              </w:rPr>
              <w:t>Evidence status</w:t>
            </w:r>
          </w:p>
        </w:tc>
        <w:tc>
          <w:tcPr>
            <w:tcW w:w="2500" w:type="dxa"/>
            <w:tcMar>
              <w:top w:w="30" w:type="dxa"/>
              <w:left w:w="80" w:type="dxa"/>
              <w:bottom w:w="30" w:type="dxa"/>
              <w:right w:w="80" w:type="dxa"/>
            </w:tcMar>
          </w:tcPr>
          <w:p>
            <w:pPr>
              <w:keepNext/>
              <w:spacing w:after="0"/>
            </w:pPr>
            <w:r>
              <w:rPr>
                <w:b/>
                <w:sz w:val="20"/>
              </w:rPr>
              <w:t>Verified</w:t>
            </w:r>
          </w:p>
        </w:tc>
        <w:tc>
          <w:tcPr>
            <w:tcW w:w="4880" w:type="dxa"/>
            <w:tcMar>
              <w:top w:w="30" w:type="dxa"/>
              <w:left w:w="80" w:type="dxa"/>
              <w:bottom w:w="30" w:type="dxa"/>
              <w:right w:w="80" w:type="dxa"/>
            </w:tcMar>
          </w:tcPr>
          <w:p>
            <w:pPr>
              <w:keepNext/>
              <w:spacing w:after="0"/>
            </w:pPr>
            <w:r>
              <w:rPr>
                <w:sz w:val="20"/>
              </w:rPr>
              <w:t>The 2022 wind resolution, the 2024 solar moratorium extension, R-27-2025 and its 2026 renewal read in county records</w:t>
            </w:r>
          </w:p>
        </w:tc>
      </w:tr>
      <w:tr>
        <w:trPr>
          <w:cantSplit/>
        </w:trPr>
        <w:tc>
          <w:tcPr>
            <w:tcW w:w="2700" w:type="dxa"/>
            <w:tcMar>
              <w:top w:w="30" w:type="dxa"/>
              <w:left w:w="80" w:type="dxa"/>
              <w:bottom w:w="30" w:type="dxa"/>
              <w:right w:w="80" w:type="dxa"/>
            </w:tcMar>
          </w:tcPr>
          <w:p>
            <w:pPr>
              <w:keepNext/>
              <w:spacing w:after="0"/>
            </w:pPr>
            <w:r>
              <w:rPr>
                <w:sz w:val="20"/>
              </w:rPr>
              <w:t>Project outcome tiers</w:t>
            </w:r>
          </w:p>
        </w:tc>
        <w:tc>
          <w:tcPr>
            <w:tcW w:w="2500" w:type="dxa"/>
            <w:tcMar>
              <w:top w:w="30" w:type="dxa"/>
              <w:left w:w="80" w:type="dxa"/>
              <w:bottom w:w="30" w:type="dxa"/>
              <w:right w:w="80" w:type="dxa"/>
            </w:tcMar>
          </w:tcPr>
          <w:p>
            <w:pPr>
              <w:keepNext/>
              <w:spacing w:after="0"/>
            </w:pPr>
            <w:r>
              <w:rPr>
                <w:b/>
                <w:sz w:val="20"/>
              </w:rPr>
              <w:t>0 decided; 1 pending</w:t>
            </w:r>
          </w:p>
        </w:tc>
        <w:tc>
          <w:tcPr>
            <w:tcW w:w="4880" w:type="dxa"/>
            <w:tcMar>
              <w:top w:w="30" w:type="dxa"/>
              <w:left w:w="80" w:type="dxa"/>
              <w:bottom w:w="30" w:type="dxa"/>
              <w:right w:w="80" w:type="dxa"/>
            </w:tcMar>
          </w:tcPr>
          <w:p>
            <w:pPr>
              <w:keepNext/>
              <w:spacing w:after="0"/>
            </w:pPr>
            <w:r>
              <w:rPr>
                <w:sz w:val="20"/>
              </w:rPr>
              <w:t>Rainbow Springs Solar (225 MW), held by the moratorium</w:t>
            </w:r>
          </w:p>
        </w:tc>
      </w:tr>
      <w:tr>
        <w:trPr>
          <w:cantSplit/>
        </w:trPr>
        <w:tc>
          <w:tcPr>
            <w:tcW w:w="2700" w:type="dxa"/>
            <w:tcMar>
              <w:top w:w="30" w:type="dxa"/>
              <w:left w:w="80" w:type="dxa"/>
              <w:bottom w:w="30" w:type="dxa"/>
              <w:right w:w="80" w:type="dxa"/>
            </w:tcMar>
          </w:tcPr>
          <w:p>
            <w:pPr>
              <w:spacing w:after="0"/>
            </w:pPr>
            <w:r>
              <w:rPr>
                <w:sz w:val="20"/>
              </w:rPr>
              <w:t>Opposition intensity</w:t>
            </w:r>
          </w:p>
        </w:tc>
        <w:tc>
          <w:tcPr>
            <w:tcW w:w="2500" w:type="dxa"/>
            <w:tcMar>
              <w:top w:w="30" w:type="dxa"/>
              <w:left w:w="80" w:type="dxa"/>
              <w:bottom w:w="30" w:type="dxa"/>
              <w:right w:w="80" w:type="dxa"/>
            </w:tcMar>
          </w:tcPr>
          <w:p>
            <w:pPr>
              <w:spacing w:after="0"/>
            </w:pPr>
            <w:r>
              <w:rPr>
                <w:b/>
                <w:sz w:val="20"/>
              </w:rPr>
              <w:t>95</w:t>
            </w:r>
            <w:r>
              <w:rPr>
                <w:b/>
                <w:sz w:val="20"/>
                <w:vertAlign w:val="superscript"/>
              </w:rPr>
              <w:t>th</w:t>
            </w:r>
            <w:r>
              <w:rPr>
                <w:b/>
                <w:sz w:val="20"/>
              </w:rPr>
              <w:t xml:space="preserve"> percentile (records); 95</w:t>
            </w:r>
            <w:r>
              <w:rPr>
                <w:b/>
                <w:sz w:val="20"/>
                <w:vertAlign w:val="superscript"/>
              </w:rPr>
              <w:t>th</w:t>
            </w:r>
            <w:r>
              <w:rPr>
                <w:b/>
                <w:sz w:val="20"/>
              </w:rPr>
              <w:t xml:space="preserve"> (per 100,000 residents)</w:t>
            </w:r>
          </w:p>
        </w:tc>
        <w:tc>
          <w:tcPr>
            <w:tcW w:w="4880" w:type="dxa"/>
            <w:tcMar>
              <w:top w:w="30" w:type="dxa"/>
              <w:left w:w="80" w:type="dxa"/>
              <w:bottom w:w="30" w:type="dxa"/>
              <w:right w:w="80" w:type="dxa"/>
            </w:tcMar>
          </w:tcPr>
          <w:p>
            <w:pPr>
              <w:spacing w:after="0"/>
            </w:pPr>
            <w:r>
              <w:rPr>
                <w:sz w:val="20"/>
              </w:rPr>
              <w:t>Four restriction instruments and one contested project, against all U.S. counties</w:t>
            </w:r>
          </w:p>
        </w:tc>
      </w:tr>
    </w:tbl>
    <w:p>
      <w:pPr>
        <w:spacing w:after="40"/>
      </w:pPr>
    </w:p>
    <w:p>
      <w:pPr>
        <w:spacing w:after="200"/>
      </w:pPr>
      <w:r>
        <w:t>Ratings as of October 16, 2026. The score is a calibrated, cross-validated resemblance measure, not a forecast for any project. Opposition intensity counts the two moratoria this review added to the three records the platform published on October 13. "How to Read Hawthorn Intelligence Reports" below defines each scale.</w:t>
      </w:r>
    </w:p>
    <w:p>
      <w:pPr>
        <w:pStyle w:val="Heading2"/>
        <w:spacing w:before="240" w:after="80"/>
      </w:pPr>
      <w:r>
        <w:t>At a glance</w:t>
      </w:r>
    </w:p>
    <w:p>
      <w:pPr>
        <w:pStyle w:val="ListParagraph"/>
        <w:numPr>
          <w:ilvl w:val="0"/>
          <w:numId w:val="9"/>
        </w:numPr>
        <w:spacing w:after="80"/>
      </w:pPr>
      <w:hyperlink r:id="rId9" w:history="1">
        <w:r>
          <w:rPr>
            <w:rStyle w:val="Hyperlink"/>
          </w:rPr>
          <w:t xml:space="preserve">Population</w:t>
        </w:r>
      </w:hyperlink>
      <w:r>
        <w:t xml:space="preserve"> 19,105 (July 2025 estimate) on 588 square miles; Columbus is the county seat</w:t>
      </w:r>
    </w:p>
    <w:p>
      <w:pPr>
        <w:pStyle w:val="ListParagraph"/>
        <w:numPr>
          <w:ilvl w:val="0"/>
          <w:numId w:val="9"/>
        </w:numPr>
        <w:spacing w:after="80"/>
      </w:pPr>
      <w:r>
        <w:t>Median household income $57,668; 19.4 percent of adults 25 and older hold a bachelor's degree or higher (ACS 2020-2024)</w:t>
      </w:r>
    </w:p>
    <w:p>
      <w:pPr>
        <w:pStyle w:val="ListParagraph"/>
        <w:numPr>
          <w:ilvl w:val="0"/>
          <w:numId w:val="9"/>
        </w:numPr>
        <w:spacing w:after="80"/>
      </w:pPr>
      <w:hyperlink r:id="rId10" w:history="1">
        <w:r>
          <w:rPr>
            <w:rStyle w:val="Hyperlink"/>
          </w:rPr>
          <w:t xml:space="preserve">2024</w:t>
        </w:r>
      </w:hyperlink>
      <w:r>
        <w:t xml:space="preserve"> presidential vote: Trump 75.5 percent, Harris 22.6 percent</w:t>
      </w:r>
    </w:p>
    <w:p>
      <w:pPr>
        <w:pStyle w:val="ListParagraph"/>
        <w:numPr>
          <w:ilvl w:val="1"/>
          <w:numId w:val="9"/>
        </w:numPr>
        <w:spacing w:after="80"/>
      </w:pPr>
      <w:r>
        <w:t>Partisan trend: the Republican margin widened from 48.5 points in 2016 to 50.1 in 2020 and 52.9 in 2024</w:t>
      </w:r>
    </w:p>
    <w:p>
      <w:pPr>
        <w:pStyle w:val="ListParagraph"/>
        <w:numPr>
          <w:ilvl w:val="0"/>
          <w:numId w:val="9"/>
        </w:numPr>
        <w:spacing w:after="80"/>
      </w:pPr>
      <w:r>
        <w:t>Major nearby power asset: Liberty Utilities' (Empire District) Riverton plant, including a combined-cycle gas unit converted in 2016 (268 MW nameplate, EIA-860M), at the Riverton 161 kV substation</w:t>
      </w:r>
    </w:p>
    <w:p>
      <w:pPr>
        <w:pStyle w:val="ListParagraph"/>
        <w:numPr>
          <w:ilvl w:val="0"/>
          <w:numId w:val="9"/>
        </w:numPr>
        <w:spacing w:after="80"/>
      </w:pPr>
      <w:r>
        <w:t>Interconnection queue: one active renewable request, 225 MW of solar and storage with an executed agreement (SPP GEN-2020-079), and a 27 MW gas request at Riverton; three others withdrawn since 2023 (</w:t>
      </w:r>
      <w:hyperlink r:id="rId11" w:history="1">
        <w:r>
          <w:rPr>
            <w:rStyle w:val="Hyperlink"/>
          </w:rPr>
          <w:t xml:space="preserve">SPP queue, October 16, 2026</w:t>
        </w:r>
      </w:hyperlink>
      <w:r>
        <w:t>)</w:t>
      </w:r>
    </w:p>
    <w:p>
      <w:pPr>
        <w:pStyle w:val="ListParagraph"/>
        <w:numPr>
          <w:ilvl w:val="0"/>
          <w:numId w:val="9"/>
        </w:numPr>
        <w:spacing w:after="80"/>
      </w:pPr>
      <w:r>
        <w:t>Land legacy: about 115 of the county's 588 square miles lie in the Tri-State Mining District's federal Superfund site; the state manages 14,500 acres of former coal strip mines in Cherokee and Crawford counties as wildlife area</w:t>
      </w:r>
    </w:p>
    <w:p>
      <w:pPr>
        <w:pStyle w:val="ListParagraph"/>
        <w:numPr>
          <w:ilvl w:val="0"/>
          <w:numId w:val="9"/>
        </w:numPr>
        <w:spacing w:after="80"/>
      </w:pPr>
      <w:r>
        <w:t xml:space="preserve">Enacted restriction: yes, </w:t>
      </w:r>
      <w:hyperlink r:id="rId12" w:history="1">
        <w:r>
          <w:rPr>
            <w:rStyle w:val="Hyperlink"/>
          </w:rPr>
          <w:t xml:space="preserve">read in the county's resolutions</w:t>
        </w:r>
      </w:hyperlink>
      <w:r>
        <w:t xml:space="preserve"> and minutes</w:t>
      </w:r>
    </w:p>
    <w:p>
      <w:pPr>
        <w:pStyle w:val="Heading1"/>
        <w:spacing w:before="360" w:after="120"/>
      </w:pPr>
      <w:r>
        <w:t>A county that pauses first</w:t>
      </w:r>
    </w:p>
    <w:p>
      <w:pPr>
        <w:spacing w:after="200"/>
      </w:pPr>
      <w:r>
        <w:t>Cherokee's pattern was set in August 2021, when RWE Renewables began scouting a wind project and contacted landowners before the county. The commission unanimously adopted a one-year wind moratorium; then-Chair Cory Moates said the county was prepared to fight, and commissioners from neighboring Labette and Neosho counties urged the step. In October 2022 the board replaced the pause with Resolution 9-2022, which requires industrial wind turbines to stand 5,250 feet from the nearest property line, caps them at 440 feet and limits night noise to 39 dBA.</w:t>
      </w:r>
    </w:p>
    <w:p>
      <w:pPr>
        <w:spacing w:after="200"/>
      </w:pPr>
      <w:r>
        <w:t>Solar followed the same path. On June 10, 2024, the board unanimously adopted Resolution 16-2024, a solar moratorium. It re-enacted the pause unanimously in August after a public meeting (Resolution 21-2024) and on September 9, 2024 extended it a year by Resolution 23-2024, 2-1, with Commissioner Myra Carlisle-Frazier opposed. The county counselor recommended zoning the whole county "for liability and transparency"; Carlisle-Frazier said she was "totally against zoning the county." In July 2025 the board unanimously extended the moratorium to July 1, 2026, at the planning commission's request, on Carlisle-Frazier's motion (Resolution 20-2025). It expired on that date; no 2026 resolution renews it.</w:t>
      </w:r>
    </w:p>
    <w:p>
      <w:pPr>
        <w:spacing w:after="200"/>
      </w:pPr>
      <w:r>
        <w:t>On December 22, 2025 the board added a broader instrument, Resolution R-27-2025: a nine-month moratorium on building, or using county roads, resources or infrastructure for, commercial renewable energy projects, cryptocurrency mining, data centers, battery storage and other heavy industrial uses. It passed 2-1, with Carlisle-Frazier, then chair, opposed. On June 8, 2026, after the planning commission recommended a six-month extension, the board re-adopted it as Resolution 11-2026, running to March 31, 2027, again 2-1 with Carlisle-Frazier opposed.</w:t>
      </w:r>
    </w:p>
    <w:p>
      <w:pPr>
        <w:spacing w:after="200"/>
      </w:pPr>
      <w:r>
        <w:t>Apart from a two-day lapse in August 2024, commercial solar in the county has been under a moratorium since June 2024, while the county drafts its first zoning code.</w:t>
      </w:r>
    </w:p>
    <w:p>
      <w:pPr>
        <w:pStyle w:val="Heading2"/>
        <w:spacing w:before="240" w:after="80"/>
      </w:pPr>
      <w:r>
        <w:t>Rainbow Springs Solar</w:t>
      </w:r>
    </w:p>
    <w:p>
      <w:pPr>
        <w:spacing w:after="200"/>
      </w:pPr>
      <w:r>
        <w:t xml:space="preserve">Clearway Energy's </w:t>
      </w:r>
      <w:r>
        <w:rPr>
          <w:b/>
        </w:rPr>
        <w:t>Rainbow Springs Solar</w:t>
      </w:r>
      <w:r>
        <w:t xml:space="preserve"> would place 225 MW of solar on private land southeast of Columbus, under leases signed by "a little more than a dozen" landowners and covering more than 3,000 acres. Clearway projects about 300 construction jobs, six to eight permanent jobs and about $42 million in local taxes. In July 2025 it </w:t>
      </w:r>
      <w:hyperlink r:id="rId13" w:history="1">
        <w:r>
          <w:rPr>
            <w:rStyle w:val="Hyperlink"/>
          </w:rPr>
          <w:t xml:space="preserve">offered</w:t>
        </w:r>
      </w:hyperlink>
      <w:r>
        <w:t xml:space="preserve"> a contribution agreement equal to the taxes it would owe in years 11 to 30, "north of about $50 million," to cover the first decade of Kansas's renewable property-tax exemption. Wichita State University presented an economic impact study to the commission the same month.</w:t>
      </w:r>
    </w:p>
    <w:p>
      <w:pPr>
        <w:spacing w:after="200"/>
      </w:pPr>
      <w:r>
        <w:t xml:space="preserve">The grid side is nearly complete. The Southwest Power Pool's queue lists a 225 MW solar-and-storage request on the Riverton to Neosho 161 kV line, GEN-2020-079, with an interconnection agreement fully executed and a planned operation date of August 15, 2028. Its size and location match Rainbow Springs, though no public document links the two by number. The county side is not complete. In September 2025 local officials </w:t>
      </w:r>
      <w:hyperlink r:id="rId14" w:history="1">
        <w:r>
          <w:rPr>
            <w:rStyle w:val="Hyperlink"/>
          </w:rPr>
          <w:t xml:space="preserve">said</w:t>
        </w:r>
      </w:hyperlink>
      <w:r>
        <w:t xml:space="preserve"> they wanted to prevent the project, and Clearway's Barry Matchett said the company had "presented to the board probably ten times over the last 18 months." After the December 2025 moratorium, Clearway said it was "disheartened," that the decision "stifles economic development" and encroaches on property rights, and that it would keep working with the county and its landowners.</w:t>
      </w:r>
    </w:p>
    <w:p>
      <w:pPr>
        <w:pStyle w:val="Heading2"/>
        <w:spacing w:before="240" w:after="80"/>
      </w:pPr>
      <w:r>
        <w:t>Other projects</w:t>
      </w:r>
    </w:p>
    <w:p>
      <w:pPr>
        <w:spacing w:after="200"/>
      </w:pPr>
      <w:r>
        <w:t>Three other solar and storage requests in the county have left the queue since 2023: a 200 MW hybrid at the Baxter Springs 161 kV substation (withdrawn December 2023), a 74 MW battery at Hockersville 138 kV (March 2024) and a 225 MW solar request on the Riverton to Neosho line (August 2025). RWE's 2021 wind effort never reached a filing. No data-center or crypto-mining proposal in the county has been reported, although R-27-2025 names both.</w:t>
      </w:r>
    </w:p>
    <w:p>
      <w:pPr>
        <w:pStyle w:val="Heading2"/>
        <w:spacing w:before="240" w:after="80"/>
      </w:pPr>
      <w:r>
        <w:t>Organized Opposition</w:t>
      </w:r>
    </w:p>
    <w:p>
      <w:pPr>
        <w:spacing w:after="200"/>
      </w:pPr>
      <w:r>
        <w:t>Opposition in Cherokee comes from landowners, the planning commission and the commission majority rather than from a named group; we found no petition or organized group. At an August 2024 hearing, landowner Brett Warstler, whose land Clearway had sought, asked that $684 million be held in escrow for site restoration, and Matt Naiper warned that "cadmium, zinc, and lead" from the county's mining legacy could leach into groundwater. Another landowner, Dr. Brian Ipsen, supported the project and planned to graze livestock under the panels. Warstler now chairs the county planning commission that is drafting the zoning code.</w:t>
      </w:r>
    </w:p>
    <w:p>
      <w:pPr>
        <w:spacing w:after="200"/>
      </w:pPr>
      <w:r>
        <w:t xml:space="preserve">At three comprehensive-plan workshops in October 2025, residents rated nine topics out of 10; utility-scale solar scored lowest (3.4) and utility-scale wind third-lowest (4.3). The </w:t>
      </w:r>
      <w:hyperlink r:id="rId15" w:history="1">
        <w:r>
          <w:rPr>
            <w:rStyle w:val="Hyperlink"/>
          </w:rPr>
          <w:t xml:space="preserve">draft plan</w:t>
        </w:r>
      </w:hyperlink>
      <w:r>
        <w:t xml:space="preserve"> records that "many community members supported prohibiting these uses entirely or implementing strict regulations," with a one-mile setback the typical suggestion.</w:t>
      </w:r>
    </w:p>
    <w:p>
      <w:pPr>
        <w:pStyle w:val="Heading2"/>
        <w:spacing w:before="240" w:after="80"/>
      </w:pPr>
      <w:r>
        <w:t>What to watch next</w:t>
      </w:r>
    </w:p>
    <w:p>
      <w:pPr>
        <w:pStyle w:val="ListParagraph"/>
        <w:numPr>
          <w:ilvl w:val="0"/>
          <w:numId w:val="9"/>
        </w:numPr>
        <w:spacing w:after="80"/>
      </w:pPr>
      <w:r>
        <w:t>The first county zoning code, being drafted by Confluence for the planning commission (next meeting November 4, 2026), and the setbacks it sets for wind, solar and storage.</w:t>
      </w:r>
    </w:p>
    <w:p>
      <w:pPr>
        <w:pStyle w:val="ListParagraph"/>
        <w:numPr>
          <w:ilvl w:val="0"/>
          <w:numId w:val="9"/>
        </w:numPr>
        <w:spacing w:after="80"/>
      </w:pPr>
      <w:r>
        <w:t>November 3, 2026: the District 1 commission seat, between Republican Scott Boyes and Democrat John J. Beitzinger, which Commissioner Carlisle-Frazier is leaving; also the Kansas governor's race.</w:t>
      </w:r>
    </w:p>
    <w:p>
      <w:pPr>
        <w:pStyle w:val="ListParagraph"/>
        <w:numPr>
          <w:ilvl w:val="0"/>
          <w:numId w:val="9"/>
        </w:numPr>
        <w:spacing w:after="80"/>
      </w:pPr>
      <w:r>
        <w:t>January 2027: the Kansas legislative session and any revival of SB 417-style state siting.</w:t>
      </w:r>
    </w:p>
    <w:p>
      <w:pPr>
        <w:pStyle w:val="ListParagraph"/>
        <w:numPr>
          <w:ilvl w:val="0"/>
          <w:numId w:val="9"/>
        </w:numPr>
        <w:spacing w:after="80"/>
      </w:pPr>
      <w:r>
        <w:t>March 31, 2027: scheduled end of Resolution 11-2026, and any further extension.</w:t>
      </w:r>
    </w:p>
    <w:p>
      <w:pPr>
        <w:pStyle w:val="ListParagraph"/>
        <w:numPr>
          <w:ilvl w:val="0"/>
          <w:numId w:val="9"/>
        </w:numPr>
        <w:spacing w:after="80"/>
      </w:pPr>
      <w:r>
        <w:t>August 15, 2028: Rainbow Springs' planned operation date under its interconnection agreement, and whether Clearway seeks a revised agreement with the county.</w:t>
      </w:r>
    </w:p>
    <w:p>
      <w:pPr>
        <w:pStyle w:val="Heading1"/>
        <w:spacing w:before="360" w:after="120"/>
      </w:pPr>
      <w:r>
        <w:t>Hawthorn Intelligence Appendix</w:t>
      </w:r>
    </w:p>
    <w:p>
      <w:pPr>
        <w:spacing w:after="200"/>
      </w:pPr>
      <w:r>
        <w:rPr>
          <w:b/>
        </w:rPr>
        <w:t>Restriction score:</w:t>
      </w:r>
      <w:r>
        <w:t xml:space="preserve"> </w:t>
      </w:r>
      <w:r>
        <w:rPr>
          <w:i/>
        </w:rPr>
        <w:t>0.14/1</w:t>
      </w:r>
      <w:r>
        <w:rPr>
          <w:rStyle w:val="FootnoteReference"/>
        </w:rPr>
        <w:footnoteReference w:id="1"/>
      </w:r>
    </w:p>
    <w:p>
      <w:pPr>
        <w:spacing w:after="200"/>
      </w:pPr>
      <w:r>
        <w:t>Cherokee sits in the 43</w:t>
      </w:r>
      <w:r>
        <w:rPr>
          <w:vertAlign w:val="superscript"/>
        </w:rPr>
        <w:t>rd</w:t>
      </w:r>
      <w:r>
        <w:t xml:space="preserve"> percentile nationally, the 37</w:t>
      </w:r>
      <w:r>
        <w:rPr>
          <w:vertAlign w:val="superscript"/>
        </w:rPr>
        <w:t>th</w:t>
      </w:r>
      <w:r>
        <w:t xml:space="preserve"> in Kansas, and the 15</w:t>
      </w:r>
      <w:r>
        <w:rPr>
          <w:vertAlign w:val="superscript"/>
        </w:rPr>
        <w:t>th</w:t>
      </w:r>
      <w:r>
        <w:t xml:space="preserve"> among the 747 counties with a severe restriction on record. The model scores five county traits: population, median household income, operating wind capacity, megawatts of wind, solar and storage requested in interconnection queues, and the share of neighboring counties with a severe restriction.</w:t>
      </w:r>
      <w:r>
        <w:rPr>
          <w:rStyle w:val="FootnoteReference"/>
        </w:rPr>
        <w:footnoteReference w:id="2"/>
      </w:r>
      <w:r>
        <w:t xml:space="preserve"> In Kansas, Harvey (0.72), Douglas (0.67) and Shawnee (0.67) score highest; the state median is 0.18.</w:t>
      </w:r>
    </w:p>
    <w:p>
      <w:pPr>
        <w:spacing w:after="200"/>
      </w:pPr>
      <w:r>
        <w:rPr>
          <w:b/>
        </w:rPr>
        <w:t>Scale</w:t>
      </w:r>
    </w:p>
    <w:p>
      <w:pPr>
        <w:spacing w:after="200"/>
      </w:pPr>
      <w:r>
        <w:t>The score comes from Hawthorn's county model, a regularized logistic regression whose traits were chosen from nine candidates by a pre-registered stability rule and validated with five-fold cross-validation repeated five times. Every county is scored out of fold, and a cross-fitted recalibration keeps scores in line with observed rates (calibration slope 1.00). Across ten equal deciles of the 3,144 counties, the share with a severe restriction rises from 3.5 percent in the lowest to 65 percent in the highest. Cherokee is in the fifth.</w:t>
      </w:r>
    </w:p>
    <w:p>
      <w:pPr>
        <w:keepNext/>
        <w:spacing w:before="120" w:after="80"/>
      </w:pPr>
      <w:r>
        <w:rPr>
          <w:b/>
          <w:i/>
        </w:rPr>
        <w:t xml:space="preserve">Table 1 </w:t>
      </w:r>
      <w:r>
        <w:rPr>
          <w:i/>
        </w:rPr>
        <w:t>Hawthorn Intelligence Restriction Scale</w:t>
      </w:r>
      <w:r>
        <w:rPr>
          <w:rStyle w:val="FootnoteReference"/>
        </w:rPr>
        <w:footnoteReference w:id="3"/>
      </w:r>
    </w:p>
    <w:tbl>
      <w:tblPr>
        <w:tblStyle w:val="TableNormal"/>
        <w:tblW w:w="10080" w:type="dxa"/>
        <w:tblLayout w:type="fixed"/>
        <w:tblLook w:val="04A0" w:firstRow="1" w:lastRow="0" w:firstColumn="1" w:lastColumn="0" w:noHBand="0" w:noVBand="1"/>
      </w:tblPr>
      <w:tblGrid>
        <w:gridCol w:w="2000"/>
        <w:gridCol w:w="2600"/>
        <w:gridCol w:w="1600"/>
        <w:gridCol w:w="3880"/>
      </w:tblGrid>
      <w:tr>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Decile</w:t>
            </w:r>
          </w:p>
        </w:tc>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Score range</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Counties</w:t>
            </w:r>
          </w:p>
        </w:tc>
        <w:tc>
          <w:tcPr>
            <w:tcW w:w="38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Share with a severe restriction</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 (lowest)</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0.015 to 0.063</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3.5%</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0.063 to 0.083</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0.083 to 0.105</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7.0%</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0.105 to 0.131</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5: Cherokee</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0.131 to 0.164</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15.9%</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0.164 to 0.210</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0.210 to 0.279</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28.3%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0.280 to 0.386</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33.4%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0.386 to 0.546</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44.3%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10 (highest)</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0.546 to 0.930</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65.1%</w:t>
            </w:r>
          </w:p>
        </w:tc>
      </w:tr>
    </w:tbl>
    <w:p>
      <w:pPr>
        <w:spacing w:after="40"/>
      </w:pPr>
    </w:p>
    <w:p>
      <w:pPr>
        <w:keepNext/>
        <w:spacing w:before="120" w:after="80"/>
      </w:pPr>
      <w:r>
        <w:rPr>
          <w:b/>
          <w:i/>
        </w:rPr>
        <w:t xml:space="preserve">Table 2 </w:t>
      </w:r>
      <w:r>
        <w:rPr>
          <w:i/>
        </w:rPr>
        <w:t>Cherokee against national, state and peer benchmarks</w:t>
      </w:r>
      <w:r>
        <w:rPr>
          <w:rStyle w:val="FootnoteReference"/>
        </w:rPr>
        <w:footnoteReference w:id="4"/>
      </w:r>
    </w:p>
    <w:tbl>
      <w:tblPr>
        <w:tblStyle w:val="TableNormal"/>
        <w:tblW w:w="10080" w:type="dxa"/>
        <w:tblLayout w:type="fixed"/>
        <w:tblLook w:val="04A0" w:firstRow="1" w:lastRow="0" w:firstColumn="1" w:lastColumn="0" w:noHBand="0" w:noVBand="1"/>
      </w:tblPr>
      <w:tblGrid>
        <w:gridCol w:w="3280"/>
        <w:gridCol w:w="1700"/>
        <w:gridCol w:w="1700"/>
        <w:gridCol w:w="1700"/>
        <w:gridCol w:w="1700"/>
      </w:tblGrid>
      <w:tr>
        <w:trPr>
          <w:cantSplit/>
          <w:tblHeader/>
        </w:trPr>
        <w:tc>
          <w:tcPr>
            <w:tcW w:w="32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Measure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Cherokee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U.S. percentile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KS percentile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Peer median</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Restriction score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0.13</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Opposition records (this review)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Records per 100,000 residents</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26.1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6.2</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Interconnection requests, MW (all years)</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724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710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Operating solar, MW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Operating wind, MW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Population (model input)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19,151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16,641</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Residents per square mile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29</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Median household income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$57,668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$61,961</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Bachelor's degree or higher</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19.4%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18.9%</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2024 presidential margin</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R+52.9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34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60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R+52.3</w:t>
            </w:r>
          </w:p>
        </w:tc>
      </w:tr>
    </w:tbl>
    <w:p>
      <w:pPr>
        <w:spacing w:after="40"/>
      </w:pPr>
    </w:p>
    <w:p>
      <w:pPr>
        <w:spacing w:after="200"/>
      </w:pPr>
      <w:r>
        <w:t>Against the average U.S. county, Cherokee's few restricting neighbors and its modest income account for more than 60 percent of the movement in its score, both pulling it down; its interconnection queue is the only trait pushing it up. Its partisan margin contributes nothing, because the 2024 margin did not keep a stable sign across the model's cross-validation folds and was dropped.</w:t>
      </w:r>
    </w:p>
    <w:p>
      <w:pPr>
        <w:keepNext/>
        <w:spacing w:before="120" w:after="80"/>
      </w:pPr>
      <w:r>
        <w:rPr>
          <w:b/>
          <w:i/>
        </w:rPr>
        <w:t xml:space="preserve">Table 3 </w:t>
      </w:r>
      <w:r>
        <w:rPr>
          <w:i/>
        </w:rPr>
        <w:t>Contribution of each model trait to Cherokee's score</w:t>
      </w:r>
      <w:r>
        <w:rPr>
          <w:rStyle w:val="FootnoteReference"/>
        </w:rPr>
        <w:footnoteReference w:id="5"/>
      </w:r>
    </w:p>
    <w:tbl>
      <w:tblPr>
        <w:tblStyle w:val="TableNormal"/>
        <w:tblW w:w="10080" w:type="dxa"/>
        <w:tblLayout w:type="fixed"/>
        <w:tblLook w:val="04A0" w:firstRow="1" w:lastRow="0" w:firstColumn="1" w:lastColumn="0" w:noHBand="0" w:noVBand="1"/>
      </w:tblPr>
      <w:tblGrid>
        <w:gridCol w:w="2600"/>
        <w:gridCol w:w="2000"/>
        <w:gridCol w:w="1500"/>
        <w:gridCol w:w="900"/>
        <w:gridCol w:w="1400"/>
        <w:gridCol w:w="1680"/>
      </w:tblGrid>
      <w:tr>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County trait</w:t>
            </w:r>
          </w:p>
        </w:tc>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Cherokee (U.S. average)</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Model direction</w:t>
            </w:r>
          </w:p>
        </w:tc>
        <w:tc>
          <w:tcPr>
            <w:tcW w:w="9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Trust tier</w:t>
            </w:r>
          </w:p>
        </w:tc>
        <w:tc>
          <w:tcPr>
            <w:tcW w:w="14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Lift (log-odds)</w:t>
            </w:r>
          </w:p>
        </w:tc>
        <w:tc>
          <w:tcPr>
            <w:tcW w:w="16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Share of movement</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Neighbors with a severe restriction</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17% (24%)</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-0.19</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38%</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Median household income</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$57,668 ($65,870)</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-0.12</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25%</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Interconnection requests (MW)</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724 (177)</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+0.10</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Population</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19,151 (28,995)</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-0.05</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10%</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Operating wind capacity</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 (1.3)</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-0.04</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8%</w:t>
            </w:r>
          </w:p>
        </w:tc>
      </w:tr>
    </w:tbl>
    <w:p>
      <w:pPr>
        <w:spacing w:after="40"/>
      </w:pPr>
    </w:p>
    <w:p>
      <w:pPr>
        <w:spacing w:after="200"/>
      </w:pPr>
      <w:r>
        <w:t>Cherokee's record runs well ahead of its profile. Its structural peers (other U.S. counties matched on population, density, education and 2024 margin)</w:t>
      </w:r>
      <w:r>
        <w:rPr>
          <w:rStyle w:val="FootnoteReference"/>
        </w:rPr>
        <w:footnoteReference w:id="6"/>
      </w:r>
      <w:r>
        <w:t xml:space="preserve"> have a median score of 0.13, and three of the ten have a severe restriction on record. Cherokee's 26 records per 100,000 residents sit in the 95</w:t>
      </w:r>
      <w:r>
        <w:rPr>
          <w:vertAlign w:val="superscript"/>
        </w:rPr>
        <w:t>th</w:t>
      </w:r>
      <w:r>
        <w:t xml:space="preserve"> percentile nationally.</w:t>
      </w:r>
    </w:p>
    <w:p>
      <w:pPr>
        <w:spacing w:after="200"/>
      </w:pPr>
      <w:r>
        <w:rPr>
          <w:b/>
        </w:rPr>
        <w:t>Comparable outcomes:</w:t>
      </w:r>
      <w:r>
        <w:t xml:space="preserve"> The platform records seven decided contested projects in Kansas; six were recorded as blocked (86 percent), though no Kansas outcome has yet been confirmed by independent evidence. Within 40 miles, Apex's 300 MW Neosho Ridge Wind in Neosho County was built despite opposition and litigation and now operates.</w:t>
      </w:r>
    </w:p>
    <w:p>
      <w:pPr>
        <w:keepNext/>
        <w:spacing w:before="120" w:after="80"/>
      </w:pPr>
      <w:r>
        <w:rPr>
          <w:b/>
          <w:i/>
        </w:rPr>
        <w:t xml:space="preserve">Table 4 </w:t>
      </w:r>
      <w:r>
        <w:rPr>
          <w:i/>
        </w:rPr>
        <w:t>Neighboring counties</w:t>
      </w:r>
      <w:r>
        <w:rPr>
          <w:rStyle w:val="FootnoteReference"/>
        </w:rPr>
        <w:footnoteReference w:id="7"/>
      </w:r>
    </w:p>
    <w:tbl>
      <w:tblPr>
        <w:tblStyle w:val="TableNormal"/>
        <w:tblW w:w="10080" w:type="dxa"/>
        <w:tblLayout w:type="fixed"/>
        <w:tblLook w:val="04A0" w:firstRow="1" w:lastRow="0" w:firstColumn="1" w:lastColumn="0" w:noHBand="0" w:noVBand="1"/>
      </w:tblPr>
      <w:tblGrid>
        <w:gridCol w:w="2000"/>
        <w:gridCol w:w="1500"/>
        <w:gridCol w:w="1700"/>
        <w:gridCol w:w="1500"/>
        <w:gridCol w:w="1800"/>
        <w:gridCol w:w="1580"/>
      </w:tblGrid>
      <w:tr>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Neighboring county</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Restriction score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Severe restriction on record</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Opposition records</w:t>
            </w:r>
          </w:p>
        </w:tc>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Interconnection requests, MW</w:t>
            </w:r>
          </w:p>
        </w:tc>
        <w:tc>
          <w:tcPr>
            <w:tcW w:w="15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Population</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Crawford, KS</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963</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39,008</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Labette, KS</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yes</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1,351</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19,869</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Jasper, MO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2,073</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124,357</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Newton, MO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1,092</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60,118</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Craig, OK</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2,248</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14,302</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Ottawa, OK</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0.09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30,341</w:t>
            </w:r>
          </w:p>
        </w:tc>
      </w:tr>
    </w:tbl>
    <w:p>
      <w:pPr>
        <w:spacing w:after="40"/>
      </w:pPr>
    </w:p>
    <w:p>
      <w:pPr>
        <w:pStyle w:val="Heading2"/>
        <w:spacing w:before="240" w:after="80"/>
      </w:pPr>
      <w:r>
        <w:t>How to Read Hawthorn Intelligence Reports</w:t>
      </w:r>
    </w:p>
    <w:p>
      <w:pPr>
        <w:spacing w:after="200"/>
      </w:pPr>
      <w:r>
        <w:rPr>
          <w:b/>
        </w:rPr>
        <w:t>County Restriction Score and decile:</w:t>
      </w:r>
      <w:r>
        <w:t xml:space="preserve"> A calibrated 0 to 1 measure of how closely a county resembles counties that have enacted severe wind, solar or battery-storage restrictions (an explicit moratorium or ban, or terms likely to act as one, such as a wind setback of half a mile or more). It is reported with its likely range and national decile (Table 1). It describes county profiles, not any specific project, and its drivers are predictive associations, not causes.</w:t>
      </w:r>
    </w:p>
    <w:p>
      <w:pPr>
        <w:spacing w:after="200"/>
      </w:pPr>
      <w:r>
        <w:rPr>
          <w:b/>
        </w:rPr>
        <w:t>Evidence status:</w:t>
      </w:r>
      <w:r>
        <w:t xml:space="preserve"> How thoroughly a county's restriction record has been checked against the instruments themselves. It describes verification effort, not the likelihood of a restriction.</w:t>
      </w:r>
    </w:p>
    <w:p>
      <w:pPr>
        <w:keepNext/>
        <w:spacing w:before="120" w:after="80"/>
      </w:pPr>
      <w:r>
        <w:rPr>
          <w:b/>
          <w:i/>
        </w:rPr>
        <w:t xml:space="preserve">Table 5 </w:t>
      </w:r>
      <w:r>
        <w:rPr>
          <w:i/>
        </w:rPr>
        <w:t>Evidence status</w:t>
      </w:r>
      <w:r>
        <w:rPr>
          <w:rStyle w:val="FootnoteReference"/>
        </w:rPr>
        <w:footnoteReference w:id="8"/>
      </w:r>
    </w:p>
    <w:tbl>
      <w:tblPr>
        <w:tblStyle w:val="TableNormal"/>
        <w:tblW w:w="10080" w:type="dxa"/>
        <w:tblLayout w:type="fixed"/>
        <w:tblLook w:val="04A0" w:firstRow="1" w:lastRow="0" w:firstColumn="1" w:lastColumn="0" w:noHBand="0" w:noVBand="1"/>
      </w:tblPr>
      <w:tblGrid>
        <w:gridCol w:w="1900"/>
        <w:gridCol w:w="6080"/>
        <w:gridCol w:w="2100"/>
      </w:tblGrid>
      <w:tr>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Status</w:t>
            </w:r>
          </w:p>
        </w:tc>
        <w:tc>
          <w:tcPr>
            <w:tcW w:w="60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Meaning</w:t>
            </w:r>
          </w:p>
        </w:tc>
        <w:tc>
          <w:tcPr>
            <w:tcW w:w="21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U.S. counties</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Verified (Cherokee)</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At least one restriction checked against the instrument itself or the minutes that adopted it</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72 (2.2%)</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Recorded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Restrictions or contested projects on record from news, trackers or compiled databases, none yet read against the instrument</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1,340 (41.6%)</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Checked, none found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 reviewed search of the county's codes, minutes and news found no restriction (graded A to C by independence of sources)</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 (0.1%)</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Unexamined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 record and no documented check; absence of a record is not evidence of absence</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1,808 (56.1%)</w:t>
            </w:r>
          </w:p>
        </w:tc>
      </w:tr>
    </w:tbl>
    <w:p>
      <w:pPr>
        <w:spacing w:after="40"/>
      </w:pPr>
    </w:p>
    <w:p>
      <w:pPr>
        <w:spacing w:after="200"/>
      </w:pPr>
      <w:r>
        <w:rPr>
          <w:b/>
        </w:rPr>
        <w:t>Outcome tiers:</w:t>
      </w:r>
      <w:r>
        <w:t xml:space="preserve"> Project results, recorded by what happened. Only terminal dispositions count as decided; a vote that has not produced a final disposition stays pending.</w:t>
      </w:r>
    </w:p>
    <w:p>
      <w:pPr>
        <w:keepNext/>
        <w:spacing w:before="120" w:after="80"/>
      </w:pPr>
      <w:r>
        <w:rPr>
          <w:b/>
          <w:i/>
        </w:rPr>
        <w:t xml:space="preserve">Table 6 </w:t>
      </w:r>
      <w:r>
        <w:rPr>
          <w:i/>
        </w:rPr>
        <w:t>Outcome tiers</w:t>
      </w:r>
    </w:p>
    <w:tbl>
      <w:tblPr>
        <w:tblStyle w:val="TableNormal"/>
        <w:tblW w:w="10080" w:type="dxa"/>
        <w:tblLayout w:type="fixed"/>
        <w:tblLook w:val="04A0" w:firstRow="1" w:lastRow="0" w:firstColumn="1" w:lastColumn="0" w:noHBand="0" w:noVBand="1"/>
      </w:tblPr>
      <w:tblGrid>
        <w:gridCol w:w="2400"/>
        <w:gridCol w:w="4200"/>
        <w:gridCol w:w="3480"/>
      </w:tblGrid>
      <w:tr>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Outcome tier</w:t>
            </w:r>
          </w:p>
        </w:tc>
        <w:tc>
          <w:tcPr>
            <w:tcW w:w="42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Definition</w:t>
            </w:r>
          </w:p>
        </w:tc>
        <w:tc>
          <w:tcPr>
            <w:tcW w:w="34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Cherokee projects</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advanced_confirmed</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approval; the project may proceed</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None</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restricted_conditional</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approval carrying binding conditions</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None</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blocked_confirmed</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stop: denied or withdrawn</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None</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pending</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 terminal disposition yet</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Rainbow Springs Solar (held by the moratorium)</w:t>
            </w:r>
          </w:p>
        </w:tc>
      </w:tr>
    </w:tbl>
    <w:p>
      <w:pPr>
        <w:spacing w:after="40"/>
      </w:pPr>
    </w:p>
    <w:p>
      <w:pPr>
        <w:spacing w:after="200"/>
      </w:pPr>
      <w:r>
        <w:rPr>
          <w:b/>
        </w:rPr>
        <w:t>Trust tiers:</w:t>
      </w:r>
      <w:r>
        <w:t xml:space="preserve"> Model traits are tiered by exposure to detection bias. Tier 1 (operating wind capacity and interconnection requests, from federal and grid-operator records) carries the least. Tier 2 (neighbors' restrictions) inherits whatever the restriction record misses. Tier 3 (population and income) also tracks news coverage and is read with more caution (Table 3).</w:t>
      </w:r>
    </w:p>
    <w:p>
      <w:pPr>
        <w:pStyle w:val="Heading2"/>
        <w:spacing w:before="240" w:after="80"/>
      </w:pPr>
      <w:r>
        <w:t>Why developers are looking at Cherokee</w:t>
      </w:r>
    </w:p>
    <w:p>
      <w:pPr>
        <w:spacing w:after="200"/>
      </w:pPr>
      <w:r>
        <w:rPr>
          <w:b/>
        </w:rPr>
        <w:t>Power access:</w:t>
      </w:r>
      <w:r>
        <w:t xml:space="preserve"> Liberty Utilities' (Empire District) Riverton plant sits in the county's southeast corner. Its coal units were retired and demolished, and its 2016 conversion of a combustion turbine to a combined-cycle unit (268 MW nameplate) was the first of its kind in Kansas. The plant's 161 kV substation and the Riverton to Neosho line offer a short path to the grid; Rainbow Springs and a second 225 MW request both queued there. The county sits in the Southwest Power Pool near the Joplin, Missouri load center, where a developer has proposed a </w:t>
      </w:r>
      <w:hyperlink r:id="rId16" w:history="1">
        <w:r>
          <w:rPr>
            <w:rStyle w:val="Hyperlink"/>
          </w:rPr>
          <w:t xml:space="preserve">hyperscale data-center park</w:t>
        </w:r>
      </w:hyperlink>
      <w:r>
        <w:t xml:space="preserve"> with large solar and battery components in eastern Jasper County.</w:t>
      </w:r>
    </w:p>
    <w:p>
      <w:pPr>
        <w:spacing w:after="200"/>
      </w:pPr>
      <w:r>
        <w:rPr>
          <w:b/>
        </w:rPr>
        <w:t>Land use</w:t>
      </w:r>
      <w:r>
        <w:t xml:space="preserve"> is where the friction is. About 115 of Cherokee's square miles lie in the Tri-State Mining District's </w:t>
      </w:r>
      <w:hyperlink r:id="rId17" w:history="1">
        <w:r>
          <w:rPr>
            <w:rStyle w:val="Hyperlink"/>
          </w:rPr>
          <w:t xml:space="preserve">Superfund site</w:t>
        </w:r>
      </w:hyperlink>
      <w:r>
        <w:t>, listed in 1983 for lead, zinc and cadmium. Opponents argue that building on that ground risks disturbing contamination. Clearway's leases cover more than 3,000 acres of private land.</w:t>
      </w:r>
    </w:p>
    <w:p>
      <w:pPr>
        <w:pStyle w:val="Heading2"/>
        <w:spacing w:before="240" w:after="80"/>
      </w:pPr>
      <w:r>
        <w:t>Restriction timeline</w:t>
      </w:r>
    </w:p>
    <w:p>
      <w:pPr>
        <w:pStyle w:val="ListParagraph"/>
        <w:numPr>
          <w:ilvl w:val="0"/>
          <w:numId w:val="9"/>
        </w:numPr>
        <w:spacing w:after="80"/>
      </w:pPr>
      <w:r>
        <w:t xml:space="preserve">August 2021: Board unanimously </w:t>
      </w:r>
      <w:hyperlink r:id="rId18" w:history="1">
        <w:r>
          <w:rPr>
            <w:rStyle w:val="Hyperlink"/>
          </w:rPr>
          <w:t xml:space="preserve">adopts</w:t>
        </w:r>
      </w:hyperlink>
      <w:r>
        <w:t xml:space="preserve"> a one-year wind moratorium after RWE Renewables scouts a project.</w:t>
      </w:r>
    </w:p>
    <w:p>
      <w:pPr>
        <w:pStyle w:val="ListParagraph"/>
        <w:numPr>
          <w:ilvl w:val="0"/>
          <w:numId w:val="9"/>
        </w:numPr>
        <w:spacing w:after="80"/>
      </w:pPr>
      <w:r>
        <w:t xml:space="preserve">October 3, 2022: Board </w:t>
      </w:r>
      <w:hyperlink r:id="rId19" w:history="1">
        <w:r>
          <w:rPr>
            <w:rStyle w:val="Hyperlink"/>
          </w:rPr>
          <w:t xml:space="preserve">adopts</w:t>
        </w:r>
      </w:hyperlink>
      <w:r>
        <w:t xml:space="preserve"> Resolution 9-2022 regulating industrial wind: 5,250-foot property-line setback, 440-foot height cap, 39 dBA night noise limit.</w:t>
      </w:r>
    </w:p>
    <w:p>
      <w:pPr>
        <w:pStyle w:val="ListParagraph"/>
        <w:numPr>
          <w:ilvl w:val="0"/>
          <w:numId w:val="9"/>
        </w:numPr>
        <w:spacing w:after="80"/>
      </w:pPr>
      <w:r>
        <w:t>June 10, 2024: Board unanimously adopts Resolution 16-2024, a commercial solar moratorium.</w:t>
      </w:r>
    </w:p>
    <w:p>
      <w:pPr>
        <w:pStyle w:val="ListParagraph"/>
        <w:numPr>
          <w:ilvl w:val="0"/>
          <w:numId w:val="9"/>
        </w:numPr>
        <w:spacing w:after="80"/>
      </w:pPr>
      <w:r>
        <w:t>August 8 and 12, 2024: Public meeting on solar; board unanimously re-enacts the moratorium to September 12 (Resolution 21-2024).</w:t>
      </w:r>
    </w:p>
    <w:p>
      <w:pPr>
        <w:pStyle w:val="ListParagraph"/>
        <w:numPr>
          <w:ilvl w:val="0"/>
          <w:numId w:val="9"/>
        </w:numPr>
        <w:spacing w:after="80"/>
      </w:pPr>
      <w:r>
        <w:t xml:space="preserve">September 9, 2024: Board </w:t>
      </w:r>
      <w:hyperlink r:id="rId12" w:history="1">
        <w:r>
          <w:rPr>
            <w:rStyle w:val="Hyperlink"/>
          </w:rPr>
          <w:t xml:space="preserve">extends</w:t>
        </w:r>
      </w:hyperlink>
      <w:r>
        <w:t xml:space="preserve"> the solar moratorium a year (Resolution 23-2024), 2-1, Carlisle-Frazier opposed.</w:t>
      </w:r>
    </w:p>
    <w:p>
      <w:pPr>
        <w:pStyle w:val="ListParagraph"/>
        <w:numPr>
          <w:ilvl w:val="0"/>
          <w:numId w:val="9"/>
        </w:numPr>
        <w:spacing w:after="80"/>
      </w:pPr>
      <w:r>
        <w:t xml:space="preserve">July 2025: Board </w:t>
      </w:r>
      <w:hyperlink r:id="rId20" w:history="1">
        <w:r>
          <w:rPr>
            <w:rStyle w:val="Hyperlink"/>
          </w:rPr>
          <w:t xml:space="preserve">extends</w:t>
        </w:r>
      </w:hyperlink>
      <w:r>
        <w:t xml:space="preserve"> the solar moratorium to July 1, 2026 at the planning commission's request, unanimously (Resolution 20-2025).</w:t>
      </w:r>
    </w:p>
    <w:p>
      <w:pPr>
        <w:pStyle w:val="ListParagraph"/>
        <w:numPr>
          <w:ilvl w:val="0"/>
          <w:numId w:val="9"/>
        </w:numPr>
        <w:spacing w:after="80"/>
      </w:pPr>
      <w:r>
        <w:t>December 22, 2025: Board adopts Resolution R-27-2025, a nine-month moratorium on use of county roads and infrastructure for renewables, storage, data centers and crypto mining, 2-1, Carlisle-Frazier opposed.</w:t>
      </w:r>
    </w:p>
    <w:p>
      <w:pPr>
        <w:pStyle w:val="ListParagraph"/>
        <w:numPr>
          <w:ilvl w:val="0"/>
          <w:numId w:val="9"/>
        </w:numPr>
        <w:spacing w:after="80"/>
      </w:pPr>
      <w:r>
        <w:t xml:space="preserve">June 8, 2026: Board </w:t>
      </w:r>
      <w:hyperlink r:id="rId21" w:history="1">
        <w:r>
          <w:rPr>
            <w:rStyle w:val="Hyperlink"/>
          </w:rPr>
          <w:t xml:space="preserve">re-adopts</w:t>
        </w:r>
      </w:hyperlink>
      <w:r>
        <w:t xml:space="preserve"> the roads and infrastructure moratorium as Resolution 11-2026, through March 31, 2027, 2-1, Carlisle-Frazier opposed.</w:t>
      </w:r>
    </w:p>
    <w:p>
      <w:pPr>
        <w:pStyle w:val="ListParagraph"/>
        <w:numPr>
          <w:ilvl w:val="0"/>
          <w:numId w:val="9"/>
        </w:numPr>
        <w:spacing w:after="80"/>
      </w:pPr>
      <w:r>
        <w:t>July 1, 2026: The solar moratorium (Resolution 20-2025) expires.</w:t>
      </w:r>
    </w:p>
    <w:p>
      <w:pPr>
        <w:pStyle w:val="ListParagraph"/>
        <w:numPr>
          <w:ilvl w:val="0"/>
          <w:numId w:val="9"/>
        </w:numPr>
        <w:spacing w:after="80"/>
      </w:pPr>
      <w:r>
        <w:t>August 2026: Board adopts the Confluence comprehensive plan, 2-1, Carlisle-Frazier opposed, as reported by KSNF; zoning code drafting begins.</w:t>
      </w:r>
    </w:p>
    <w:p>
      <w:pPr>
        <w:spacing w:after="200"/>
      </w:pPr>
      <w:r>
        <w:rPr>
          <w:b/>
        </w:rPr>
        <w:t>How the rules are being written:</w:t>
      </w:r>
      <w:r>
        <w:t xml:space="preserve"> The county hired Confluence to write a comprehensive plan and then a zoning code; the planning commission, chaired by Brett Warstler, leads the work. Its March 2026 minutes show members split 3-2 over paying a Confluence invoice, and one member proposed adding PFAS from biosolid fertilizer to the moratorium. The adopted plan's Strategy RE-4.1 calls for a zoning code that regulates the location and operation of utility-scale wind and solar and other high-impact uses, and RE-4.2 calls for decommissioning agreements. The planning commission's September and October 2026 agendas list Confluence's draft outline of the zoning code.</w:t>
      </w:r>
    </w:p>
    <w:p>
      <w:pPr>
        <w:pStyle w:val="Heading2"/>
        <w:spacing w:before="240" w:after="80"/>
      </w:pPr>
      <w:r>
        <w:t>Project outcomes</w:t>
      </w:r>
    </w:p>
    <w:p>
      <w:pPr>
        <w:pStyle w:val="ListParagraph"/>
        <w:numPr>
          <w:ilvl w:val="0"/>
          <w:numId w:val="16"/>
        </w:numPr>
        <w:spacing w:after="80"/>
      </w:pPr>
      <w:r>
        <w:rPr>
          <w:b/>
        </w:rPr>
        <w:t>Rainbow Springs Solar</w:t>
      </w:r>
      <w:r>
        <w:t xml:space="preserve"> (Clearway Energy): 225 MW on more than 3,000 leased acres southeast of Columbus; likely SPP GEN-2020-079. Held by the solar moratorium from June 2024 to July 2026, and since then by Resolution 11-2026. A KSNF headline describing a "$50M agreement" overstated the July 2025 meeting, at which the commission heard Clearway's offer but took no vote.</w:t>
      </w:r>
    </w:p>
    <w:p>
      <w:pPr>
        <w:pStyle w:val="ListParagraph"/>
        <w:numPr>
          <w:ilvl w:val="0"/>
          <w:numId w:val="16"/>
        </w:numPr>
        <w:spacing w:after="80"/>
      </w:pPr>
      <w:r>
        <w:rPr>
          <w:b/>
        </w:rPr>
        <w:t>RWE wind</w:t>
      </w:r>
      <w:r>
        <w:t xml:space="preserve"> (RWE Renewables Americas): scouted in 2021 and never filed; followed by the 2021 wind moratorium and the 2022 wind rules.</w:t>
      </w:r>
    </w:p>
    <w:p>
      <w:pPr>
        <w:pStyle w:val="Heading2"/>
        <w:spacing w:before="240" w:after="80"/>
      </w:pPr>
      <w:r>
        <w:t>Opposition</w:t>
      </w:r>
    </w:p>
    <w:p>
      <w:pPr>
        <w:spacing w:after="200"/>
      </w:pPr>
      <w:r>
        <w:t>Organized groups on record: none found. Opponents on record include landowner Brett Warstler, now chair of the planning commission, and Matt Naiper, both at the 2024 solar hearings. Concerns include mining contamination, restoration costs and subsidies. Supporters include Clearway, its lessor landowners and Dr. Brian Ipsen, who planned to graze livestock under the panels.</w:t>
      </w:r>
    </w:p>
    <w:p>
      <w:pPr>
        <w:pStyle w:val="Heading2"/>
        <w:spacing w:before="240" w:after="80"/>
      </w:pPr>
      <w:r>
        <w:t>Local Context</w:t>
      </w:r>
    </w:p>
    <w:p>
      <w:pPr>
        <w:spacing w:after="200"/>
      </w:pPr>
      <w:r>
        <w:t xml:space="preserve">The commission's three members are Myra Carlisle-Frazier (District 1, chair through January 2026), Jack Garner (District 2, elected 2024, 2,158 to 829) and Cory Moates (District 3, chair since January 2026, re-elected unopposed in 2024). Moates moved the 2024 solar moratorium and said zoning "may be necessary" to protect the county. Carlisle-Frazier voted for the June and August 2024 solar moratoria and moved the 2025 extension, but voted against the September 2024 extension, R-27-2025, its 2026 renewal and the comprehensive plan. In the August 4, 2026 Republican primary for District 1, Scott Boyes beat Joshua Reed 489 to 250, with no incumbent on the </w:t>
      </w:r>
      <w:hyperlink r:id="rId22" w:history="1">
        <w:r>
          <w:rPr>
            <w:rStyle w:val="Hyperlink"/>
          </w:rPr>
          <w:t xml:space="preserve">ballot</w:t>
        </w:r>
      </w:hyperlink>
      <w:r>
        <w:t xml:space="preserve">. A Scott Boyes sits on the planning commission; we did not confirm they are the same person. Democrat John J. Beitzinger was unopposed in his </w:t>
      </w:r>
      <w:hyperlink r:id="rId23" w:history="1">
        <w:r>
          <w:rPr>
            <w:rStyle w:val="Hyperlink"/>
          </w:rPr>
          <w:t xml:space="preserve">primary</w:t>
        </w:r>
      </w:hyperlink>
      <w:r>
        <w:t>. Carlisle-Frazier, the only vote against the 2025 and 2026 moratoria, leaves the board in January 2027.</w:t>
      </w:r>
    </w:p>
    <w:p>
      <w:pPr>
        <w:pStyle w:val="Heading2"/>
        <w:spacing w:before="240" w:after="80"/>
      </w:pPr>
      <w:r>
        <w:t>State Context</w:t>
      </w:r>
    </w:p>
    <w:p>
      <w:pPr>
        <w:spacing w:after="200"/>
      </w:pPr>
      <w:r>
        <w:t xml:space="preserve">Kansas leaves wind and solar siting to counties. SB 417 (2025-2026), requested on behalf of the Kansas Farm Bureau and Kansas Livestock Association, would have given the Kansas Corporation Commission permitting authority over large energy facilities and set decommissioning requirements; it </w:t>
      </w:r>
      <w:hyperlink r:id="rId24" w:history="1">
        <w:r>
          <w:rPr>
            <w:rStyle w:val="Hyperlink"/>
          </w:rPr>
          <w:t xml:space="preserve">died</w:t>
        </w:r>
      </w:hyperlink>
      <w:r>
        <w:t xml:space="preserve">, and the 2026 session </w:t>
      </w:r>
      <w:hyperlink r:id="rId25" w:history="1">
        <w:r>
          <w:rPr>
            <w:rStyle w:val="Hyperlink"/>
          </w:rPr>
          <w:t xml:space="preserve">adjourned</w:t>
        </w:r>
      </w:hyperlink>
      <w:r>
        <w:t xml:space="preserve"> without passing any siting bill. A 2024 law bars eminent domain for solar, as an earlier one did for wind. Counties have filled the gap: University of Kansas research found new wind banned in about one-fifth of Kansas counties, and in 2025 and 2026 Franklin, Saline, Marion, Shawnee and others adopted moratoria on renewables or data centers, while Montgomery County rejected one.</w:t>
      </w:r>
    </w:p>
    <w:p>
      <w:pPr>
        <w:spacing w:after="200"/>
      </w:pPr>
      <w:r>
        <w:t xml:space="preserve">Data centers have reached the governor's race. The 2025 law SB 98 created a 20-year sales-tax exemption for large data centers. In October 2026 Democrat Cindy Holscher called for pausing development until guardrails exist, while Republican Ty Masterson defended the law and said local officials should decide, the </w:t>
      </w:r>
      <w:hyperlink r:id="rId26" w:history="1">
        <w:r>
          <w:rPr>
            <w:rStyle w:val="Hyperlink"/>
          </w:rPr>
          <w:t xml:space="preserve">Kansas Reflector reported</w:t>
        </w:r>
      </w:hyperlink>
      <w:r>
        <w:t>.</w:t>
      </w:r>
    </w:p>
    <w:p>
      <w:pPr>
        <w:pStyle w:val="Heading2"/>
        <w:spacing w:before="240" w:after="80"/>
      </w:pPr>
      <w:r>
        <w:t>Sources</w:t>
      </w:r>
    </w:p>
    <w:p>
      <w:pPr>
        <w:spacing w:after="40"/>
      </w:pPr>
      <w:r>
        <w:rPr>
          <w:sz w:val="16"/>
        </w:rPr>
        <w:t xml:space="preserve">S1. U.S. Census Bureau, Vintage 2025 county population estimates. </w:t>
      </w:r>
      <w:hyperlink r:id="rId9" w:history="1">
        <w:r>
          <w:rPr>
            <w:rStyle w:val="Hyperlink"/>
            <w:sz w:val="16"/>
            <w:szCs w:val="16"/>
          </w:rPr>
          <w:t xml:space="preserve">https://www2.census.gov/programs-surveys/popest/datasets/2020-2025/counties/totals/co-est2025-alldata.csv</w:t>
        </w:r>
      </w:hyperlink>
    </w:p>
    <w:p>
      <w:pPr>
        <w:spacing w:after="40"/>
      </w:pPr>
      <w:r>
        <w:rPr>
          <w:sz w:val="16"/>
        </w:rPr>
        <w:t xml:space="preserve">S2. U.S. Census Bureau, American Community Survey 2020-2024 5-year estimates, via Census Reporter and pricephillips/renewable-opposition county_covariates.csv. </w:t>
      </w:r>
      <w:hyperlink r:id="rId27" w:history="1">
        <w:r>
          <w:rPr>
            <w:rStyle w:val="Hyperlink"/>
            <w:sz w:val="16"/>
            <w:szCs w:val="16"/>
          </w:rPr>
          <w:t xml:space="preserve">https://censusreporter.org/profiles/05000US20021-cherokee-county-ks/</w:t>
        </w:r>
      </w:hyperlink>
    </w:p>
    <w:p>
      <w:pPr>
        <w:spacing w:after="40"/>
      </w:pPr>
      <w:r>
        <w:rPr>
          <w:sz w:val="16"/>
        </w:rPr>
        <w:t xml:space="preserve">S3. MIT Election Data and Science Lab, County Presidential Election Returns 2000-2024, doi:10.7910/DVN/VOQCHQ. </w:t>
      </w:r>
      <w:hyperlink r:id="rId10" w:history="1">
        <w:r>
          <w:rPr>
            <w:rStyle w:val="Hyperlink"/>
            <w:sz w:val="16"/>
            <w:szCs w:val="16"/>
          </w:rPr>
          <w:t xml:space="preserve">https://electionlab.mit.edu/data</w:t>
        </w:r>
      </w:hyperlink>
    </w:p>
    <w:p>
      <w:pPr>
        <w:spacing w:after="40"/>
      </w:pPr>
      <w:r>
        <w:rPr>
          <w:sz w:val="16"/>
        </w:rPr>
        <w:t xml:space="preserve">S4. Southwest Power Pool, generator interconnection queue, updated Oct. 16, 2026. </w:t>
      </w:r>
      <w:hyperlink r:id="rId11" w:history="1">
        <w:r>
          <w:rPr>
            <w:rStyle w:val="Hyperlink"/>
            <w:sz w:val="16"/>
            <w:szCs w:val="16"/>
          </w:rPr>
          <w:t xml:space="preserve">https://opsportal.spp.org/Studies/GenerateSummaryCSV</w:t>
        </w:r>
      </w:hyperlink>
    </w:p>
    <w:p>
      <w:pPr>
        <w:spacing w:after="40"/>
      </w:pPr>
      <w:r>
        <w:rPr>
          <w:sz w:val="16"/>
        </w:rPr>
        <w:t xml:space="preserve">S5. Joplin Globe (via National Wind Watch), Cherokee County panel adopts 1-year wind farm moratorium, Aug. 31, 2021. </w:t>
      </w:r>
      <w:hyperlink r:id="rId18" w:history="1">
        <w:r>
          <w:rPr>
            <w:rStyle w:val="Hyperlink"/>
            <w:sz w:val="16"/>
            <w:szCs w:val="16"/>
          </w:rPr>
          <w:t xml:space="preserve">https://www.wind-watch.org/news/2021/08/31/cherokee-county-panel-adopts-1-year-wind-farm-moratorium/</w:t>
        </w:r>
      </w:hyperlink>
    </w:p>
    <w:p>
      <w:pPr>
        <w:spacing w:after="40"/>
      </w:pPr>
      <w:r>
        <w:rPr>
          <w:sz w:val="16"/>
        </w:rPr>
        <w:t xml:space="preserve">S6. Cherokee County, Resolution No. 9-2022, regulating industrial-scale wind turbines, Oct. 3, 2022. </w:t>
      </w:r>
      <w:hyperlink r:id="rId19" w:history="1">
        <w:r>
          <w:rPr>
            <w:rStyle w:val="Hyperlink"/>
            <w:sz w:val="16"/>
            <w:szCs w:val="16"/>
          </w:rPr>
          <w:t xml:space="preserve">https://cherokeecountyks.gov/MAIN/component/easyfolderlistingpro/?view=download&amp;format=raw&amp;data=eNpFUNEOgjAM_BXTd8OGBrU8-gc-m5AJBZcwRtahJMZ_d2MQn7q73t3aKpQSP4wFQmv7hhyUjAeJoI3qiO-NrVwnQ4Pn-9Uao5m1HcjxLsqCEyYml4y8UAhia3UTsf-HnhCqauFcIjpcJ-ugDEUoEGIpEqsbKDWKZHLUj8o_l9RcMLMbse1cJx_m4CwXeb6mtbqnLS3IxGW_NQ8INPv1NTbtqqB51I54-0mGEZT3qn7GdaF8oAzsJTgcvTS90xJHhCEcXDDK7w-wC2Kz</w:t>
        </w:r>
      </w:hyperlink>
    </w:p>
    <w:p>
      <w:pPr>
        <w:spacing w:after="40"/>
      </w:pPr>
      <w:r>
        <w:rPr>
          <w:sz w:val="16"/>
        </w:rPr>
        <w:t xml:space="preserve">S7. Cherokee County, Board of County Commissioners minutes, Sept. 9, 2024. </w:t>
      </w:r>
      <w:hyperlink r:id="rId12" w:history="1">
        <w:r>
          <w:rPr>
            <w:rStyle w:val="Hyperlink"/>
            <w:sz w:val="16"/>
            <w:szCs w:val="16"/>
          </w:rPr>
          <w:t xml:space="preserve">https://www.cherokeecountyks.gov/MAIN/component/easyfolderlistingpro/?view=download&amp;format=raw&amp;data=eNpFUMsKwjAQ_BXZuzSx4mN79OwfCCXarS40acmmWhD_3aSpCIFkJjOTnRjUGt-CO4S27xryUAmWGoGtuZNcXJr-NlpyQS6n3loW4d6Rl1WSRVwnjEI-G2WmENTv6j6ShH_oHqGuZy6hQ7Y6YylBhZC2XWa5gYpRZZOnbjDhMaeWCMWZ3RhIio3abJekljv6JemI1XEdVxLUi3puhUBTWE5D0y5D0TSwT4r8oo6jmBDM7ZFqQ3VFHdljdHh6Mr1ymS2Cix8B1ecLnrpk_Q%2C%2C</w:t>
        </w:r>
      </w:hyperlink>
    </w:p>
    <w:p>
      <w:pPr>
        <w:spacing w:after="40"/>
      </w:pPr>
      <w:r>
        <w:rPr>
          <w:sz w:val="16"/>
        </w:rPr>
        <w:t xml:space="preserve">S8. Cherokee County, Resolution extending moratorium on commercial solar energy projects (Resolution 23-2024), Sept. 9, 2024. </w:t>
      </w:r>
      <w:hyperlink r:id="rId28" w:history="1">
        <w:r>
          <w:rPr>
            <w:rStyle w:val="Hyperlink"/>
            <w:sz w:val="16"/>
            <w:szCs w:val="16"/>
          </w:rPr>
          <w:t xml:space="preserve">https://cherokeecountyks.gov/main/component/easyfolderlistingpro/?view=download&amp;format=raw&amp;data=eNpFUMtOxDAM_BXkO9o-VgXcI9ojEoLrSlFo3TarPKo4gVwixL-T9CFO8YwzI89ILEv8YWwQBqd78tAy1iWCMnIkvvaui4Zs4OuzM0YxK2fJ813-lpQQmfwm5JVCKI7VGInDv-kDghArl9HjJrXSUIYFQn6ajVU9tAqLTeRJzzJMq2uCpzdip2NId_CpKqrz7jYoTYdbk3BV3-etuCyBbK_sKMJE4sV5GZxX0QhnRY5EvlNSi3enpReXlG38Fq_e3agLa6IagZawT3M_7FFomZVcJz7uLFNcMBmC7KZcXBa0H1gm9ikpPH0q-toqOCPYVB-0v3-TTXuG</w:t>
        </w:r>
      </w:hyperlink>
    </w:p>
    <w:p>
      <w:pPr>
        <w:spacing w:after="40"/>
      </w:pPr>
      <w:r>
        <w:rPr>
          <w:sz w:val="16"/>
        </w:rPr>
        <w:t xml:space="preserve">S9. Galena Sentinel-Times, Solar farm yes or no?, Sept. 5, 2024. </w:t>
      </w:r>
      <w:hyperlink r:id="rId29" w:history="1">
        <w:r>
          <w:rPr>
            <w:rStyle w:val="Hyperlink"/>
            <w:sz w:val="16"/>
            <w:szCs w:val="16"/>
          </w:rPr>
          <w:t xml:space="preserve">https://www.sentineltimes.com/articles/featured-stories/solar-farm-yes-or-no/</w:t>
        </w:r>
      </w:hyperlink>
    </w:p>
    <w:p>
      <w:pPr>
        <w:spacing w:after="40"/>
      </w:pPr>
      <w:r>
        <w:rPr>
          <w:sz w:val="16"/>
        </w:rPr>
        <w:t xml:space="preserve">S10. Galena Sentinel-Times, Commission extends solar project moratorium, July 17, 2025. </w:t>
      </w:r>
      <w:hyperlink r:id="rId20" w:history="1">
        <w:r>
          <w:rPr>
            <w:rStyle w:val="Hyperlink"/>
            <w:sz w:val="16"/>
            <w:szCs w:val="16"/>
          </w:rPr>
          <w:t xml:space="preserve">https://www.sentineltimes.com/articles/local-news/commission-extends-solar-project-moratorium/</w:t>
        </w:r>
      </w:hyperlink>
    </w:p>
    <w:p>
      <w:pPr>
        <w:spacing w:after="40"/>
      </w:pPr>
      <w:r>
        <w:rPr>
          <w:sz w:val="16"/>
        </w:rPr>
        <w:t xml:space="preserve">S11. KSNF/KODE, Cherokee County OKs $50M agreement with commissioners' nod, July 7, 2025. </w:t>
      </w:r>
      <w:hyperlink r:id="rId13" w:history="1">
        <w:r>
          <w:rPr>
            <w:rStyle w:val="Hyperlink"/>
            <w:sz w:val="16"/>
            <w:szCs w:val="16"/>
          </w:rPr>
          <w:t xml:space="preserve">https://digital-release.fourstateshomepage.com/?p=2309370</w:t>
        </w:r>
      </w:hyperlink>
    </w:p>
    <w:p>
      <w:pPr>
        <w:spacing w:after="40"/>
      </w:pPr>
      <w:r>
        <w:rPr>
          <w:sz w:val="16"/>
        </w:rPr>
        <w:t xml:space="preserve">S12. KOAM, Impact study on proposed solar farm in Cherokee County, July 8, 2025. </w:t>
      </w:r>
      <w:hyperlink r:id="rId30" w:history="1">
        <w:r>
          <w:rPr>
            <w:rStyle w:val="Hyperlink"/>
            <w:sz w:val="16"/>
            <w:szCs w:val="16"/>
          </w:rPr>
          <w:t xml:space="preserve">https://www.koamnewsnow.com/news/local-news/impact-study-on-proposed-solar-farm-in-cherokee-county/article_5fda72bd-6d8a-4e72-863b-c5ddf495786e.html</w:t>
        </w:r>
      </w:hyperlink>
    </w:p>
    <w:p>
      <w:pPr>
        <w:spacing w:after="40"/>
      </w:pPr>
      <w:r>
        <w:rPr>
          <w:sz w:val="16"/>
        </w:rPr>
        <w:t xml:space="preserve">S13. KSNF/KODE, Cherokee County officials oppose new solar energy project, Sept. 8, 2025. </w:t>
      </w:r>
      <w:hyperlink r:id="rId14" w:history="1">
        <w:r>
          <w:rPr>
            <w:rStyle w:val="Hyperlink"/>
            <w:sz w:val="16"/>
            <w:szCs w:val="16"/>
          </w:rPr>
          <w:t xml:space="preserve">https://digital-release.fourstateshomepage.com/?p=2368043</w:t>
        </w:r>
      </w:hyperlink>
    </w:p>
    <w:p>
      <w:pPr>
        <w:spacing w:after="40"/>
      </w:pPr>
      <w:r>
        <w:rPr>
          <w:sz w:val="16"/>
        </w:rPr>
        <w:t xml:space="preserve">S14. Cherokee County, Resolution R-27-2025, moratorium on commercial renewable energy, data center and related uses of county infrastructure, Dec. 22, 2025. </w:t>
      </w:r>
      <w:hyperlink r:id="rId31" w:history="1">
        <w:r>
          <w:rPr>
            <w:rStyle w:val="Hyperlink"/>
            <w:sz w:val="16"/>
            <w:szCs w:val="16"/>
          </w:rPr>
          <w:t xml:space="preserve">https://www.cherokeecountyks.gov/main/component/easyfolderlistingpro/?view=download&amp;format=raw&amp;data=eNpFUMFOwzAM_RWUO1rbwQbuCe3Egcu4TrJC424RbVxcYgeGEP9O0m7iFL_nvKfnZ6Gu4UdgA6bnwVE0rcC6BuNHeyQ5OO7SSEHlsONx9FwingNFuSnfstIkobgIZabAVNfVMZHov-kWDOLMFfSwSIMdqcAKTHk2C-udaT1UiyjSMFk9za4ZrvYkPCTNOWTVVM39xa33A13d6qYB02xvyxqfHE_qwxFfOFrl6NOIHHCX9T5Hs8UJucfXiTpvB9zTRwkpqIw5DO5OFPmd8sAp6Dfu2TrBklwixY4EbXD4HPpoRWPqNMU5whoMnfUyTa6_NEDnyUeS63l1vtuq2u5UOjbtG9SZfcyKSJ-evpbm7sCE3Lppf_9cMEsekc4%2C</w:t>
        </w:r>
      </w:hyperlink>
    </w:p>
    <w:p>
      <w:pPr>
        <w:spacing w:after="40"/>
      </w:pPr>
      <w:r>
        <w:rPr>
          <w:sz w:val="16"/>
        </w:rPr>
        <w:t xml:space="preserve">S15. KSNF/KODE, Cherokee County's moratorium affects solar project plans, Jan. 11, 2026. </w:t>
      </w:r>
      <w:hyperlink r:id="rId32" w:history="1">
        <w:r>
          <w:rPr>
            <w:rStyle w:val="Hyperlink"/>
            <w:sz w:val="16"/>
            <w:szCs w:val="16"/>
          </w:rPr>
          <w:t xml:space="preserve">https://digital-release.fourstateshomepage.com/?p=2495648</w:t>
        </w:r>
      </w:hyperlink>
    </w:p>
    <w:p>
      <w:pPr>
        <w:spacing w:after="40"/>
      </w:pPr>
      <w:r>
        <w:rPr>
          <w:sz w:val="16"/>
        </w:rPr>
        <w:t xml:space="preserve">S16. Cherokee County Planning Commission, minutes, Mar. 4, 2026. </w:t>
      </w:r>
      <w:hyperlink r:id="rId33" w:history="1">
        <w:r>
          <w:rPr>
            <w:rStyle w:val="Hyperlink"/>
            <w:sz w:val="16"/>
            <w:szCs w:val="16"/>
          </w:rPr>
          <w:t xml:space="preserve">https://cherokeecountyks.gov/main/images/pdfs/CCPC/CCPC_Minutes_3426.pdf</w:t>
        </w:r>
      </w:hyperlink>
    </w:p>
    <w:p>
      <w:pPr>
        <w:spacing w:after="40"/>
      </w:pPr>
      <w:r>
        <w:rPr>
          <w:sz w:val="16"/>
        </w:rPr>
        <w:t xml:space="preserve">S17. Cherokee County Planning Commission, minutes, July 1, 2026. </w:t>
      </w:r>
      <w:hyperlink r:id="rId34" w:history="1">
        <w:r>
          <w:rPr>
            <w:rStyle w:val="Hyperlink"/>
            <w:sz w:val="16"/>
            <w:szCs w:val="16"/>
          </w:rPr>
          <w:t xml:space="preserve">https://cherokeecountyks.gov/main/images/pdfs/CCPC/CCPC_Minutes_7126.pdf</w:t>
        </w:r>
      </w:hyperlink>
    </w:p>
    <w:p>
      <w:pPr>
        <w:spacing w:after="40"/>
      </w:pPr>
      <w:r>
        <w:rPr>
          <w:sz w:val="16"/>
        </w:rPr>
        <w:t xml:space="preserve">S18. Cherokee County Planning Commission, agendas, Sept. and Oct. 2026. </w:t>
      </w:r>
      <w:hyperlink r:id="rId35" w:history="1">
        <w:r>
          <w:rPr>
            <w:rStyle w:val="Hyperlink"/>
            <w:sz w:val="16"/>
            <w:szCs w:val="16"/>
          </w:rPr>
          <w:t xml:space="preserve">https://cherokeecountyks.gov/main/images/pdfs/CCPC/September_2026_CCPC_Agenda.pdf</w:t>
        </w:r>
      </w:hyperlink>
      <w:r>
        <w:rPr>
          <w:sz w:val="16"/>
        </w:rPr>
        <w:t xml:space="preserve"> and </w:t>
      </w:r>
      <w:hyperlink r:id="rId36" w:history="1">
        <w:r>
          <w:rPr>
            <w:rStyle w:val="Hyperlink"/>
            <w:sz w:val="16"/>
            <w:szCs w:val="16"/>
          </w:rPr>
          <w:t xml:space="preserve">https://cherokeecountyks.gov/main/images/pdfs/CCPC/October_2026_CCPC_Agenda.pdf</w:t>
        </w:r>
      </w:hyperlink>
    </w:p>
    <w:p>
      <w:pPr>
        <w:spacing w:after="40"/>
      </w:pPr>
      <w:r>
        <w:rPr>
          <w:sz w:val="16"/>
        </w:rPr>
        <w:t xml:space="preserve">S19. Confluence, Cherokee County Comprehensive Plan, draft, May 2026. </w:t>
      </w:r>
      <w:hyperlink r:id="rId15" w:history="1">
        <w:r>
          <w:rPr>
            <w:rStyle w:val="Hyperlink"/>
            <w:sz w:val="16"/>
            <w:szCs w:val="16"/>
          </w:rPr>
          <w:t xml:space="preserve">https://engage.thinkconfluence.com/download_file/3051/832</w:t>
        </w:r>
      </w:hyperlink>
    </w:p>
    <w:p>
      <w:pPr>
        <w:spacing w:after="40"/>
      </w:pPr>
      <w:r>
        <w:rPr>
          <w:sz w:val="16"/>
        </w:rPr>
        <w:t xml:space="preserve">S20. KSNF/KODE, Cherokee County commissioners vote on plan for large industrial zoning, Aug. 2026. </w:t>
      </w:r>
      <w:hyperlink r:id="rId37" w:history="1">
        <w:r>
          <w:rPr>
            <w:rStyle w:val="Hyperlink"/>
            <w:sz w:val="16"/>
            <w:szCs w:val="16"/>
          </w:rPr>
          <w:t xml:space="preserve">https://www.fourstateshomepage.com/news/local/cherokee-county-commissioners-vote-on-plan-for-large-industrial-zoning/</w:t>
        </w:r>
      </w:hyperlink>
    </w:p>
    <w:p>
      <w:pPr>
        <w:spacing w:after="40"/>
      </w:pPr>
      <w:r>
        <w:rPr>
          <w:sz w:val="16"/>
        </w:rPr>
        <w:t xml:space="preserve">S21. Cherokee County, 2024 general election summary results (unofficial). </w:t>
      </w:r>
      <w:hyperlink r:id="rId38" w:history="1">
        <w:r>
          <w:rPr>
            <w:rStyle w:val="Hyperlink"/>
            <w:sz w:val="16"/>
            <w:szCs w:val="16"/>
          </w:rPr>
          <w:t xml:space="preserve">https://cherokeecountyks.gov/main/images/BREAKDOWN.pdf</w:t>
        </w:r>
      </w:hyperlink>
    </w:p>
    <w:p>
      <w:pPr>
        <w:spacing w:after="40"/>
      </w:pPr>
      <w:r>
        <w:rPr>
          <w:sz w:val="16"/>
        </w:rPr>
        <w:t xml:space="preserve">S22. KOAM, Southeast Kansas county commissioner nominees selected in primary, Aug. 4, 2026. </w:t>
      </w:r>
      <w:hyperlink r:id="rId22" w:history="1">
        <w:r>
          <w:rPr>
            <w:rStyle w:val="Hyperlink"/>
            <w:sz w:val="16"/>
            <w:szCs w:val="16"/>
          </w:rPr>
          <w:t xml:space="preserve">https://www.koamnewsnow.com/news/elections/southeast-kansas-county-commissioner-nominees-selected-in-primary/article_369e2211-8b7d-4901-b4a2-5d9ab703512b.html</w:t>
        </w:r>
      </w:hyperlink>
    </w:p>
    <w:p>
      <w:pPr>
        <w:spacing w:after="40"/>
      </w:pPr>
      <w:r>
        <w:rPr>
          <w:sz w:val="16"/>
        </w:rPr>
        <w:t xml:space="preserve">S23. Kansas Legislature, SB 417 (2025-2026). </w:t>
      </w:r>
      <w:hyperlink r:id="rId24" w:history="1">
        <w:r>
          <w:rPr>
            <w:rStyle w:val="Hyperlink"/>
            <w:sz w:val="16"/>
            <w:szCs w:val="16"/>
          </w:rPr>
          <w:t xml:space="preserve">https://kslegislature.gov/li/b2025_26/measures/sb417/</w:t>
        </w:r>
      </w:hyperlink>
    </w:p>
    <w:p>
      <w:pPr>
        <w:spacing w:after="40"/>
      </w:pPr>
      <w:r>
        <w:rPr>
          <w:sz w:val="16"/>
        </w:rPr>
        <w:t xml:space="preserve">S24. Siting Solutions Project, State of siting, April 2026. </w:t>
      </w:r>
      <w:hyperlink r:id="rId25" w:history="1">
        <w:r>
          <w:rPr>
            <w:rStyle w:val="Hyperlink"/>
            <w:sz w:val="16"/>
            <w:szCs w:val="16"/>
          </w:rPr>
          <w:t xml:space="preserve">https://sitingsolutions.com/news/state-of-siting-april-2026/</w:t>
        </w:r>
      </w:hyperlink>
    </w:p>
    <w:p>
      <w:pPr>
        <w:spacing w:after="40"/>
      </w:pPr>
      <w:r>
        <w:rPr>
          <w:sz w:val="16"/>
        </w:rPr>
        <w:t xml:space="preserve">S25. Kansas Reflector (via HPPR), Debate about Kansas law incentivizing data center construction charges up governor's race, Oct. 12, 2026. </w:t>
      </w:r>
      <w:hyperlink r:id="rId26" w:history="1">
        <w:r>
          <w:rPr>
            <w:rStyle w:val="Hyperlink"/>
            <w:sz w:val="16"/>
            <w:szCs w:val="16"/>
          </w:rPr>
          <w:t xml:space="preserve">https://www.hppr.org/hppr-news/2026-10-12/debate-about-kansas-law-incentivizing-data-center-construction-charges-up-governors-race</w:t>
        </w:r>
      </w:hyperlink>
    </w:p>
    <w:p>
      <w:pPr>
        <w:spacing w:after="40"/>
      </w:pPr>
      <w:r>
        <w:rPr>
          <w:sz w:val="16"/>
        </w:rPr>
        <w:t xml:space="preserve">S26. KCUR, KU research suggests wind power isn't a red vs. blue issue in Kansas, Jan. 13, 2025. </w:t>
      </w:r>
      <w:hyperlink r:id="rId39" w:history="1">
        <w:r>
          <w:rPr>
            <w:rStyle w:val="Hyperlink"/>
            <w:sz w:val="16"/>
            <w:szCs w:val="16"/>
          </w:rPr>
          <w:t xml:space="preserve">https://www.kcur.org/news/2025-01-13/ku-research-suggests-wind-power-isnt-a-red-vs-blue-issue-in-kansas</w:t>
        </w:r>
      </w:hyperlink>
    </w:p>
    <w:p>
      <w:pPr>
        <w:spacing w:after="40"/>
      </w:pPr>
      <w:r>
        <w:rPr>
          <w:sz w:val="16"/>
        </w:rPr>
        <w:t xml:space="preserve">S27. Kansas Statutes 66-104 and 12-741 (eminent domain; local planning). </w:t>
      </w:r>
      <w:hyperlink r:id="rId40" w:history="1">
        <w:r>
          <w:rPr>
            <w:rStyle w:val="Hyperlink"/>
            <w:sz w:val="16"/>
            <w:szCs w:val="16"/>
          </w:rPr>
          <w:t xml:space="preserve">https://www.ksrevisor.gov/statutes/chapters/ch66/066_001_0004.html</w:t>
        </w:r>
      </w:hyperlink>
    </w:p>
    <w:p>
      <w:pPr>
        <w:spacing w:after="40"/>
      </w:pPr>
      <w:r>
        <w:rPr>
          <w:sz w:val="16"/>
        </w:rPr>
        <w:t xml:space="preserve">S28. ENR, Riverton Unit 12 combined cycle power plant, Oct. 21, 2016. </w:t>
      </w:r>
      <w:hyperlink r:id="rId41" w:history="1">
        <w:r>
          <w:rPr>
            <w:rStyle w:val="Hyperlink"/>
            <w:sz w:val="16"/>
            <w:szCs w:val="16"/>
          </w:rPr>
          <w:t xml:space="preserve">https://www.enr.com/articles/40550-award-of-merit-energyindustrial---riverton-unit-12-combined-cycle-power-plant</w:t>
        </w:r>
      </w:hyperlink>
    </w:p>
    <w:p>
      <w:pPr>
        <w:spacing w:after="40"/>
      </w:pPr>
      <w:r>
        <w:rPr>
          <w:sz w:val="16"/>
        </w:rPr>
        <w:t xml:space="preserve">S29. Joplin Globe, Minnesota company plans data center park for eastern Jasper County, Mar. 25, 2026. </w:t>
      </w:r>
      <w:hyperlink r:id="rId16" w:history="1">
        <w:r>
          <w:rPr>
            <w:rStyle w:val="Hyperlink"/>
            <w:sz w:val="16"/>
            <w:szCs w:val="16"/>
          </w:rPr>
          <w:t xml:space="preserve">https://www.joplinglobe.com/news/minnesota-company-plans-data-center-park-for-eastern-jasper-county/article_6f4b47a5-fa91-4f35-91d7-5cbfc1c4b789.html</w:t>
        </w:r>
      </w:hyperlink>
    </w:p>
    <w:p>
      <w:pPr>
        <w:spacing w:after="40"/>
      </w:pPr>
      <w:r>
        <w:rPr>
          <w:sz w:val="16"/>
        </w:rPr>
        <w:t xml:space="preserve">S30. Columbus News-Report, Moratorium on area wind, solar farms, May 21, 2024. </w:t>
      </w:r>
      <w:hyperlink r:id="rId42" w:history="1">
        <w:r>
          <w:rPr>
            <w:rStyle w:val="Hyperlink"/>
            <w:sz w:val="16"/>
            <w:szCs w:val="16"/>
          </w:rPr>
          <w:t xml:space="preserve">https://www.columbusnews-report.com/news/moratorium-area-wind-solar-farms</w:t>
        </w:r>
      </w:hyperlink>
    </w:p>
    <w:p>
      <w:pPr>
        <w:spacing w:after="40"/>
      </w:pPr>
      <w:r>
        <w:rPr>
          <w:sz w:val="16"/>
        </w:rPr>
        <w:t xml:space="preserve">S31. KOAM, Shasta Power seeks lifting of solar moratorium in Crawford County, Mar. 6, 2026. </w:t>
      </w:r>
      <w:hyperlink r:id="rId43" w:history="1">
        <w:r>
          <w:rPr>
            <w:rStyle w:val="Hyperlink"/>
            <w:sz w:val="16"/>
            <w:szCs w:val="16"/>
          </w:rPr>
          <w:t xml:space="preserve">https://www.koamnewsnow.com/news/top-stories/shasta-power-seeks-lifting-of-solar-moratorium-in-crawford-county/article_e60242cc-9612-4558-9d4e-d1db57a32540.html</w:t>
        </w:r>
      </w:hyperlink>
    </w:p>
    <w:p>
      <w:pPr>
        <w:spacing w:after="40"/>
      </w:pPr>
      <w:r>
        <w:rPr>
          <w:sz w:val="16"/>
        </w:rPr>
        <w:t xml:space="preserve">S32. News 9, Craig County rejects zoning proposal intended to limit wind farm development, Nov. 2024. </w:t>
      </w:r>
      <w:hyperlink r:id="rId44" w:history="1">
        <w:r>
          <w:rPr>
            <w:rStyle w:val="Hyperlink"/>
            <w:sz w:val="16"/>
            <w:szCs w:val="16"/>
          </w:rPr>
          <w:t xml:space="preserve">https://news9.com/story/672b5db886eec447beaca9ff/craig-county-rejects-zoning-proposal-intended-to-limit-wind-farm-development</w:t>
        </w:r>
      </w:hyperlink>
    </w:p>
    <w:p>
      <w:pPr>
        <w:spacing w:after="40"/>
      </w:pPr>
      <w:r>
        <w:rPr>
          <w:sz w:val="16"/>
        </w:rPr>
        <w:t>S33. Hawthorn platform, pricephillips/renewable-opposition, commit 65df5c9 (restrictions, contested_projects, county_summary, county_covariates, queue_projects, facilities, county_adjacency), and the provisional county restriction model fitted October 16, 2026 under config/county_model_registration.json.</w:t>
      </w:r>
    </w:p>
    <w:p>
      <w:pPr>
        <w:spacing w:after="40"/>
      </w:pPr>
      <w:r>
        <w:rPr>
          <w:sz w:val="16"/>
        </w:rPr>
        <w:t xml:space="preserve">S34. Cherokee County, Resolution 11-2026, re-adopting the moratorium through Mar. 31, 2027, June 8, 2026. </w:t>
      </w:r>
      <w:hyperlink r:id="rId21" w:history="1">
        <w:r>
          <w:rPr>
            <w:rStyle w:val="Hyperlink"/>
            <w:sz w:val="16"/>
            <w:szCs w:val="16"/>
          </w:rPr>
          <w:t xml:space="preserve">https://www.cherokeecountyks.gov/main/component/easyfolderlistingpro/?view=download&amp;format=raw&amp;data=eNpFUE1PwzAM_SvId7Rmmwq4R8QRCe08KcpatwvKRxVcJ2wI8d9Jmlac7Pfs9_RshULgD2OLMHozUICO8SAQtFUT8XnwfbLkXCKfX721mll7R4EfylpWQmIKVcgLhdBsoykRx3_TXCcEKReuoOcqdcpSgQ1CKW1l9VwwncamigKZWcXr4prh7kTsTYo5B-_2zb5d3UZtaHM75j0hHstUvvugog86WemdPJGjm7oYkm_5jOlbfgT_SX1cXMIfEOge124exjU13WcdiLdIXCJnVTGq_lr-At0FRWZfslwi0JemW732iODyp6D7_QMb4HMY</w:t>
        </w:r>
      </w:hyperlink>
    </w:p>
    <w:p>
      <w:pPr>
        <w:spacing w:after="40"/>
      </w:pPr>
      <w:r>
        <w:rPr>
          <w:sz w:val="16"/>
        </w:rPr>
        <w:t xml:space="preserve">S35. Cherokee County, August 4, 2026 primary election official results. </w:t>
      </w:r>
      <w:hyperlink r:id="rId23" w:history="1">
        <w:r>
          <w:rPr>
            <w:rStyle w:val="Hyperlink"/>
            <w:sz w:val="16"/>
            <w:szCs w:val="16"/>
          </w:rPr>
          <w:t xml:space="preserve">https://www.cherokeecountyks.gov/main/images/clerk/8-4-26-Primary-Election/8-4-26_Official_Results.pdf</w:t>
        </w:r>
      </w:hyperlink>
    </w:p>
    <w:p>
      <w:pPr>
        <w:spacing w:after="40"/>
      </w:pPr>
      <w:r>
        <w:rPr>
          <w:sz w:val="16"/>
        </w:rPr>
        <w:t xml:space="preserve">S36. U.S. Environmental Protection Agency, Cherokee County Superfund site fact sheet, July 2021. </w:t>
      </w:r>
      <w:hyperlink r:id="rId17" w:history="1">
        <w:r>
          <w:rPr>
            <w:rStyle w:val="Hyperlink"/>
            <w:sz w:val="16"/>
            <w:szCs w:val="16"/>
          </w:rPr>
          <w:t xml:space="preserve">https://19january2025snapshot.epa.gov/ks/cherokee-county-superfund-site-cherokee-county-kansas-fact-sheet-july-2021</w:t>
        </w:r>
      </w:hyperlink>
    </w:p>
    <w:p>
      <w:pPr>
        <w:spacing w:after="40"/>
      </w:pPr>
      <w:r>
        <w:rPr>
          <w:sz w:val="16"/>
        </w:rPr>
        <w:t xml:space="preserve">S37. Kansas Geological Survey (GeoKansas), Mined Land Wildlife Area. </w:t>
      </w:r>
      <w:hyperlink r:id="rId45" w:history="1">
        <w:r>
          <w:rPr>
            <w:rStyle w:val="Hyperlink"/>
            <w:sz w:val="16"/>
            <w:szCs w:val="16"/>
          </w:rPr>
          <w:t xml:space="preserve">https://geokansas.ku.edu/mined-land-wildlife-area</w:t>
        </w:r>
      </w:hyperlink>
    </w:p>
    <w:p>
      <w:pPr>
        <w:spacing w:after="40"/>
      </w:pPr>
      <w:r>
        <w:rPr>
          <w:sz w:val="16"/>
        </w:rPr>
        <w:t xml:space="preserve">S38. U.S. Energy Information Administration, Preliminary Monthly Electric Generator Inventory (EIA-860M), August 2026. </w:t>
      </w:r>
      <w:hyperlink r:id="rId46" w:history="1">
        <w:r>
          <w:rPr>
            <w:rStyle w:val="Hyperlink"/>
            <w:sz w:val="16"/>
            <w:szCs w:val="16"/>
          </w:rPr>
          <w:t xml:space="preserve">https://www.eia.gov/electricity/data/eia860m/</w:t>
        </w:r>
      </w:hyperlink>
    </w:p>
    <w:p>
      <w:pPr>
        <w:pStyle w:val="Heading2"/>
        <w:spacing w:before="240" w:after="80"/>
      </w:pPr>
      <w:r>
        <w:t>Image credits</w:t>
      </w:r>
    </w:p>
    <w:p>
      <w:pPr>
        <w:spacing w:after="40"/>
      </w:pPr>
      <w:r>
        <w:rPr>
          <w:sz w:val="16"/>
        </w:rPr>
        <w:t xml:space="preserve">Page 1 county map: David Benbennick, "Map of Kansas highlighting Cherokee County," Wikimedia Commons, public domain. </w:t>
      </w:r>
      <w:hyperlink r:id="rId47" w:history="1">
        <w:r>
          <w:rPr>
            <w:rStyle w:val="Hyperlink"/>
            <w:sz w:val="16"/>
            <w:szCs w:val="16"/>
          </w:rPr>
          <w:t xml:space="preserve">https://commons.wikimedia.org/wiki/File:Map_of_Kansas_highlighting_Cherokee_County.svg</w:t>
        </w:r>
      </w:hyperlink>
    </w:p>
    <w:sectPr w:rsidR="005946EE" w:rsidRPr="003F776A" w:rsidSect="00E11A44">
      <w:footerReference w:type="even" r:id="rId149"/>
      <w:footerReference w:type="default" r:id="rId15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1BE7D9" w14:textId="77777777" w:rsidR="00366813" w:rsidRDefault="00366813" w:rsidP="00E11A44">
      <w:r>
        <w:separator/>
      </w:r>
    </w:p>
  </w:endnote>
  <w:endnote w:type="continuationSeparator" w:id="0">
    <w:p w14:paraId="7F1D3C3F" w14:textId="77777777" w:rsidR="00366813" w:rsidRDefault="00366813" w:rsidP="00E11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0910205"/>
      <w:docPartObj>
        <w:docPartGallery w:val="Page Numbers (Bottom of Page)"/>
        <w:docPartUnique/>
      </w:docPartObj>
    </w:sdtPr>
    <w:sdtEndPr>
      <w:rPr>
        <w:rStyle w:val="PageNumber"/>
      </w:rPr>
    </w:sdtEndPr>
    <w:sdtContent>
      <w:p w14:paraId="45C0DE88" w14:textId="30757198" w:rsidR="00C04B27" w:rsidRDefault="00C04B27" w:rsidP="00FA41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FF2772" w14:textId="77777777" w:rsidR="00C04B27" w:rsidRDefault="00C04B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4050151"/>
      <w:docPartObj>
        <w:docPartGallery w:val="Page Numbers (Bottom of Page)"/>
        <w:docPartUnique/>
      </w:docPartObj>
    </w:sdtPr>
    <w:sdtEndPr>
      <w:rPr>
        <w:rStyle w:val="PageNumber"/>
      </w:rPr>
    </w:sdtEndPr>
    <w:sdtContent>
      <w:p w14:paraId="058F8DB0" w14:textId="66776AEF" w:rsidR="00C04B27" w:rsidRDefault="00C04B27" w:rsidP="00FA41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6D13B8" w14:textId="3FF3F7B7" w:rsidR="0081428A" w:rsidRDefault="00C04B27" w:rsidP="00C04B27">
    <w:pPr>
      <w:pStyle w:val="Footer"/>
      <w:ind w:right="360"/>
    </w:pPr>
    <w:r w:rsidRPr="000971D7">
      <w:rPr>
        <w:noProof/>
        <w:highlight w:val="yellow"/>
      </w:rPr>
      <w:drawing>
        <wp:anchor distT="0" distB="0" distL="114300" distR="114300" simplePos="0" relativeHeight="251658240" behindDoc="0" locked="0" layoutInCell="1" allowOverlap="1" wp14:anchorId="0D730020" wp14:editId="0FD87A89">
          <wp:simplePos x="0" y="0"/>
          <wp:positionH relativeFrom="margin">
            <wp:posOffset>0</wp:posOffset>
          </wp:positionH>
          <wp:positionV relativeFrom="margin">
            <wp:posOffset>8923020</wp:posOffset>
          </wp:positionV>
          <wp:extent cx="899795" cy="179705"/>
          <wp:effectExtent l="0" t="0" r="1905" b="0"/>
          <wp:wrapSquare wrapText="bothSides"/>
          <wp:docPr id="29" name="Picture 7" descr="A green text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green text on a black background&#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795" cy="17970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52A3C9" w14:textId="77777777" w:rsidR="00366813" w:rsidRDefault="00366813" w:rsidP="00E11A44">
      <w:r>
        <w:separator/>
      </w:r>
    </w:p>
  </w:footnote>
  <w:footnote w:type="continuationSeparator" w:id="0">
    <w:p w14:paraId="3EE11083" w14:textId="77777777" w:rsidR="00366813" w:rsidRDefault="00366813" w:rsidP="00E11A44">
      <w:r>
        <w:continuationSeparator/>
      </w:r>
    </w:p>
  </w:footnote>
  <w:footnote w:id="1">
    <w:p>
      <w:pPr>
        <w:pStyle w:val="FootnoteText"/>
      </w:pPr>
      <w:r>
        <w:rPr>
          <w:rStyle w:val="FootnoteReference"/>
          <w:rFonts w:ascii="Georgia" w:hAnsi="Georgia"/>
          <w:sz w:val="16"/>
          <w:szCs w:val="16"/>
        </w:rPr>
        <w:footnoteRef/>
      </w:r>
      <w:r>
        <w:rPr>
          <w:rFonts w:ascii="Georgia" w:hAnsi="Georgia"/>
          <w:sz w:val="16"/>
          <w:szCs w:val="16"/>
        </w:rPr>
        <w:t xml:space="preserve"> With a likely range of 0.13 to 0.15 (10th to 90th percentile of 200 bootstrap refits), against a national base rate of 0.24.</w:t>
      </w:r>
    </w:p>
  </w:footnote>
  <w:footnote w:id="2">
    <w:p>
      <w:pPr>
        <w:pStyle w:val="FootnoteText"/>
      </w:pPr>
      <w:r>
        <w:rPr>
          <w:rStyle w:val="FootnoteReference"/>
          <w:rFonts w:ascii="Georgia" w:hAnsi="Georgia"/>
          <w:sz w:val="16"/>
          <w:szCs w:val="16"/>
        </w:rPr>
        <w:footnoteRef/>
      </w:r>
      <w:r>
        <w:rPr>
          <w:rFonts w:ascii="Georgia" w:hAnsi="Georgia"/>
          <w:sz w:val="16"/>
          <w:szCs w:val="16"/>
        </w:rPr>
        <w:t xml:space="preserve"> Model validation: cross-validated AUC (area under the ROC curve: the chance a restricted county outscores an unrestricted one) 0.78 (0.81 when whole states are held out), Brier (mean squared error of the scores) score 0.145 against a 0.181 no-skill baseline (skill 0.20), expected calibration error 0.016 (0.010 on the gate's equal-width bins), across 3,144 counties; it passes the platform's pre-registered calibration gate. Median scores for restricted and unrestricted counties sit 21 points apart (0.34 and 0.14). This is a provisional fit made for this report; the platform's own county model is still being built.</w:t>
      </w:r>
    </w:p>
  </w:footnote>
  <w:footnote w:id="3">
    <w:p>
      <w:pPr>
        <w:pStyle w:val="FootnoteText"/>
      </w:pPr>
      <w:r>
        <w:rPr>
          <w:rStyle w:val="FootnoteReference"/>
          <w:rFonts w:ascii="Georgia" w:hAnsi="Georgia"/>
          <w:sz w:val="16"/>
          <w:szCs w:val="16"/>
        </w:rPr>
        <w:footnoteRef/>
      </w:r>
      <w:r>
        <w:rPr>
          <w:rFonts w:ascii="Georgia" w:hAnsi="Georgia"/>
          <w:sz w:val="16"/>
          <w:szCs w:val="16"/>
        </w:rPr>
        <w:t xml:space="preserve"> Deciles computed from all 3,144 scored counties (the 50 states and DC) as of October 16, 2026. A severe restriction is one scoring 3 or 4 on the platform's severity scale; Cherokee's 2022 wind setback scores 3 and its December 2025 moratorium 4.</w:t>
      </w:r>
    </w:p>
  </w:footnote>
  <w:footnote w:id="4">
    <w:p>
      <w:pPr>
        <w:pStyle w:val="FootnoteText"/>
      </w:pPr>
      <w:r>
        <w:rPr>
          <w:rStyle w:val="FootnoteReference"/>
          <w:rFonts w:ascii="Georgia" w:hAnsi="Georgia"/>
          <w:sz w:val="16"/>
          <w:szCs w:val="16"/>
        </w:rPr>
        <w:footnoteRef/>
      </w:r>
      <w:r>
        <w:rPr>
          <w:rFonts w:ascii="Georgia" w:hAnsi="Georgia"/>
          <w:sz w:val="16"/>
          <w:szCs w:val="16"/>
        </w:rPr>
        <w:t xml:space="preserve"> Percentiles are mid-rank: the share of counties below Cherokee plus half of ties. The margin row ranks Democratic lean. Opposition records add the 2021 wind moratorium and the 2024 to 2026 solar moratorium, which the platform's published data does not yet hold; all other counties' records are as published. Demographic rows show the model inputs (ACS 2020-2024).</w:t>
      </w:r>
    </w:p>
  </w:footnote>
  <w:footnote w:id="5">
    <w:p>
      <w:pPr>
        <w:pStyle w:val="FootnoteText"/>
      </w:pPr>
      <w:r>
        <w:rPr>
          <w:rStyle w:val="FootnoteReference"/>
          <w:rFonts w:ascii="Georgia" w:hAnsi="Georgia"/>
          <w:sz w:val="16"/>
          <w:szCs w:val="16"/>
        </w:rPr>
        <w:footnoteRef/>
      </w:r>
      <w:r>
        <w:rPr>
          <w:rFonts w:ascii="Georgia" w:hAnsi="Georgia"/>
          <w:sz w:val="16"/>
          <w:szCs w:val="16"/>
        </w:rPr>
        <w:t xml:space="preserve"> Lift is the median cross-validated coefficient times Cherokee's standardized, transformed value, summed to 0.30 log-odds below an average county. Share of movement is each trait's absolute lift as a share of the total. Averages are on the model's log scale.</w:t>
      </w:r>
    </w:p>
  </w:footnote>
  <w:footnote w:id="6">
    <w:p>
      <w:pPr>
        <w:pStyle w:val="FootnoteText"/>
      </w:pPr>
      <w:r>
        <w:rPr>
          <w:rStyle w:val="FootnoteReference"/>
          <w:rFonts w:ascii="Georgia" w:hAnsi="Georgia"/>
          <w:sz w:val="16"/>
          <w:szCs w:val="16"/>
        </w:rPr>
        <w:footnoteRef/>
      </w:r>
      <w:r>
        <w:rPr>
          <w:rFonts w:ascii="Georgia" w:hAnsi="Georgia"/>
          <w:sz w:val="16"/>
          <w:szCs w:val="16"/>
        </w:rPr>
        <w:t xml:space="preserve"> The peers are Calhoun and Limestone (TX), Edgar, Crawford and Richland (IL), Rush (IN), Missaukee (MI), Franklin (LA), Wadena (MN) and Cross (AR); Rush scores highest at 0.46.</w:t>
      </w:r>
    </w:p>
  </w:footnote>
  <w:footnote w:id="7">
    <w:p>
      <w:pPr>
        <w:pStyle w:val="FootnoteText"/>
      </w:pPr>
      <w:r>
        <w:rPr>
          <w:rStyle w:val="FootnoteReference"/>
          <w:rFonts w:ascii="Georgia" w:hAnsi="Georgia"/>
          <w:sz w:val="16"/>
          <w:szCs w:val="16"/>
        </w:rPr>
        <w:footnoteRef/>
      </w:r>
      <w:r>
        <w:rPr>
          <w:rFonts w:ascii="Georgia" w:hAnsi="Georgia"/>
          <w:sz w:val="16"/>
          <w:szCs w:val="16"/>
        </w:rPr>
        <w:t xml:space="preserve"> Scores describe county profiles, not restriction status. Labette's severe record is its 2024 wind regulations (six times tip height from property lines). Crawford County has extended a solar and wind moratorium to about December 31, 2026 and declined Shasta Power's offer to lift it, and Craig County, Oklahoma voters rejected county zoning aimed at wind in November 2024; neither is yet in the platform as a severe restriction. Interconnection requests are from LBNL Queued Up (data through 2025); population is the ACS 2020-2024 model input.</w:t>
      </w:r>
    </w:p>
  </w:footnote>
  <w:footnote w:id="8">
    <w:p>
      <w:pPr>
        <w:pStyle w:val="FootnoteText"/>
      </w:pPr>
      <w:r>
        <w:rPr>
          <w:rStyle w:val="FootnoteReference"/>
          <w:rFonts w:ascii="Georgia" w:hAnsi="Georgia"/>
          <w:sz w:val="16"/>
          <w:szCs w:val="16"/>
        </w:rPr>
        <w:footnoteRef/>
      </w:r>
      <w:r>
        <w:rPr>
          <w:rFonts w:ascii="Georgia" w:hAnsi="Georgia"/>
          <w:sz w:val="16"/>
          <w:szCs w:val="16"/>
        </w:rPr>
        <w:t xml:space="preserve"> Distribution across 3,222 counties and county equivalents in the platform's published data as of October 13,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27473"/>
    <w:multiLevelType w:val="hybridMultilevel"/>
    <w:tmpl w:val="87FC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F0280"/>
    <w:multiLevelType w:val="hybridMultilevel"/>
    <w:tmpl w:val="D69EF024"/>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C751A"/>
    <w:multiLevelType w:val="hybridMultilevel"/>
    <w:tmpl w:val="94949552"/>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07E84"/>
    <w:multiLevelType w:val="multilevel"/>
    <w:tmpl w:val="E0E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24721"/>
    <w:multiLevelType w:val="hybridMultilevel"/>
    <w:tmpl w:val="100CDE60"/>
    <w:lvl w:ilvl="0" w:tplc="A606D5D2">
      <w:start w:val="1"/>
      <w:numFmt w:val="bullet"/>
      <w:lvlText w:val="•"/>
      <w:lvlJc w:val="left"/>
      <w:pPr>
        <w:ind w:left="360" w:hanging="240"/>
      </w:pPr>
    </w:lvl>
    <w:lvl w:ilvl="1" w:tplc="6AB65CCE">
      <w:numFmt w:val="decimal"/>
      <w:lvlText w:val=""/>
      <w:lvlJc w:val="left"/>
    </w:lvl>
    <w:lvl w:ilvl="2" w:tplc="C9E0209E">
      <w:numFmt w:val="decimal"/>
      <w:lvlText w:val=""/>
      <w:lvlJc w:val="left"/>
    </w:lvl>
    <w:lvl w:ilvl="3" w:tplc="930EF30A">
      <w:numFmt w:val="decimal"/>
      <w:lvlText w:val=""/>
      <w:lvlJc w:val="left"/>
    </w:lvl>
    <w:lvl w:ilvl="4" w:tplc="8F6EE14E">
      <w:numFmt w:val="decimal"/>
      <w:lvlText w:val=""/>
      <w:lvlJc w:val="left"/>
    </w:lvl>
    <w:lvl w:ilvl="5" w:tplc="F93E6B34">
      <w:numFmt w:val="decimal"/>
      <w:lvlText w:val=""/>
      <w:lvlJc w:val="left"/>
    </w:lvl>
    <w:lvl w:ilvl="6" w:tplc="2BA8233C">
      <w:numFmt w:val="decimal"/>
      <w:lvlText w:val=""/>
      <w:lvlJc w:val="left"/>
    </w:lvl>
    <w:lvl w:ilvl="7" w:tplc="2C60DF98">
      <w:numFmt w:val="decimal"/>
      <w:lvlText w:val=""/>
      <w:lvlJc w:val="left"/>
    </w:lvl>
    <w:lvl w:ilvl="8" w:tplc="693A50F4">
      <w:numFmt w:val="decimal"/>
      <w:lvlText w:val=""/>
      <w:lvlJc w:val="left"/>
    </w:lvl>
  </w:abstractNum>
  <w:abstractNum w:abstractNumId="5" w15:restartNumberingAfterBreak="0">
    <w:nsid w:val="490D349E"/>
    <w:multiLevelType w:val="hybridMultilevel"/>
    <w:tmpl w:val="815E53C0"/>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B20698"/>
    <w:multiLevelType w:val="hybridMultilevel"/>
    <w:tmpl w:val="6060B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676F54"/>
    <w:multiLevelType w:val="hybridMultilevel"/>
    <w:tmpl w:val="87962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6B7DAA"/>
    <w:multiLevelType w:val="hybridMultilevel"/>
    <w:tmpl w:val="55C4A09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6C996983"/>
    <w:multiLevelType w:val="hybridMultilevel"/>
    <w:tmpl w:val="3ACA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B830B2"/>
    <w:multiLevelType w:val="hybridMultilevel"/>
    <w:tmpl w:val="7E46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1374107">
    <w:abstractNumId w:val="1"/>
  </w:num>
  <w:num w:numId="2" w16cid:durableId="1245800776">
    <w:abstractNumId w:val="5"/>
  </w:num>
  <w:num w:numId="3" w16cid:durableId="923958287">
    <w:abstractNumId w:val="2"/>
  </w:num>
  <w:num w:numId="4" w16cid:durableId="1241794666">
    <w:abstractNumId w:val="4"/>
    <w:lvlOverride w:ilvl="0">
      <w:startOverride w:val="1"/>
    </w:lvlOverride>
  </w:num>
  <w:num w:numId="5" w16cid:durableId="458647231">
    <w:abstractNumId w:val="10"/>
  </w:num>
  <w:num w:numId="6" w16cid:durableId="376003952">
    <w:abstractNumId w:val="7"/>
  </w:num>
  <w:num w:numId="7" w16cid:durableId="1015500443">
    <w:abstractNumId w:val="8"/>
  </w:num>
  <w:num w:numId="8" w16cid:durableId="1826436875">
    <w:abstractNumId w:val="9"/>
  </w:num>
  <w:num w:numId="9" w16cid:durableId="970406196">
    <w:abstractNumId w:val="6"/>
  </w:num>
  <w:num w:numId="10" w16cid:durableId="1817408200">
    <w:abstractNumId w:val="3"/>
  </w:num>
  <w:num w:numId="11" w16cid:durableId="1432436436">
    <w:abstractNumId w:val="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71"/>
    <w:rsid w:val="000012E9"/>
    <w:rsid w:val="00002F26"/>
    <w:rsid w:val="00052238"/>
    <w:rsid w:val="00085F75"/>
    <w:rsid w:val="00090CAE"/>
    <w:rsid w:val="00096BB9"/>
    <w:rsid w:val="000A7153"/>
    <w:rsid w:val="000B12E5"/>
    <w:rsid w:val="000B441C"/>
    <w:rsid w:val="000C7D8E"/>
    <w:rsid w:val="000D7BE7"/>
    <w:rsid w:val="000F4CD3"/>
    <w:rsid w:val="00113839"/>
    <w:rsid w:val="001230C8"/>
    <w:rsid w:val="00135834"/>
    <w:rsid w:val="00151761"/>
    <w:rsid w:val="001609FA"/>
    <w:rsid w:val="0016389A"/>
    <w:rsid w:val="00171E89"/>
    <w:rsid w:val="0017333B"/>
    <w:rsid w:val="0017639D"/>
    <w:rsid w:val="0019490A"/>
    <w:rsid w:val="001B7BFF"/>
    <w:rsid w:val="001B7EE7"/>
    <w:rsid w:val="001D1E49"/>
    <w:rsid w:val="001D2E23"/>
    <w:rsid w:val="001D2F2A"/>
    <w:rsid w:val="001D70C3"/>
    <w:rsid w:val="001E07E3"/>
    <w:rsid w:val="001E4437"/>
    <w:rsid w:val="001F2412"/>
    <w:rsid w:val="00222018"/>
    <w:rsid w:val="0022433B"/>
    <w:rsid w:val="00230BBC"/>
    <w:rsid w:val="00232302"/>
    <w:rsid w:val="0023752F"/>
    <w:rsid w:val="00244403"/>
    <w:rsid w:val="00254C3D"/>
    <w:rsid w:val="00256E9E"/>
    <w:rsid w:val="00281113"/>
    <w:rsid w:val="002879A6"/>
    <w:rsid w:val="00297C73"/>
    <w:rsid w:val="002B17A6"/>
    <w:rsid w:val="002B59FB"/>
    <w:rsid w:val="002D282F"/>
    <w:rsid w:val="002F273C"/>
    <w:rsid w:val="003024A6"/>
    <w:rsid w:val="00305772"/>
    <w:rsid w:val="003149DB"/>
    <w:rsid w:val="00315204"/>
    <w:rsid w:val="00325C31"/>
    <w:rsid w:val="00351312"/>
    <w:rsid w:val="003536FA"/>
    <w:rsid w:val="00353B25"/>
    <w:rsid w:val="00360C26"/>
    <w:rsid w:val="00366813"/>
    <w:rsid w:val="00372230"/>
    <w:rsid w:val="0037774E"/>
    <w:rsid w:val="0038285C"/>
    <w:rsid w:val="00386D6F"/>
    <w:rsid w:val="003A414B"/>
    <w:rsid w:val="003A4C6E"/>
    <w:rsid w:val="003A79D4"/>
    <w:rsid w:val="003C2F3A"/>
    <w:rsid w:val="003E54D8"/>
    <w:rsid w:val="003E65D3"/>
    <w:rsid w:val="003F0268"/>
    <w:rsid w:val="003F63DD"/>
    <w:rsid w:val="003F7219"/>
    <w:rsid w:val="003F776A"/>
    <w:rsid w:val="004032BA"/>
    <w:rsid w:val="00421137"/>
    <w:rsid w:val="00427D3C"/>
    <w:rsid w:val="00436EC3"/>
    <w:rsid w:val="00437D46"/>
    <w:rsid w:val="00441F82"/>
    <w:rsid w:val="00444B01"/>
    <w:rsid w:val="0045202E"/>
    <w:rsid w:val="00485909"/>
    <w:rsid w:val="004A0AB0"/>
    <w:rsid w:val="004B4DDA"/>
    <w:rsid w:val="004D00A2"/>
    <w:rsid w:val="004D71AE"/>
    <w:rsid w:val="004F7D95"/>
    <w:rsid w:val="0050213D"/>
    <w:rsid w:val="00502D03"/>
    <w:rsid w:val="0051487E"/>
    <w:rsid w:val="00524567"/>
    <w:rsid w:val="00535A3A"/>
    <w:rsid w:val="00536359"/>
    <w:rsid w:val="00562B06"/>
    <w:rsid w:val="00566E7E"/>
    <w:rsid w:val="005946EE"/>
    <w:rsid w:val="0059707B"/>
    <w:rsid w:val="005A64AA"/>
    <w:rsid w:val="005E607B"/>
    <w:rsid w:val="005F1947"/>
    <w:rsid w:val="005F254D"/>
    <w:rsid w:val="005F5CC8"/>
    <w:rsid w:val="00600BA3"/>
    <w:rsid w:val="00603721"/>
    <w:rsid w:val="00606BAB"/>
    <w:rsid w:val="006153E0"/>
    <w:rsid w:val="00631444"/>
    <w:rsid w:val="00654EB7"/>
    <w:rsid w:val="0067378A"/>
    <w:rsid w:val="00673F23"/>
    <w:rsid w:val="00681325"/>
    <w:rsid w:val="00682077"/>
    <w:rsid w:val="0068292B"/>
    <w:rsid w:val="00682E3A"/>
    <w:rsid w:val="006905B6"/>
    <w:rsid w:val="006A46A4"/>
    <w:rsid w:val="006B175D"/>
    <w:rsid w:val="006C2016"/>
    <w:rsid w:val="006C7750"/>
    <w:rsid w:val="006D0599"/>
    <w:rsid w:val="006D09F1"/>
    <w:rsid w:val="006D4F6F"/>
    <w:rsid w:val="006E5581"/>
    <w:rsid w:val="006F1DB8"/>
    <w:rsid w:val="007009B1"/>
    <w:rsid w:val="0070408E"/>
    <w:rsid w:val="007368F1"/>
    <w:rsid w:val="00741AD8"/>
    <w:rsid w:val="00762DBE"/>
    <w:rsid w:val="0076316F"/>
    <w:rsid w:val="00764B87"/>
    <w:rsid w:val="00774CBA"/>
    <w:rsid w:val="0077666F"/>
    <w:rsid w:val="00781A16"/>
    <w:rsid w:val="00782FBC"/>
    <w:rsid w:val="00782FC5"/>
    <w:rsid w:val="007907BB"/>
    <w:rsid w:val="007918FA"/>
    <w:rsid w:val="007A4695"/>
    <w:rsid w:val="007C0C31"/>
    <w:rsid w:val="007D1DB2"/>
    <w:rsid w:val="007E0B30"/>
    <w:rsid w:val="007E70F5"/>
    <w:rsid w:val="007F4D65"/>
    <w:rsid w:val="007F79B2"/>
    <w:rsid w:val="00804A65"/>
    <w:rsid w:val="0081084B"/>
    <w:rsid w:val="00810B1E"/>
    <w:rsid w:val="0081191E"/>
    <w:rsid w:val="0081428A"/>
    <w:rsid w:val="00855F85"/>
    <w:rsid w:val="00857BCA"/>
    <w:rsid w:val="0086257C"/>
    <w:rsid w:val="008B301E"/>
    <w:rsid w:val="008B51A6"/>
    <w:rsid w:val="008C06CC"/>
    <w:rsid w:val="008C1C1D"/>
    <w:rsid w:val="008C1F31"/>
    <w:rsid w:val="008D5C9C"/>
    <w:rsid w:val="008E4058"/>
    <w:rsid w:val="008F5562"/>
    <w:rsid w:val="0092327A"/>
    <w:rsid w:val="00927688"/>
    <w:rsid w:val="009322D0"/>
    <w:rsid w:val="009322E5"/>
    <w:rsid w:val="00933D58"/>
    <w:rsid w:val="00934070"/>
    <w:rsid w:val="00943251"/>
    <w:rsid w:val="00946EDE"/>
    <w:rsid w:val="0094796A"/>
    <w:rsid w:val="00973ECB"/>
    <w:rsid w:val="00977CF3"/>
    <w:rsid w:val="00995CF6"/>
    <w:rsid w:val="009B36E0"/>
    <w:rsid w:val="009B768F"/>
    <w:rsid w:val="009C0FA9"/>
    <w:rsid w:val="009D6343"/>
    <w:rsid w:val="009E40AB"/>
    <w:rsid w:val="009F060D"/>
    <w:rsid w:val="009F3E72"/>
    <w:rsid w:val="00A20284"/>
    <w:rsid w:val="00A2048C"/>
    <w:rsid w:val="00A26C4B"/>
    <w:rsid w:val="00A32B01"/>
    <w:rsid w:val="00A40E58"/>
    <w:rsid w:val="00A478B1"/>
    <w:rsid w:val="00A5124A"/>
    <w:rsid w:val="00A51947"/>
    <w:rsid w:val="00A659D2"/>
    <w:rsid w:val="00A717D9"/>
    <w:rsid w:val="00AC6429"/>
    <w:rsid w:val="00AC6DB0"/>
    <w:rsid w:val="00AC79EE"/>
    <w:rsid w:val="00AE3F1E"/>
    <w:rsid w:val="00AF7CD5"/>
    <w:rsid w:val="00B01277"/>
    <w:rsid w:val="00B16AAC"/>
    <w:rsid w:val="00B35035"/>
    <w:rsid w:val="00B35633"/>
    <w:rsid w:val="00B41355"/>
    <w:rsid w:val="00B43043"/>
    <w:rsid w:val="00B5658B"/>
    <w:rsid w:val="00B71D88"/>
    <w:rsid w:val="00B76A19"/>
    <w:rsid w:val="00B80367"/>
    <w:rsid w:val="00B828C1"/>
    <w:rsid w:val="00B84FF7"/>
    <w:rsid w:val="00B8777C"/>
    <w:rsid w:val="00B901F6"/>
    <w:rsid w:val="00B92891"/>
    <w:rsid w:val="00BA6CCD"/>
    <w:rsid w:val="00BB1D70"/>
    <w:rsid w:val="00BC457E"/>
    <w:rsid w:val="00BC4682"/>
    <w:rsid w:val="00C04B27"/>
    <w:rsid w:val="00C30E19"/>
    <w:rsid w:val="00C3419A"/>
    <w:rsid w:val="00C43374"/>
    <w:rsid w:val="00C46EB1"/>
    <w:rsid w:val="00C55A5B"/>
    <w:rsid w:val="00C6564F"/>
    <w:rsid w:val="00C70FD9"/>
    <w:rsid w:val="00C8078C"/>
    <w:rsid w:val="00C80FD4"/>
    <w:rsid w:val="00C85479"/>
    <w:rsid w:val="00C87DD1"/>
    <w:rsid w:val="00C90703"/>
    <w:rsid w:val="00C916B3"/>
    <w:rsid w:val="00C92288"/>
    <w:rsid w:val="00C92881"/>
    <w:rsid w:val="00CA3656"/>
    <w:rsid w:val="00CA7AD7"/>
    <w:rsid w:val="00CB197C"/>
    <w:rsid w:val="00CB5A71"/>
    <w:rsid w:val="00CC661E"/>
    <w:rsid w:val="00CD29AB"/>
    <w:rsid w:val="00CE07F4"/>
    <w:rsid w:val="00CF3151"/>
    <w:rsid w:val="00CF49F8"/>
    <w:rsid w:val="00CF718E"/>
    <w:rsid w:val="00D01257"/>
    <w:rsid w:val="00D053BB"/>
    <w:rsid w:val="00D06907"/>
    <w:rsid w:val="00D1663B"/>
    <w:rsid w:val="00D319FB"/>
    <w:rsid w:val="00D36DF2"/>
    <w:rsid w:val="00D604AC"/>
    <w:rsid w:val="00D72797"/>
    <w:rsid w:val="00D755BB"/>
    <w:rsid w:val="00D759AE"/>
    <w:rsid w:val="00D80AA0"/>
    <w:rsid w:val="00D93498"/>
    <w:rsid w:val="00DA2F6A"/>
    <w:rsid w:val="00DC071F"/>
    <w:rsid w:val="00DC2D18"/>
    <w:rsid w:val="00DC3405"/>
    <w:rsid w:val="00DC41BC"/>
    <w:rsid w:val="00DD559E"/>
    <w:rsid w:val="00DE7F9A"/>
    <w:rsid w:val="00DF69A2"/>
    <w:rsid w:val="00E01CF9"/>
    <w:rsid w:val="00E11A44"/>
    <w:rsid w:val="00E17935"/>
    <w:rsid w:val="00E53061"/>
    <w:rsid w:val="00E606C4"/>
    <w:rsid w:val="00E63B5E"/>
    <w:rsid w:val="00E75C0B"/>
    <w:rsid w:val="00E869A2"/>
    <w:rsid w:val="00EB0F28"/>
    <w:rsid w:val="00EB227A"/>
    <w:rsid w:val="00EC2376"/>
    <w:rsid w:val="00EC440A"/>
    <w:rsid w:val="00F0773E"/>
    <w:rsid w:val="00F13948"/>
    <w:rsid w:val="00F1419F"/>
    <w:rsid w:val="00F34435"/>
    <w:rsid w:val="00F42C89"/>
    <w:rsid w:val="00F46547"/>
    <w:rsid w:val="00F5109A"/>
    <w:rsid w:val="00F579FB"/>
    <w:rsid w:val="00F6581C"/>
    <w:rsid w:val="00F75545"/>
    <w:rsid w:val="00FA2A8A"/>
    <w:rsid w:val="00FA411E"/>
    <w:rsid w:val="00FA7C31"/>
    <w:rsid w:val="00FB1202"/>
    <w:rsid w:val="00FB393A"/>
    <w:rsid w:val="00FB5246"/>
    <w:rsid w:val="00FB5E6E"/>
    <w:rsid w:val="00FC34EA"/>
    <w:rsid w:val="00FD24B0"/>
    <w:rsid w:val="00FD39C1"/>
    <w:rsid w:val="00FD40BF"/>
    <w:rsid w:val="00FD792F"/>
    <w:rsid w:val="00FE42D6"/>
    <w:rsid w:val="2FE551D2"/>
    <w:rsid w:val="5394C88E"/>
    <w:rsid w:val="6E9AA6B9"/>
    <w:rsid w:val="7E704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6F812"/>
  <w15:chartTrackingRefBased/>
  <w15:docId w15:val="{942C1725-115D-7B44-83C7-A1B54832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Georgia" w:cs="Times New Roman (Body CS)"/>
        <w:color w:val="196B24" w:themeColor="accent3"/>
        <w:kern w:val="2"/>
        <w:sz w:val="44"/>
        <w:szCs w:val="3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6FA"/>
    <w:rPr>
      <w:color w:val="auto"/>
      <w:sz w:val="24"/>
      <w:szCs w:val="24"/>
    </w:rPr>
  </w:style>
  <w:style w:type="paragraph" w:styleId="Heading1">
    <w:name w:val="heading 1"/>
    <w:basedOn w:val="Normal"/>
    <w:next w:val="Normal"/>
    <w:link w:val="Heading1Char"/>
    <w:uiPriority w:val="9"/>
    <w:qFormat/>
    <w:rsid w:val="003536FA"/>
    <w:pPr>
      <w:keepNext/>
      <w:keepLines/>
      <w:spacing w:before="240"/>
      <w:outlineLvl w:val="0"/>
    </w:pPr>
    <w:rPr>
      <w:rFonts w:eastAsiaTheme="majorEastAsia" w:cstheme="majorBidi"/>
      <w:color w:val="124F1A" w:themeColor="accent3" w:themeShade="BF"/>
      <w:sz w:val="36"/>
      <w:szCs w:val="36"/>
    </w:rPr>
  </w:style>
  <w:style w:type="paragraph" w:styleId="Heading2">
    <w:name w:val="heading 2"/>
    <w:basedOn w:val="Normal"/>
    <w:next w:val="Normal"/>
    <w:link w:val="Heading2Char"/>
    <w:uiPriority w:val="9"/>
    <w:unhideWhenUsed/>
    <w:qFormat/>
    <w:rsid w:val="003536FA"/>
    <w:pPr>
      <w:keepNext/>
      <w:keepLines/>
      <w:spacing w:before="40"/>
      <w:outlineLvl w:val="1"/>
    </w:pPr>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3536FA"/>
    <w:pPr>
      <w:keepNext/>
      <w:keepLines/>
      <w:spacing w:before="40"/>
      <w:outlineLvl w:val="2"/>
    </w:pPr>
    <w:rPr>
      <w:rFonts w:eastAsiaTheme="majorEastAsia" w:cstheme="majorBidi"/>
      <w:b/>
      <w:bCs/>
      <w:color w:val="BF4E14" w:themeColor="accent2" w:themeShade="BF"/>
      <w:sz w:val="26"/>
      <w:szCs w:val="26"/>
    </w:rPr>
  </w:style>
  <w:style w:type="paragraph" w:styleId="Heading4">
    <w:name w:val="heading 4"/>
    <w:basedOn w:val="Normal"/>
    <w:next w:val="Normal"/>
    <w:link w:val="Heading4Char"/>
    <w:uiPriority w:val="9"/>
    <w:unhideWhenUsed/>
    <w:qFormat/>
    <w:rsid w:val="003536FA"/>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1A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1A1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1A1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1A1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1A1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6FA"/>
    <w:rPr>
      <w:rFonts w:eastAsiaTheme="majorEastAsia" w:cstheme="majorBidi"/>
      <w:color w:val="124F1A" w:themeColor="accent3" w:themeShade="BF"/>
      <w:sz w:val="36"/>
      <w:szCs w:val="36"/>
    </w:rPr>
  </w:style>
  <w:style w:type="character" w:customStyle="1" w:styleId="Heading2Char">
    <w:name w:val="Heading 2 Char"/>
    <w:basedOn w:val="DefaultParagraphFont"/>
    <w:link w:val="Heading2"/>
    <w:uiPriority w:val="9"/>
    <w:rsid w:val="003536FA"/>
    <w:rPr>
      <w:rFonts w:eastAsiaTheme="majorEastAsia" w:cstheme="majorBidi"/>
      <w:color w:val="0F4761" w:themeColor="accent1" w:themeShade="BF"/>
      <w:sz w:val="28"/>
      <w:szCs w:val="28"/>
    </w:rPr>
  </w:style>
  <w:style w:type="character" w:customStyle="1" w:styleId="Heading3Char">
    <w:name w:val="Heading 3 Char"/>
    <w:basedOn w:val="DefaultParagraphFont"/>
    <w:link w:val="Heading3"/>
    <w:uiPriority w:val="9"/>
    <w:rsid w:val="003536FA"/>
    <w:rPr>
      <w:rFonts w:eastAsiaTheme="majorEastAsia" w:cstheme="majorBidi"/>
      <w:b/>
      <w:bCs/>
      <w:color w:val="BF4E14" w:themeColor="accent2" w:themeShade="BF"/>
      <w:sz w:val="26"/>
      <w:szCs w:val="26"/>
    </w:rPr>
  </w:style>
  <w:style w:type="character" w:customStyle="1" w:styleId="Heading4Char">
    <w:name w:val="Heading 4 Char"/>
    <w:basedOn w:val="DefaultParagraphFont"/>
    <w:link w:val="Heading4"/>
    <w:uiPriority w:val="9"/>
    <w:rsid w:val="003536FA"/>
    <w:rPr>
      <w:rFonts w:asciiTheme="majorHAnsi" w:eastAsiaTheme="majorEastAsia" w:hAnsiTheme="maj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781A16"/>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781A16"/>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781A16"/>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81A16"/>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781A16"/>
    <w:rPr>
      <w:rFonts w:asciiTheme="minorHAnsi" w:eastAsiaTheme="majorEastAsia" w:hAnsiTheme="minorHAnsi" w:cstheme="majorBidi"/>
      <w:color w:val="272727" w:themeColor="text1" w:themeTint="D8"/>
      <w:sz w:val="24"/>
      <w:szCs w:val="24"/>
    </w:rPr>
  </w:style>
  <w:style w:type="paragraph" w:styleId="Title">
    <w:name w:val="Title"/>
    <w:basedOn w:val="Normal"/>
    <w:next w:val="Normal"/>
    <w:link w:val="TitleChar"/>
    <w:uiPriority w:val="10"/>
    <w:qFormat/>
    <w:rsid w:val="00781A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A1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81A1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A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1A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1A16"/>
    <w:rPr>
      <w:i/>
      <w:iCs/>
      <w:color w:val="404040" w:themeColor="text1" w:themeTint="BF"/>
      <w:sz w:val="24"/>
      <w:szCs w:val="24"/>
    </w:rPr>
  </w:style>
  <w:style w:type="paragraph" w:styleId="ListParagraph">
    <w:name w:val="List Paragraph"/>
    <w:basedOn w:val="Normal"/>
    <w:qFormat/>
    <w:rsid w:val="00781A16"/>
    <w:pPr>
      <w:ind w:left="720"/>
      <w:contextualSpacing/>
    </w:pPr>
  </w:style>
  <w:style w:type="character" w:styleId="IntenseEmphasis">
    <w:name w:val="Intense Emphasis"/>
    <w:basedOn w:val="DefaultParagraphFont"/>
    <w:uiPriority w:val="21"/>
    <w:qFormat/>
    <w:rsid w:val="00781A16"/>
    <w:rPr>
      <w:i/>
      <w:iCs/>
      <w:color w:val="0F4761" w:themeColor="accent1" w:themeShade="BF"/>
    </w:rPr>
  </w:style>
  <w:style w:type="paragraph" w:styleId="IntenseQuote">
    <w:name w:val="Intense Quote"/>
    <w:basedOn w:val="Normal"/>
    <w:next w:val="Normal"/>
    <w:link w:val="IntenseQuoteChar"/>
    <w:uiPriority w:val="30"/>
    <w:qFormat/>
    <w:rsid w:val="00781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A16"/>
    <w:rPr>
      <w:i/>
      <w:iCs/>
      <w:color w:val="0F4761" w:themeColor="accent1" w:themeShade="BF"/>
      <w:sz w:val="24"/>
      <w:szCs w:val="24"/>
    </w:rPr>
  </w:style>
  <w:style w:type="character" w:styleId="IntenseReference">
    <w:name w:val="Intense Reference"/>
    <w:basedOn w:val="DefaultParagraphFont"/>
    <w:uiPriority w:val="32"/>
    <w:qFormat/>
    <w:rsid w:val="00781A16"/>
    <w:rPr>
      <w:b/>
      <w:bCs/>
      <w:smallCaps/>
      <w:color w:val="0F4761" w:themeColor="accent1" w:themeShade="BF"/>
      <w:spacing w:val="5"/>
    </w:rPr>
  </w:style>
  <w:style w:type="character" w:styleId="Hyperlink">
    <w:name w:val="Hyperlink"/>
    <w:uiPriority w:val="99"/>
    <w:unhideWhenUsed/>
    <w:rsid w:val="00781A16"/>
    <w:rPr>
      <w:color w:val="0563C1"/>
      <w:u w:val="single"/>
    </w:rPr>
  </w:style>
  <w:style w:type="paragraph" w:styleId="NoSpacing">
    <w:name w:val="No Spacing"/>
    <w:uiPriority w:val="1"/>
    <w:qFormat/>
    <w:rsid w:val="00973ECB"/>
    <w:rPr>
      <w:color w:val="auto"/>
      <w:sz w:val="24"/>
      <w:szCs w:val="24"/>
    </w:rPr>
  </w:style>
  <w:style w:type="paragraph" w:styleId="FootnoteText">
    <w:name w:val="footnote text"/>
    <w:basedOn w:val="Normal"/>
    <w:link w:val="FootnoteTextChar"/>
    <w:uiPriority w:val="99"/>
    <w:semiHidden/>
    <w:unhideWhenUsed/>
    <w:rsid w:val="00E11A44"/>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E11A44"/>
    <w:rPr>
      <w:rFonts w:ascii="Arial" w:eastAsia="Arial" w:hAnsi="Arial" w:cs="Arial"/>
      <w:color w:val="auto"/>
      <w:kern w:val="0"/>
      <w:sz w:val="20"/>
      <w:szCs w:val="20"/>
      <w14:ligatures w14:val="none"/>
    </w:rPr>
  </w:style>
  <w:style w:type="character" w:styleId="FootnoteReference">
    <w:name w:val="footnote reference"/>
    <w:basedOn w:val="DefaultParagraphFont"/>
    <w:uiPriority w:val="99"/>
    <w:semiHidden/>
    <w:unhideWhenUsed/>
    <w:rsid w:val="00E11A44"/>
    <w:rPr>
      <w:vertAlign w:val="superscript"/>
    </w:rPr>
  </w:style>
  <w:style w:type="paragraph" w:styleId="Header">
    <w:name w:val="header"/>
    <w:basedOn w:val="Normal"/>
    <w:link w:val="HeaderChar"/>
    <w:uiPriority w:val="99"/>
    <w:unhideWhenUsed/>
    <w:rsid w:val="007009B1"/>
    <w:pPr>
      <w:tabs>
        <w:tab w:val="center" w:pos="4680"/>
        <w:tab w:val="right" w:pos="9360"/>
      </w:tabs>
    </w:pPr>
  </w:style>
  <w:style w:type="character" w:customStyle="1" w:styleId="HeaderChar">
    <w:name w:val="Header Char"/>
    <w:basedOn w:val="DefaultParagraphFont"/>
    <w:link w:val="Header"/>
    <w:uiPriority w:val="99"/>
    <w:rsid w:val="007009B1"/>
    <w:rPr>
      <w:color w:val="auto"/>
      <w:sz w:val="24"/>
      <w:szCs w:val="24"/>
    </w:rPr>
  </w:style>
  <w:style w:type="paragraph" w:styleId="Footer">
    <w:name w:val="footer"/>
    <w:basedOn w:val="Normal"/>
    <w:link w:val="FooterChar"/>
    <w:uiPriority w:val="99"/>
    <w:unhideWhenUsed/>
    <w:rsid w:val="007009B1"/>
    <w:pPr>
      <w:tabs>
        <w:tab w:val="center" w:pos="4680"/>
        <w:tab w:val="right" w:pos="9360"/>
      </w:tabs>
    </w:pPr>
  </w:style>
  <w:style w:type="character" w:customStyle="1" w:styleId="FooterChar">
    <w:name w:val="Footer Char"/>
    <w:basedOn w:val="DefaultParagraphFont"/>
    <w:link w:val="Footer"/>
    <w:uiPriority w:val="99"/>
    <w:rsid w:val="007009B1"/>
    <w:rPr>
      <w:color w:val="auto"/>
      <w:sz w:val="24"/>
      <w:szCs w:val="24"/>
    </w:rPr>
  </w:style>
  <w:style w:type="character" w:styleId="PageNumber">
    <w:name w:val="page number"/>
    <w:basedOn w:val="DefaultParagraphFont"/>
    <w:uiPriority w:val="99"/>
    <w:semiHidden/>
    <w:unhideWhenUsed/>
    <w:rsid w:val="00C04B27"/>
  </w:style>
  <w:style w:type="character" w:styleId="FollowedHyperlink">
    <w:name w:val="FollowedHyperlink"/>
    <w:basedOn w:val="DefaultParagraphFont"/>
    <w:uiPriority w:val="99"/>
    <w:semiHidden/>
    <w:unhideWhenUsed/>
    <w:rsid w:val="00DC2D18"/>
    <w:rPr>
      <w:color w:val="96607D" w:themeColor="followedHyperlink"/>
      <w:u w:val="singl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color w:val="auto"/>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D5C9C"/>
    <w:rPr>
      <w:b/>
      <w:bCs/>
    </w:rPr>
  </w:style>
  <w:style w:type="character" w:customStyle="1" w:styleId="CommentSubjectChar">
    <w:name w:val="Comment Subject Char"/>
    <w:basedOn w:val="CommentTextChar"/>
    <w:link w:val="CommentSubject"/>
    <w:uiPriority w:val="99"/>
    <w:semiHidden/>
    <w:rsid w:val="008D5C9C"/>
    <w:rPr>
      <w:b/>
      <w:bCs/>
      <w:color w:val="auto"/>
      <w:sz w:val="20"/>
      <w:szCs w:val="20"/>
    </w:rPr>
  </w:style>
  <w:style w:type="paragraph" w:styleId="Revision">
    <w:name w:val="Revision"/>
    <w:hidden/>
    <w:uiPriority w:val="99"/>
    <w:semiHidden/>
    <w:rsid w:val="008D5C9C"/>
    <w:rPr>
      <w:color w:val="auto"/>
      <w:sz w:val="24"/>
      <w:szCs w:val="24"/>
    </w:rPr>
  </w:style>
  <w:style w:type="character" w:styleId="UnresolvedMention">
    <w:name w:val="Unresolved Mention"/>
    <w:basedOn w:val="DefaultParagraphFont"/>
    <w:uiPriority w:val="99"/>
    <w:semiHidden/>
    <w:unhideWhenUsed/>
    <w:rsid w:val="000B441C"/>
    <w:rPr>
      <w:color w:val="605E5C"/>
      <w:shd w:val="clear" w:color="auto" w:fill="E1DFDD"/>
    </w:rPr>
  </w:style>
  <w:style w:type="table" w:styleId="PlainTable5">
    <w:name w:val="Plain Table 5"/>
    <w:basedOn w:val="TableNormal"/>
    <w:uiPriority w:val="45"/>
    <w:rsid w:val="006905B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49" Type="http://schemas.openxmlformats.org/officeDocument/2006/relationships/footer" Target="footer1.xml"/><Relationship Id="rId5" Type="http://schemas.openxmlformats.org/officeDocument/2006/relationships/webSettings" Target="webSettings.xml"/><Relationship Id="rId15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3" Type="http://schemas.openxmlformats.org/officeDocument/2006/relationships/styles" Target="styles.xml"/><Relationship Id="rId153" Type="http://schemas.openxmlformats.org/officeDocument/2006/relationships/theme" Target="theme/theme1.xml"/><Relationship Id="rId4" Type="http://schemas.openxmlformats.org/officeDocument/2006/relationships/settings" Target="settings.xml"/><Relationship Id="rId8" Type="http://schemas.openxmlformats.org/officeDocument/2006/relationships/image" Target="media/image6.png"/><Relationship Id="rId9" Type="http://schemas.openxmlformats.org/officeDocument/2006/relationships/hyperlink" Target="https://www2.census.gov/programs-surveys/popest/datasets/2020-2025/counties/totals/co-est2025-alldata.csv" TargetMode="External"/><Relationship Id="rId10" Type="http://schemas.openxmlformats.org/officeDocument/2006/relationships/hyperlink" Target="https://electionlab.mit.edu/data" TargetMode="External"/><Relationship Id="rId11" Type="http://schemas.openxmlformats.org/officeDocument/2006/relationships/hyperlink" Target="https://opsportal.spp.org/Studies/GenerateSummaryCSV" TargetMode="External"/><Relationship Id="rId12" Type="http://schemas.openxmlformats.org/officeDocument/2006/relationships/hyperlink" Target="https://www.cherokeecountyks.gov/MAIN/component/easyfolderlistingpro/?view=download&amp;format=raw&amp;data=eNpFUMsKwjAQ_BXZuzSx4mN79OwfCCXarS40acmmWhD_3aSpCIFkJjOTnRjUGt-CO4S27xryUAmWGoGtuZNcXJr-NlpyQS6n3loW4d6Rl1WSRVwnjEI-G2WmENTv6j6ShH_oHqGuZy6hQ7Y6YylBhZC2XWa5gYpRZZOnbjDhMaeWCMWZ3RhIio3abJekljv6JemI1XEdVxLUi3puhUBTWE5D0y5D0TSwT4r8oo6jmBDM7ZFqQ3VFHdljdHh6Mr1ymS2Cix8B1ecLnrpk_Q%2C%2C" TargetMode="External"/><Relationship Id="rId13" Type="http://schemas.openxmlformats.org/officeDocument/2006/relationships/hyperlink" Target="https://digital-release.fourstateshomepage.com/?p=2309370" TargetMode="External"/><Relationship Id="rId14" Type="http://schemas.openxmlformats.org/officeDocument/2006/relationships/hyperlink" Target="https://digital-release.fourstateshomepage.com/?p=2368043" TargetMode="External"/><Relationship Id="rId15" Type="http://schemas.openxmlformats.org/officeDocument/2006/relationships/hyperlink" Target="https://engage.thinkconfluence.com/download_file/3051/832" TargetMode="External"/><Relationship Id="rId16" Type="http://schemas.openxmlformats.org/officeDocument/2006/relationships/hyperlink" Target="https://www.joplinglobe.com/news/minnesota-company-plans-data-center-park-for-eastern-jasper-county/article_6f4b47a5-fa91-4f35-91d7-5cbfc1c4b789.html" TargetMode="External"/><Relationship Id="rId17" Type="http://schemas.openxmlformats.org/officeDocument/2006/relationships/hyperlink" Target="https://19january2025snapshot.epa.gov/ks/cherokee-county-superfund-site-cherokee-county-kansas-fact-sheet-july-2021" TargetMode="External"/><Relationship Id="rId18" Type="http://schemas.openxmlformats.org/officeDocument/2006/relationships/hyperlink" Target="https://www.wind-watch.org/news/2021/08/31/cherokee-county-panel-adopts-1-year-wind-farm-moratorium/" TargetMode="External"/><Relationship Id="rId19" Type="http://schemas.openxmlformats.org/officeDocument/2006/relationships/hyperlink" Target="https://cherokeecountyks.gov/MAIN/component/easyfolderlistingpro/?view=download&amp;format=raw&amp;data=eNpFUNEOgjAM_BXTd8OGBrU8-gc-m5AJBZcwRtahJMZ_d2MQn7q73t3aKpQSP4wFQmv7hhyUjAeJoI3qiO-NrVwnQ4Pn-9Uao5m1HcjxLsqCEyYml4y8UAhia3UTsf-HnhCqauFcIjpcJ-ugDEUoEGIpEqsbKDWKZHLUj8o_l9RcMLMbse1cJx_m4CwXeb6mtbqnLS3IxGW_NQ8INPv1NTbtqqB51I54-0mGEZT3qn7GdaF8oAzsJTgcvTS90xJHhCEcXDDK7w-wC2Kz" TargetMode="External"/><Relationship Id="rId20" Type="http://schemas.openxmlformats.org/officeDocument/2006/relationships/hyperlink" Target="https://www.sentineltimes.com/articles/local-news/commission-extends-solar-project-moratorium/" TargetMode="External"/><Relationship Id="rId21" Type="http://schemas.openxmlformats.org/officeDocument/2006/relationships/hyperlink" Target="https://www.cherokeecountyks.gov/main/component/easyfolderlistingpro/?view=download&amp;format=raw&amp;data=eNpFUE1PwzAM_SvId7Rmmwq4R8QRCe08KcpatwvKRxVcJ2wI8d9Jmlac7Pfs9_RshULgD2OLMHozUICO8SAQtFUT8XnwfbLkXCKfX721mll7R4EfylpWQmIKVcgLhdBsoykRx3_TXCcEKReuoOcqdcpSgQ1CKW1l9VwwncamigKZWcXr4prh7kTsTYo5B-_2zb5d3UZtaHM75j0hHstUvvugog86WemdPJGjm7oYkm_5jOlbfgT_SX1cXMIfEOge124exjU13WcdiLdIXCJnVTGq_lr-At0FRWZfslwi0JemW732iODyp6D7_QMb4HMY" TargetMode="External"/><Relationship Id="rId22" Type="http://schemas.openxmlformats.org/officeDocument/2006/relationships/hyperlink" Target="https://www.koamnewsnow.com/news/elections/southeast-kansas-county-commissioner-nominees-selected-in-primary/article_369e2211-8b7d-4901-b4a2-5d9ab703512b.html" TargetMode="External"/><Relationship Id="rId23" Type="http://schemas.openxmlformats.org/officeDocument/2006/relationships/hyperlink" Target="https://www.cherokeecountyks.gov/main/images/clerk/8-4-26-Primary-Election/8-4-26_Official_Results.pdf" TargetMode="External"/><Relationship Id="rId24" Type="http://schemas.openxmlformats.org/officeDocument/2006/relationships/hyperlink" Target="https://kslegislature.gov/li/b2025_26/measures/sb417/" TargetMode="External"/><Relationship Id="rId25" Type="http://schemas.openxmlformats.org/officeDocument/2006/relationships/hyperlink" Target="https://sitingsolutions.com/news/state-of-siting-april-2026/" TargetMode="External"/><Relationship Id="rId26" Type="http://schemas.openxmlformats.org/officeDocument/2006/relationships/hyperlink" Target="https://www.hppr.org/hppr-news/2026-10-12/debate-about-kansas-law-incentivizing-data-center-construction-charges-up-governors-race" TargetMode="External"/><Relationship Id="rId27" Type="http://schemas.openxmlformats.org/officeDocument/2006/relationships/hyperlink" Target="https://censusreporter.org/profiles/05000US20021-cherokee-county-ks/" TargetMode="External"/><Relationship Id="rId28" Type="http://schemas.openxmlformats.org/officeDocument/2006/relationships/hyperlink" Target="https://cherokeecountyks.gov/main/component/easyfolderlistingpro/?view=download&amp;format=raw&amp;data=eNpFUMtOxDAM_BXkO9o-VgXcI9ojEoLrSlFo3TarPKo4gVwixL-T9CFO8YwzI89ILEv8YWwQBqd78tAy1iWCMnIkvvaui4Zs4OuzM0YxK2fJ813-lpQQmfwm5JVCKI7VGInDv-kDghArl9HjJrXSUIYFQn6ajVU9tAqLTeRJzzJMq2uCpzdip2NId_CpKqrz7jYoTYdbk3BV3-etuCyBbK_sKMJE4sV5GZxX0QhnRY5EvlNSi3enpReXlG38Fq_e3agLa6IagZawT3M_7FFomZVcJz7uLFNcMBmC7KZcXBa0H1gm9ikpPH0q-toqOCPYVB-0v3-TTXuG" TargetMode="External"/><Relationship Id="rId29" Type="http://schemas.openxmlformats.org/officeDocument/2006/relationships/hyperlink" Target="https://www.sentineltimes.com/articles/featured-stories/solar-farm-yes-or-no/" TargetMode="External"/><Relationship Id="rId30" Type="http://schemas.openxmlformats.org/officeDocument/2006/relationships/hyperlink" Target="https://www.koamnewsnow.com/news/local-news/impact-study-on-proposed-solar-farm-in-cherokee-county/article_5fda72bd-6d8a-4e72-863b-c5ddf495786e.html" TargetMode="External"/><Relationship Id="rId31" Type="http://schemas.openxmlformats.org/officeDocument/2006/relationships/hyperlink" Target="https://www.cherokeecountyks.gov/main/component/easyfolderlistingpro/?view=download&amp;format=raw&amp;data=eNpFUMFOwzAM_RWUO1rbwQbuCe3Egcu4TrJC424RbVxcYgeGEP9O0m7iFL_nvKfnZ6Gu4UdgA6bnwVE0rcC6BuNHeyQ5OO7SSEHlsONx9FwingNFuSnfstIkobgIZabAVNfVMZHov-kWDOLMFfSwSIMdqcAKTHk2C-udaT1UiyjSMFk9za4ZrvYkPCTNOWTVVM39xa33A13d6qYB02xvyxqfHE_qwxFfOFrl6NOIHHCX9T5Hs8UJucfXiTpvB9zTRwkpqIw5DO5OFPmd8sAp6Dfu2TrBklwixY4EbXD4HPpoRWPqNMU5whoMnfUyTa6_NEDnyUeS63l1vtuq2u5UOjbtG9SZfcyKSJ-evpbm7sCE3Lppf_9cMEsekc4%2C" TargetMode="External"/><Relationship Id="rId32" Type="http://schemas.openxmlformats.org/officeDocument/2006/relationships/hyperlink" Target="https://digital-release.fourstateshomepage.com/?p=2495648" TargetMode="External"/><Relationship Id="rId33" Type="http://schemas.openxmlformats.org/officeDocument/2006/relationships/hyperlink" Target="https://cherokeecountyks.gov/main/images/pdfs/CCPC/CCPC_Minutes_3426.pdf" TargetMode="External"/><Relationship Id="rId34" Type="http://schemas.openxmlformats.org/officeDocument/2006/relationships/hyperlink" Target="https://cherokeecountyks.gov/main/images/pdfs/CCPC/CCPC_Minutes_7126.pdf" TargetMode="External"/><Relationship Id="rId35" Type="http://schemas.openxmlformats.org/officeDocument/2006/relationships/hyperlink" Target="https://cherokeecountyks.gov/main/images/pdfs/CCPC/September_2026_CCPC_Agenda.pdf" TargetMode="External"/><Relationship Id="rId36" Type="http://schemas.openxmlformats.org/officeDocument/2006/relationships/hyperlink" Target="https://cherokeecountyks.gov/main/images/pdfs/CCPC/October_2026_CCPC_Agenda.pdf" TargetMode="External"/><Relationship Id="rId37" Type="http://schemas.openxmlformats.org/officeDocument/2006/relationships/hyperlink" Target="https://www.fourstateshomepage.com/news/local/cherokee-county-commissioners-vote-on-plan-for-large-industrial-zoning/" TargetMode="External"/><Relationship Id="rId38" Type="http://schemas.openxmlformats.org/officeDocument/2006/relationships/hyperlink" Target="https://cherokeecountyks.gov/main/images/BREAKDOWN.pdf" TargetMode="External"/><Relationship Id="rId39" Type="http://schemas.openxmlformats.org/officeDocument/2006/relationships/hyperlink" Target="https://www.kcur.org/news/2025-01-13/ku-research-suggests-wind-power-isnt-a-red-vs-blue-issue-in-kansas" TargetMode="External"/><Relationship Id="rId40" Type="http://schemas.openxmlformats.org/officeDocument/2006/relationships/hyperlink" Target="https://www.ksrevisor.gov/statutes/chapters/ch66/066_001_0004.html" TargetMode="External"/><Relationship Id="rId41" Type="http://schemas.openxmlformats.org/officeDocument/2006/relationships/hyperlink" Target="https://www.enr.com/articles/40550-award-of-merit-energyindustrial---riverton-unit-12-combined-cycle-power-plant" TargetMode="External"/><Relationship Id="rId42" Type="http://schemas.openxmlformats.org/officeDocument/2006/relationships/hyperlink" Target="https://www.columbusnews-report.com/news/moratorium-area-wind-solar-farms" TargetMode="External"/><Relationship Id="rId43" Type="http://schemas.openxmlformats.org/officeDocument/2006/relationships/hyperlink" Target="https://www.koamnewsnow.com/news/top-stories/shasta-power-seeks-lifting-of-solar-moratorium-in-crawford-county/article_e60242cc-9612-4558-9d4e-d1db57a32540.html" TargetMode="External"/><Relationship Id="rId44" Type="http://schemas.openxmlformats.org/officeDocument/2006/relationships/hyperlink" Target="https://news9.com/story/672b5db886eec447beaca9ff/craig-county-rejects-zoning-proposal-intended-to-limit-wind-farm-development" TargetMode="External"/><Relationship Id="rId45" Type="http://schemas.openxmlformats.org/officeDocument/2006/relationships/hyperlink" Target="https://geokansas.ku.edu/mined-land-wildlife-area" TargetMode="External"/><Relationship Id="rId46" Type="http://schemas.openxmlformats.org/officeDocument/2006/relationships/hyperlink" Target="https://www.eia.gov/electricity/data/eia860m/" TargetMode="External"/><Relationship Id="rId47" Type="http://schemas.openxmlformats.org/officeDocument/2006/relationships/hyperlink" Target="https://commons.wikimedia.org/wiki/File:Map_of_Kansas_highlighting_Cherokee_County.sv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3F24F-BA9A-A14D-AF97-B48AA56D9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Jefferson Template.dotx</Template>
  <TotalTime>1</TotalTime>
  <Pages>14</Pages>
  <Words>8903</Words>
  <Characters>50753</Characters>
  <Application>Microsoft Office Word</Application>
  <DocSecurity>0</DocSecurity>
  <Lines>422</Lines>
  <Paragraphs>119</Paragraphs>
  <ScaleCrop>false</ScaleCrop>
  <Company/>
  <LinksUpToDate>false</LinksUpToDate>
  <CharactersWithSpaces>59537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Cherokee County, Kansas</dc:title>
  <dc:subject/>
  <dc:creator>Hawthorn Intelligence</dc:creator>
  <cp:keywords/>
  <dc:description/>
  <cp:lastModifiedBy>Hawthorn Intelligence</cp:lastModifiedBy>
  <cp:revision>2</cp:revision>
  <dcterms:created xsi:type="dcterms:W3CDTF">2026-10-06T23:40:00Z</dcterms:created>
  <dcterms:modified xsi:type="dcterms:W3CDTF">2026-10-06T23:40:00Z</dcterms:modified>
</cp:coreProperties>
</file>