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before="360" w:after="120"/>
      </w:pPr>
      <w:r>
        <w:rPr>
          <w:b/>
        </w:rPr>
        <w:t>Case Study</w:t>
      </w:r>
      <w:r>
        <w:t>: Harris County, Texas</w:t>
      </w:r>
    </w:p>
    <w:p>
      <w:pPr>
        <w:spacing w:after="200"/>
      </w:pPr>
      <w:r>
        <w:rPr>
          <w:b/>
        </w:rPr>
        <w:t>Hawthorn Intelligence</w:t>
      </w:r>
    </w:p>
    <w:p>
      <w:pPr>
        <w:spacing w:after="200"/>
      </w:pPr>
      <w:r>
        <w:drawing>
          <wp:anchor distT="0" distB="0" distL="114300" distR="114300" simplePos="0" relativeHeight="251660290" behindDoc="0" locked="0" layoutInCell="1" allowOverlap="1" wp14:anchorId="237B77BB" wp14:editId="52ACF41C">
            <wp:simplePos x="0" y="0"/>
            <wp:positionH relativeFrom="column">
              <wp:posOffset>3749040</wp:posOffset>
            </wp:positionH>
            <wp:positionV relativeFrom="paragraph">
              <wp:posOffset>134804</wp:posOffset>
            </wp:positionV>
            <wp:extent cx="2651760" cy="2516572"/>
            <wp:effectExtent l="0" t="0" r="0" b="5080"/>
            <wp:wrapSquare wrapText="bothSides"/>
            <wp:docPr id="2044851896" name="Picture 2" descr="Case Study: Harris County, Texas locato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e Study: Harris County, Texas locator ma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1760" cy="2516572"/>
                    </a:xfrm>
                    <a:prstGeom prst="rect">
                      <a:avLst/>
                    </a:prstGeom>
                    <a:noFill/>
                    <a:ln>
                      <a:noFill/>
                    </a:ln>
                  </pic:spPr>
                </pic:pic>
              </a:graphicData>
            </a:graphic>
            <wp14:sizeRelH relativeFrom="page">
              <wp14:pctWidth>0</wp14:pctWidth>
            </wp14:sizeRelH>
            <wp14:sizeRelV relativeFrom="page">
              <wp14:pctHeight>0</wp14:pctHeight>
            </wp14:sizeRelV>
          </wp:anchor>
        </w:drawing>
      </w:r>
      <w:r>
        <w:rPr>
          <w:i/>
        </w:rPr>
        <w:t>Data as of October 16, 2026</w:t>
      </w:r>
    </w:p>
    <w:p>
      <w:pPr>
        <w:pStyle w:val="Heading2"/>
        <w:spacing w:before="240" w:after="80"/>
      </w:pPr>
      <w:r>
        <w:t>Key Takeaways</w:t>
      </w:r>
    </w:p>
    <w:p>
      <w:pPr>
        <w:pStyle w:val="ListParagraph"/>
        <w:numPr>
          <w:ilvl w:val="0"/>
          <w:numId w:val="11"/>
        </w:numPr>
        <w:spacing w:after="80"/>
      </w:pPr>
      <w:r>
        <w:rPr>
          <w:b/>
        </w:rPr>
        <w:t>A battery market, not a solar or wind market</w:t>
      </w:r>
      <w:r>
        <w:t>: 776 MW of grid batteries operate in the county, 28 of its 33 active interconnection requests are for storage, and every contested project on record here is a battery.</w:t>
      </w:r>
    </w:p>
    <w:p>
      <w:pPr>
        <w:pStyle w:val="ListParagraph"/>
        <w:numPr>
          <w:ilvl w:val="0"/>
          <w:numId w:val="11"/>
        </w:numPr>
        <w:spacing w:after="80"/>
      </w:pPr>
      <w:r>
        <w:rPr>
          <w:b/>
        </w:rPr>
        <w:t>Friction is city by city</w:t>
      </w:r>
      <w:r>
        <w:t>: Pasadena paused battery permits, adopted a storage code in April 2025, and in January 2026 moved most of its limits into the fire code, keeping a five-acre site cap but dropping a 500-foot residential setback. Tomball denied a project in 2023. Baytown approved two in 2025 with conditions: one after labor groups raised safety concerns, the other over residents' objections on a 4-3 vote.</w:t>
      </w:r>
    </w:p>
    <w:p>
      <w:pPr>
        <w:pStyle w:val="ListParagraph"/>
        <w:numPr>
          <w:ilvl w:val="0"/>
          <w:numId w:val="11"/>
        </w:numPr>
        <w:spacing w:after="80"/>
      </w:pPr>
      <w:r>
        <w:rPr>
          <w:b/>
        </w:rPr>
        <w:t>Above the average U.S. county:</w:t>
      </w:r>
      <w:r>
        <w:t xml:space="preserve"> Hawthorn Intelligence places Harris in the 78</w:t>
      </w:r>
      <w:r>
        <w:rPr>
          <w:vertAlign w:val="superscript"/>
        </w:rPr>
        <w:t>th</w:t>
      </w:r>
      <w:r>
        <w:t xml:space="preserve"> percentile (</w:t>
      </w:r>
      <w:r>
        <w:rPr>
          <w:i/>
        </w:rPr>
        <w:t>i.e.,</w:t>
      </w:r>
      <w:r>
        <w:t xml:space="preserve"> 78% of U.S. counties score lower) for resemblance to counties with severe renewable restrictions, and 18</w:t>
      </w:r>
      <w:r>
        <w:rPr>
          <w:vertAlign w:val="superscript"/>
        </w:rPr>
        <w:t>th</w:t>
      </w:r>
      <w:r>
        <w:t xml:space="preserve"> of 254 in Texas. Its population and its interconnection queue account for most of that.</w:t>
      </w:r>
    </w:p>
    <w:p>
      <w:pPr>
        <w:pStyle w:val="ListParagraph"/>
        <w:numPr>
          <w:ilvl w:val="0"/>
          <w:numId w:val="11"/>
        </w:numPr>
        <w:spacing w:after="80"/>
      </w:pPr>
      <w:r>
        <w:rPr>
          <w:b/>
        </w:rPr>
        <w:t>What to watch</w:t>
      </w:r>
      <w:r>
        <w:t>: the state's battery fire-safety rules under HB 3824, which also limit local rules; the 2027 legislative session; a new county judge in January; and about 1.3 GW of queued storage at Pasadena-area and Baytown sites.</w:t>
      </w:r>
    </w:p>
    <w:p>
      <w:pPr>
        <w:pStyle w:val="Heading2"/>
        <w:spacing w:before="240" w:after="80"/>
      </w:pPr>
      <w:r>
        <w:t>Summary</w:t>
      </w:r>
    </w:p>
    <w:p>
      <w:pPr>
        <w:spacing w:after="200"/>
      </w:pPr>
      <w:r>
        <w:t>Harris County is open to battery storage, but its zoned suburbs no longer approve it as a matter of course. Most of the county, the City of Houston and the unincorporated areas, has no zoning. In the unincorporated areas the county fire marshal's annual permit is the main local requirement; Houston applies its own fire code. We found no recorded opposition to the large batteries built on industrial land there. The suburban cities that do zone (Pasadena, Tomball and Baytown) have each paused, restricted, denied or narrowly approved a battery project since 2023.</w:t>
      </w:r>
    </w:p>
    <w:p>
      <w:pPr>
        <w:spacing w:after="200"/>
      </w:pPr>
      <w:r>
        <w:t>Hawthorn Intelligence assigns Harris a County Restriction Score of 0.36, about one and a half times the national base rate of 0.24. That puts it in the eighth national decile (one tenth of U.S. counties, ranked by score), the 78</w:t>
      </w:r>
      <w:r>
        <w:rPr>
          <w:vertAlign w:val="superscript"/>
        </w:rPr>
        <w:t>th</w:t>
      </w:r>
      <w:r>
        <w:t xml:space="preserve"> percentile nationally and 18</w:t>
      </w:r>
      <w:r>
        <w:rPr>
          <w:vertAlign w:val="superscript"/>
        </w:rPr>
        <w:t>th</w:t>
      </w:r>
      <w:r>
        <w:t xml:space="preserve"> of 254 Texas counties. The score measures how closely a county's profile resembles counties that have enacted severe restrictions; it is not a forecast for any project. Population and interconnection-queue megawatts drive most of it. The restriction record is Verified: we read Pasadena's votes in its council minutes, and the moratorium extension and the ordinance that replaced it in its agenda packets.</w:t>
      </w:r>
    </w:p>
    <w:p>
      <w:pPr>
        <w:spacing w:after="200"/>
      </w:pPr>
      <w:r>
        <w:t>Developers come for power-plant sites with high-voltage connections and fast-rising demand: CenterPoint expects 8 GW of data-center load by 2029. The objections on record are about proximity. Every contested project was a battery near homes, and opponents cited fire and toxic plumes, not views or farmland. Projects near housing in the zoned suburbs have faced special use permits, plume modeling and close votes.</w:t>
      </w:r>
    </w:p>
    <w:p>
      <w:pPr>
        <w:pStyle w:val="Heading1"/>
        <w:spacing w:before="360" w:after="120"/>
      </w:pPr>
      <w:r>
        <w:t>Hawthorn Intelligence</w:t>
      </w:r>
    </w:p>
    <w:p>
      <w:pPr>
        <w:pStyle w:val="Heading2"/>
        <w:spacing w:before="240" w:after="80"/>
      </w:pPr>
      <w:r>
        <w:t>Summary</w:t>
      </w:r>
    </w:p>
    <w:p>
      <w:pPr>
        <w:spacing w:after="200"/>
      </w:pPr>
      <w:r>
        <w:t>Harris County, home to about 5 million people in and around Houston, has 776 MW of batteries operating and held about 7.1 GW of active interconnection requests at the end of 2025. Its suburban cities have moved from pauses to permanent rules: Pasadena replaced its moratorium with a storage code in April 2025 and moved most of that code into its fire code in January 2026, Tomball denied a project, and Baytown approved two over objections. Harris's County Restriction Score of 0.36 places it in decile 8 of 10, and its evidence record is Verified.</w:t>
      </w:r>
    </w:p>
    <w:p>
      <w:pPr>
        <w:pStyle w:val="Heading2"/>
        <w:spacing w:before="240" w:after="80"/>
      </w:pPr>
      <w:r>
        <w:t>Hawthorn Intelligence Ratings</w:t>
      </w:r>
    </w:p>
    <w:tbl>
      <w:tblPr>
        <w:tblStyle w:val="PlainTable5"/>
        <w:tblW w:w="10080" w:type="dxa"/>
        <w:tblLayout w:type="fixed"/>
        <w:tblLook w:val="04A0" w:firstRow="1" w:lastRow="0" w:firstColumn="1" w:lastColumn="0" w:noHBand="0" w:noVBand="1"/>
      </w:tblPr>
      <w:tblGrid>
        <w:gridCol w:w="2700"/>
        <w:gridCol w:w="2500"/>
        <w:gridCol w:w="4880"/>
      </w:tblGrid>
      <w:tr>
        <w:trPr>
          <w:cantSplit/>
          <w:tblHeader/>
        </w:trPr>
        <w:tc>
          <w:tcPr>
            <w:tcW w:w="2700" w:type="dxa"/>
            <w:tcMar>
              <w:top w:w="30" w:type="dxa"/>
              <w:left w:w="80" w:type="dxa"/>
              <w:bottom w:w="30" w:type="dxa"/>
              <w:right w:w="80" w:type="dxa"/>
            </w:tcMar>
          </w:tcPr>
          <w:p>
            <w:pPr>
              <w:keepNext/>
              <w:spacing w:after="0"/>
            </w:pPr>
            <w:r>
              <w:rPr>
                <w:b/>
                <w:sz w:val="20"/>
              </w:rPr>
              <w:t>Hawthorn rating</w:t>
            </w:r>
          </w:p>
        </w:tc>
        <w:tc>
          <w:tcPr>
            <w:tcW w:w="2500" w:type="dxa"/>
            <w:tcMar>
              <w:top w:w="30" w:type="dxa"/>
              <w:left w:w="80" w:type="dxa"/>
              <w:bottom w:w="30" w:type="dxa"/>
              <w:right w:w="80" w:type="dxa"/>
            </w:tcMar>
          </w:tcPr>
          <w:p>
            <w:pPr>
              <w:keepNext/>
              <w:spacing w:after="0"/>
            </w:pPr>
            <w:r>
              <w:rPr>
                <w:b/>
                <w:sz w:val="20"/>
              </w:rPr>
              <w:t>Harris County</w:t>
            </w:r>
          </w:p>
        </w:tc>
        <w:tc>
          <w:tcPr>
            <w:tcW w:w="4880" w:type="dxa"/>
            <w:tcMar>
              <w:top w:w="30" w:type="dxa"/>
              <w:left w:w="80" w:type="dxa"/>
              <w:bottom w:w="30" w:type="dxa"/>
              <w:right w:w="80" w:type="dxa"/>
            </w:tcMar>
          </w:tcPr>
          <w:p>
            <w:pPr>
              <w:keepNext/>
              <w:spacing w:after="0"/>
            </w:pPr>
            <w:r>
              <w:rPr>
                <w:b/>
                <w:sz w:val="20"/>
              </w:rPr>
              <w:t>Explanation</w:t>
            </w:r>
          </w:p>
        </w:tc>
      </w:tr>
      <w:tr>
        <w:trPr>
          <w:cantSplit/>
        </w:trPr>
        <w:tc>
          <w:tcPr>
            <w:tcW w:w="2700" w:type="dxa"/>
            <w:tcMar>
              <w:top w:w="30" w:type="dxa"/>
              <w:left w:w="80" w:type="dxa"/>
              <w:bottom w:w="30" w:type="dxa"/>
              <w:right w:w="80" w:type="dxa"/>
            </w:tcMar>
          </w:tcPr>
          <w:p>
            <w:pPr>
              <w:keepNext/>
              <w:spacing w:after="0"/>
            </w:pPr>
            <w:r>
              <w:rPr>
                <w:sz w:val="20"/>
              </w:rPr>
              <w:t>County Restriction Score</w:t>
            </w:r>
          </w:p>
        </w:tc>
        <w:tc>
          <w:tcPr>
            <w:tcW w:w="2500" w:type="dxa"/>
            <w:tcMar>
              <w:top w:w="30" w:type="dxa"/>
              <w:left w:w="80" w:type="dxa"/>
              <w:bottom w:w="30" w:type="dxa"/>
              <w:right w:w="80" w:type="dxa"/>
            </w:tcMar>
          </w:tcPr>
          <w:p>
            <w:pPr>
              <w:keepNext/>
              <w:spacing w:after="0"/>
            </w:pPr>
            <w:r>
              <w:rPr>
                <w:b/>
                <w:sz w:val="20"/>
              </w:rPr>
              <w:t>0.36 (likely range 0.31 to 0.39)</w:t>
            </w:r>
          </w:p>
        </w:tc>
        <w:tc>
          <w:tcPr>
            <w:tcW w:w="4880" w:type="dxa"/>
            <w:tcMar>
              <w:top w:w="30" w:type="dxa"/>
              <w:left w:w="80" w:type="dxa"/>
              <w:bottom w:w="30" w:type="dxa"/>
              <w:right w:w="80" w:type="dxa"/>
            </w:tcMar>
          </w:tcPr>
          <w:p>
            <w:pPr>
              <w:keepNext/>
              <w:spacing w:after="0"/>
            </w:pPr>
            <w:r>
              <w:rPr>
                <w:sz w:val="20"/>
              </w:rPr>
              <w:t>Resemblance to counties with a severe wind, solar or storage restriction on record, on a 0 to 1 scale; national base rate 0.24</w:t>
            </w:r>
          </w:p>
        </w:tc>
      </w:tr>
      <w:tr>
        <w:trPr>
          <w:cantSplit/>
        </w:trPr>
        <w:tc>
          <w:tcPr>
            <w:tcW w:w="2700" w:type="dxa"/>
            <w:tcMar>
              <w:top w:w="30" w:type="dxa"/>
              <w:left w:w="80" w:type="dxa"/>
              <w:bottom w:w="30" w:type="dxa"/>
              <w:right w:w="80" w:type="dxa"/>
            </w:tcMar>
          </w:tcPr>
          <w:p>
            <w:pPr>
              <w:keepNext/>
              <w:spacing w:after="0"/>
            </w:pPr>
            <w:r>
              <w:rPr>
                <w:sz w:val="20"/>
              </w:rPr>
              <w:t>Score decile</w:t>
            </w:r>
          </w:p>
        </w:tc>
        <w:tc>
          <w:tcPr>
            <w:tcW w:w="2500" w:type="dxa"/>
            <w:tcMar>
              <w:top w:w="30" w:type="dxa"/>
              <w:left w:w="80" w:type="dxa"/>
              <w:bottom w:w="30" w:type="dxa"/>
              <w:right w:w="80" w:type="dxa"/>
            </w:tcMar>
          </w:tcPr>
          <w:p>
            <w:pPr>
              <w:keepNext/>
              <w:spacing w:after="0"/>
            </w:pPr>
            <w:r>
              <w:rPr>
                <w:b/>
                <w:sz w:val="20"/>
              </w:rPr>
              <w:t>8 of 10</w:t>
            </w:r>
          </w:p>
        </w:tc>
        <w:tc>
          <w:tcPr>
            <w:tcW w:w="4880" w:type="dxa"/>
            <w:tcMar>
              <w:top w:w="30" w:type="dxa"/>
              <w:left w:w="80" w:type="dxa"/>
              <w:bottom w:w="30" w:type="dxa"/>
              <w:right w:w="80" w:type="dxa"/>
            </w:tcMar>
          </w:tcPr>
          <w:p>
            <w:pPr>
              <w:keepNext/>
              <w:spacing w:after="0"/>
            </w:pPr>
            <w:r>
              <w:rPr>
                <w:sz w:val="20"/>
              </w:rPr>
              <w:t>Eighth tenth of 3,144 U.S. counties (scores 0.280 to 0.386); 33.4 percent of decile 8 counties have a severe restriction</w:t>
            </w:r>
          </w:p>
        </w:tc>
      </w:tr>
      <w:tr>
        <w:trPr>
          <w:cantSplit/>
        </w:trPr>
        <w:tc>
          <w:tcPr>
            <w:tcW w:w="2700" w:type="dxa"/>
            <w:tcMar>
              <w:top w:w="30" w:type="dxa"/>
              <w:left w:w="80" w:type="dxa"/>
              <w:bottom w:w="30" w:type="dxa"/>
              <w:right w:w="80" w:type="dxa"/>
            </w:tcMar>
          </w:tcPr>
          <w:p>
            <w:pPr>
              <w:keepNext/>
              <w:spacing w:after="0"/>
            </w:pPr>
            <w:r>
              <w:rPr>
                <w:sz w:val="20"/>
              </w:rPr>
              <w:t>National and Texas standing</w:t>
            </w:r>
          </w:p>
        </w:tc>
        <w:tc>
          <w:tcPr>
            <w:tcW w:w="2500" w:type="dxa"/>
            <w:tcMar>
              <w:top w:w="30" w:type="dxa"/>
              <w:left w:w="80" w:type="dxa"/>
              <w:bottom w:w="30" w:type="dxa"/>
              <w:right w:w="80" w:type="dxa"/>
            </w:tcMar>
          </w:tcPr>
          <w:p>
            <w:pPr>
              <w:keepNext/>
              <w:spacing w:after="0"/>
            </w:pPr>
            <w:r>
              <w:rPr>
                <w:b/>
                <w:sz w:val="20"/>
              </w:rPr>
              <w:t>78</w:t>
            </w:r>
            <w:r>
              <w:rPr>
                <w:b/>
                <w:sz w:val="20"/>
                <w:vertAlign w:val="superscript"/>
              </w:rPr>
              <w:t>th</w:t>
            </w:r>
            <w:r>
              <w:rPr>
                <w:b/>
                <w:sz w:val="20"/>
              </w:rPr>
              <w:t xml:space="preserve"> percentile; 18</w:t>
            </w:r>
            <w:r>
              <w:rPr>
                <w:b/>
                <w:sz w:val="20"/>
                <w:vertAlign w:val="superscript"/>
              </w:rPr>
              <w:t>th</w:t>
            </w:r>
            <w:r>
              <w:rPr>
                <w:b/>
                <w:sz w:val="20"/>
              </w:rPr>
              <w:t xml:space="preserve"> of 254</w:t>
            </w:r>
          </w:p>
        </w:tc>
        <w:tc>
          <w:tcPr>
            <w:tcW w:w="4880" w:type="dxa"/>
            <w:tcMar>
              <w:top w:w="30" w:type="dxa"/>
              <w:left w:w="80" w:type="dxa"/>
              <w:bottom w:w="30" w:type="dxa"/>
              <w:right w:w="80" w:type="dxa"/>
            </w:tcMar>
          </w:tcPr>
          <w:p>
            <w:pPr>
              <w:keepNext/>
              <w:spacing w:after="0"/>
            </w:pPr>
            <w:r>
              <w:rPr>
                <w:sz w:val="20"/>
              </w:rPr>
              <w:t>Share of U.S. counties scoring below Harris; rank among Texas counties</w:t>
            </w:r>
          </w:p>
        </w:tc>
      </w:tr>
      <w:tr>
        <w:trPr>
          <w:cantSplit/>
        </w:trPr>
        <w:tc>
          <w:tcPr>
            <w:tcW w:w="2700" w:type="dxa"/>
            <w:tcMar>
              <w:top w:w="30" w:type="dxa"/>
              <w:left w:w="80" w:type="dxa"/>
              <w:bottom w:w="30" w:type="dxa"/>
              <w:right w:w="80" w:type="dxa"/>
            </w:tcMar>
          </w:tcPr>
          <w:p>
            <w:pPr>
              <w:keepNext/>
              <w:spacing w:after="0"/>
            </w:pPr>
            <w:r>
              <w:rPr>
                <w:sz w:val="20"/>
              </w:rPr>
              <w:t>Evidence status</w:t>
            </w:r>
          </w:p>
        </w:tc>
        <w:tc>
          <w:tcPr>
            <w:tcW w:w="2500" w:type="dxa"/>
            <w:tcMar>
              <w:top w:w="30" w:type="dxa"/>
              <w:left w:w="80" w:type="dxa"/>
              <w:bottom w:w="30" w:type="dxa"/>
              <w:right w:w="80" w:type="dxa"/>
            </w:tcMar>
          </w:tcPr>
          <w:p>
            <w:pPr>
              <w:keepNext/>
              <w:spacing w:after="0"/>
            </w:pPr>
            <w:r>
              <w:rPr>
                <w:b/>
                <w:sz w:val="20"/>
              </w:rPr>
              <w:t>Verified</w:t>
            </w:r>
          </w:p>
        </w:tc>
        <w:tc>
          <w:tcPr>
            <w:tcW w:w="4880" w:type="dxa"/>
            <w:tcMar>
              <w:top w:w="30" w:type="dxa"/>
              <w:left w:w="80" w:type="dxa"/>
              <w:bottom w:w="30" w:type="dxa"/>
              <w:right w:w="80" w:type="dxa"/>
            </w:tcMar>
          </w:tcPr>
          <w:p>
            <w:pPr>
              <w:keepNext/>
              <w:spacing w:after="0"/>
            </w:pPr>
            <w:r>
              <w:rPr>
                <w:sz w:val="20"/>
              </w:rPr>
              <w:t>Pasadena's votes read in council minutes; the moratorium extension, the storage code and the fire code that replaced it read in agenda packets</w:t>
            </w:r>
          </w:p>
        </w:tc>
      </w:tr>
      <w:tr>
        <w:trPr>
          <w:cantSplit/>
        </w:trPr>
        <w:tc>
          <w:tcPr>
            <w:tcW w:w="2700" w:type="dxa"/>
            <w:tcMar>
              <w:top w:w="30" w:type="dxa"/>
              <w:left w:w="80" w:type="dxa"/>
              <w:bottom w:w="30" w:type="dxa"/>
              <w:right w:w="80" w:type="dxa"/>
            </w:tcMar>
          </w:tcPr>
          <w:p>
            <w:pPr>
              <w:keepNext/>
              <w:spacing w:after="0"/>
            </w:pPr>
            <w:r>
              <w:rPr>
                <w:sz w:val="20"/>
              </w:rPr>
              <w:t>Project outcome tiers</w:t>
            </w:r>
          </w:p>
        </w:tc>
        <w:tc>
          <w:tcPr>
            <w:tcW w:w="2500" w:type="dxa"/>
            <w:tcMar>
              <w:top w:w="30" w:type="dxa"/>
              <w:left w:w="80" w:type="dxa"/>
              <w:bottom w:w="30" w:type="dxa"/>
              <w:right w:w="80" w:type="dxa"/>
            </w:tcMar>
          </w:tcPr>
          <w:p>
            <w:pPr>
              <w:keepNext/>
              <w:spacing w:after="0"/>
            </w:pPr>
            <w:r>
              <w:rPr>
                <w:b/>
                <w:sz w:val="20"/>
              </w:rPr>
              <w:t>1 blocked; 2 approved with conditions</w:t>
            </w:r>
          </w:p>
        </w:tc>
        <w:tc>
          <w:tcPr>
            <w:tcW w:w="4880" w:type="dxa"/>
            <w:tcMar>
              <w:top w:w="30" w:type="dxa"/>
              <w:left w:w="80" w:type="dxa"/>
              <w:bottom w:w="30" w:type="dxa"/>
              <w:right w:w="80" w:type="dxa"/>
            </w:tcMar>
          </w:tcPr>
          <w:p>
            <w:pPr>
              <w:keepNext/>
              <w:spacing w:after="0"/>
            </w:pPr>
            <w:r>
              <w:rPr>
                <w:sz w:val="20"/>
              </w:rPr>
              <w:t>Tomball denial (2023); Baytown's Massey and Claire approvals (2025)</w:t>
            </w:r>
          </w:p>
        </w:tc>
      </w:tr>
      <w:tr>
        <w:trPr>
          <w:cantSplit/>
        </w:trPr>
        <w:tc>
          <w:tcPr>
            <w:tcW w:w="2700" w:type="dxa"/>
            <w:tcMar>
              <w:top w:w="30" w:type="dxa"/>
              <w:left w:w="80" w:type="dxa"/>
              <w:bottom w:w="30" w:type="dxa"/>
              <w:right w:w="80" w:type="dxa"/>
            </w:tcMar>
          </w:tcPr>
          <w:p>
            <w:pPr>
              <w:spacing w:after="0"/>
            </w:pPr>
            <w:r>
              <w:rPr>
                <w:sz w:val="20"/>
              </w:rPr>
              <w:t>Opposition intensity</w:t>
            </w:r>
          </w:p>
        </w:tc>
        <w:tc>
          <w:tcPr>
            <w:tcW w:w="2500" w:type="dxa"/>
            <w:tcMar>
              <w:top w:w="30" w:type="dxa"/>
              <w:left w:w="80" w:type="dxa"/>
              <w:bottom w:w="30" w:type="dxa"/>
              <w:right w:w="80" w:type="dxa"/>
            </w:tcMar>
          </w:tcPr>
          <w:p>
            <w:pPr>
              <w:spacing w:after="0"/>
            </w:pPr>
            <w:r>
              <w:rPr>
                <w:b/>
                <w:sz w:val="20"/>
              </w:rPr>
              <w:t>95</w:t>
            </w:r>
            <w:r>
              <w:rPr>
                <w:b/>
                <w:sz w:val="20"/>
                <w:vertAlign w:val="superscript"/>
              </w:rPr>
              <w:t>th</w:t>
            </w:r>
            <w:r>
              <w:rPr>
                <w:b/>
                <w:sz w:val="20"/>
              </w:rPr>
              <w:t xml:space="preserve"> percentile (records); 56</w:t>
            </w:r>
            <w:r>
              <w:rPr>
                <w:b/>
                <w:sz w:val="20"/>
                <w:vertAlign w:val="superscript"/>
              </w:rPr>
              <w:t>th</w:t>
            </w:r>
            <w:r>
              <w:rPr>
                <w:b/>
                <w:sz w:val="20"/>
              </w:rPr>
              <w:t xml:space="preserve"> (per 100,000 residents)</w:t>
            </w:r>
          </w:p>
        </w:tc>
        <w:tc>
          <w:tcPr>
            <w:tcW w:w="4880" w:type="dxa"/>
            <w:tcMar>
              <w:top w:w="30" w:type="dxa"/>
              <w:left w:w="80" w:type="dxa"/>
              <w:bottom w:w="30" w:type="dxa"/>
              <w:right w:w="80" w:type="dxa"/>
            </w:tcMar>
          </w:tcPr>
          <w:p>
            <w:pPr>
              <w:spacing w:after="0"/>
            </w:pPr>
            <w:r>
              <w:rPr>
                <w:sz w:val="20"/>
              </w:rPr>
              <w:t>Two restriction instruments and three contested projects, against all U.S. counties</w:t>
            </w:r>
          </w:p>
        </w:tc>
      </w:tr>
    </w:tbl>
    <w:p>
      <w:pPr>
        <w:spacing w:after="40"/>
      </w:pPr>
    </w:p>
    <w:p>
      <w:pPr>
        <w:spacing w:after="200"/>
      </w:pPr>
      <w:r>
        <w:t>Ratings as of October 16, 2026. The score is a calibrated, cross-validated resemblance measure, not a forecast for any project. Opposition intensity counts the records this review added; the platform's published data held one record for Harris on October 13. "How to Read Hawthorn Intelligence Reports" below defines each scale.</w:t>
      </w:r>
    </w:p>
    <w:p>
      <w:pPr>
        <w:pStyle w:val="Heading2"/>
        <w:spacing w:before="240" w:after="80"/>
      </w:pPr>
      <w:r>
        <w:t>At a glance</w:t>
      </w:r>
    </w:p>
    <w:p>
      <w:pPr>
        <w:pStyle w:val="ListParagraph"/>
        <w:numPr>
          <w:ilvl w:val="0"/>
          <w:numId w:val="9"/>
        </w:numPr>
        <w:spacing w:after="80"/>
      </w:pPr>
      <w:hyperlink r:id="rId9" w:history="1">
        <w:r>
          <w:rPr>
            <w:rStyle w:val="Hyperlink"/>
          </w:rPr>
          <w:t xml:space="preserve">Population</w:t>
        </w:r>
      </w:hyperlink>
      <w:r>
        <w:t xml:space="preserve"> 5,045,026 (July 2025 estimate) on 1,707 square miles; the most populous county in Texas and third in the nation</w:t>
      </w:r>
    </w:p>
    <w:p>
      <w:pPr>
        <w:pStyle w:val="ListParagraph"/>
        <w:numPr>
          <w:ilvl w:val="0"/>
          <w:numId w:val="9"/>
        </w:numPr>
        <w:spacing w:after="80"/>
      </w:pPr>
      <w:r>
        <w:t>Median household income $74,983; 34.2 percent of adults 25 and older hold a bachelor's degree or higher (ACS 2020-2024)</w:t>
      </w:r>
    </w:p>
    <w:p>
      <w:pPr>
        <w:pStyle w:val="ListParagraph"/>
        <w:numPr>
          <w:ilvl w:val="0"/>
          <w:numId w:val="9"/>
        </w:numPr>
        <w:spacing w:after="80"/>
      </w:pPr>
      <w:hyperlink r:id="rId10" w:history="1">
        <w:r>
          <w:rPr>
            <w:rStyle w:val="Hyperlink"/>
          </w:rPr>
          <w:t xml:space="preserve">2024</w:t>
        </w:r>
      </w:hyperlink>
      <w:r>
        <w:t xml:space="preserve"> presidential vote: Harris 51.9 percent, Trump 46.4 percent</w:t>
      </w:r>
    </w:p>
    <w:p>
      <w:pPr>
        <w:pStyle w:val="ListParagraph"/>
        <w:numPr>
          <w:ilvl w:val="1"/>
          <w:numId w:val="9"/>
        </w:numPr>
        <w:spacing w:after="80"/>
      </w:pPr>
      <w:r>
        <w:t>Partisan trend: the Democratic margin went from 12.3 points in 2016 to 13.3 in 2020, then narrowed to 5.5 in 2024</w:t>
      </w:r>
    </w:p>
    <w:p>
      <w:pPr>
        <w:pStyle w:val="ListParagraph"/>
        <w:numPr>
          <w:ilvl w:val="0"/>
          <w:numId w:val="9"/>
        </w:numPr>
        <w:spacing w:after="80"/>
      </w:pPr>
      <w:r>
        <w:t>Operating storage and solar: 776 MW of batteries at 12 plants and 72 MW of solar (</w:t>
      </w:r>
      <w:hyperlink r:id="rId11" w:history="1">
        <w:r>
          <w:rPr>
            <w:rStyle w:val="Hyperlink"/>
          </w:rPr>
          <w:t xml:space="preserve">EIA-860M, August 2026</w:t>
        </w:r>
      </w:hyperlink>
      <w:r>
        <w:t>); no wind</w:t>
      </w:r>
    </w:p>
    <w:p>
      <w:pPr>
        <w:pStyle w:val="ListParagraph"/>
        <w:numPr>
          <w:ilvl w:val="0"/>
          <w:numId w:val="9"/>
        </w:numPr>
        <w:spacing w:after="80"/>
      </w:pPr>
      <w:r>
        <w:t xml:space="preserve">Interconnection queue: 33 active projects, 28 of them batteries, per ERCOT's September 2026 report as summarized by </w:t>
      </w:r>
      <w:hyperlink r:id="rId12" w:history="1">
        <w:r>
          <w:rPr>
            <w:rStyle w:val="Hyperlink"/>
          </w:rPr>
          <w:t xml:space="preserve">Quicksand Check</w:t>
        </w:r>
      </w:hyperlink>
    </w:p>
    <w:p>
      <w:pPr>
        <w:pStyle w:val="ListParagraph"/>
        <w:numPr>
          <w:ilvl w:val="0"/>
          <w:numId w:val="9"/>
        </w:numPr>
        <w:spacing w:after="80"/>
      </w:pPr>
      <w:r>
        <w:t xml:space="preserve">Grid: CenterPoint Energy Houston Electric expects </w:t>
      </w:r>
      <w:hyperlink r:id="rId13" w:history="1">
        <w:r>
          <w:rPr>
            <w:rStyle w:val="Hyperlink"/>
          </w:rPr>
          <w:t xml:space="preserve">8 GW of data-center load by 2029</w:t>
        </w:r>
      </w:hyperlink>
      <w:r>
        <w:t xml:space="preserve"> and a peak above 30 GW</w:t>
      </w:r>
    </w:p>
    <w:p>
      <w:pPr>
        <w:pStyle w:val="ListParagraph"/>
        <w:numPr>
          <w:ilvl w:val="0"/>
          <w:numId w:val="9"/>
        </w:numPr>
        <w:spacing w:after="80"/>
      </w:pPr>
      <w:r>
        <w:t xml:space="preserve">Enacted restrictions: yes, </w:t>
      </w:r>
      <w:hyperlink r:id="rId14" w:history="1">
        <w:r>
          <w:rPr>
            <w:rStyle w:val="Hyperlink"/>
          </w:rPr>
          <w:t xml:space="preserve">Pasadena's moratorium, storage code and fire code limits</w:t>
        </w:r>
      </w:hyperlink>
      <w:r>
        <w:t>, read in the city's minutes and agenda packets</w:t>
      </w:r>
    </w:p>
    <w:p>
      <w:pPr>
        <w:pStyle w:val="Heading1"/>
        <w:spacing w:before="360" w:after="120"/>
      </w:pPr>
      <w:r>
        <w:t>A county where the suburbs set the rules</w:t>
      </w:r>
    </w:p>
    <w:p>
      <w:pPr>
        <w:spacing w:after="200"/>
      </w:pPr>
      <w:r>
        <w:t xml:space="preserve">Harris County has no general zoning power, and the City of Houston has no zoning either. The county's tool is its fire code, which covers the unincorporated areas; Houston applies its own. The Harris County Fire Marshal's Office requires a </w:t>
      </w:r>
      <w:hyperlink r:id="rId15" w:history="1">
        <w:r>
          <w:rPr>
            <w:rStyle w:val="Hyperlink"/>
          </w:rPr>
          <w:t xml:space="preserve">$300 annual operating permit</w:t>
        </w:r>
      </w:hyperlink>
      <w:r>
        <w:t xml:space="preserve"> for energy-storage systems, and Fire Marshal Laurie Christensen told legislators the county code was amended for lithium-ion storage effective January 1 and October 1, 2025. The suburban cities that zone have gone through the sequence seen elsewhere in Texas: a pause, then rules, then contested permits.</w:t>
      </w:r>
    </w:p>
    <w:p>
      <w:pPr>
        <w:spacing w:after="200"/>
      </w:pPr>
      <w:r>
        <w:t>Pasadena moved first. In October 2024 its council unanimously adopted a 90-day moratorium on commercial battery permits, citing "several inquiries from prospective developers" and battery-site fires nationwide. It extended the pause unanimously in January 2025 and, on April 1, 2025, replaced it with Article XII of its building code. As presented in the March 18 agenda packet, Article XII caps sites at five acres; requires 1,500 feet between battery sites, 500 feet from residential property and 1,000 feet from schools, hospitals and other critical facilities; requires a site within 150 feet of CenterPoint property; bars mapped flood zones; and requires a special use permit backed by a hazard mitigation analysis, a fire plan and plume modeling.</w:t>
      </w:r>
    </w:p>
    <w:p>
      <w:pPr>
        <w:spacing w:after="200"/>
      </w:pPr>
      <w:r>
        <w:t>On October 21, 2025, the council unanimously adopted Ordinance 2025-205, which adopts the 2024 International Fire Code with local amendments and repeals Article XII, stating that "requirements regarding energy storage systems" were being updated in the fire code; the change took effect on January 19, 2026. The new Section 1208 keeps the five-acre cap (now excluding setback areas), 1,500 feet between battery sites, 1,000 feet from a shorter list of critical facilities that no longer names schools, 150-foot side and rear setbacks, the flood-zone bar, and a special use permit with CenterPoint review. It drops the 500-foot setback from residential property, the rule that a site lie within 150 feet of CenterPoint property, and the plume study.</w:t>
      </w:r>
    </w:p>
    <w:p>
      <w:pPr>
        <w:spacing w:after="200"/>
      </w:pPr>
      <w:r>
        <w:t>Pasadena has regulated storage rather than banning it. Every council vote was unanimous, and the moratorium and Article XII hearings drew two speakers in total.</w:t>
      </w:r>
    </w:p>
    <w:p>
      <w:pPr>
        <w:pStyle w:val="Heading2"/>
        <w:spacing w:before="240" w:after="80"/>
      </w:pPr>
      <w:r>
        <w:t>Baytown's close votes</w:t>
      </w:r>
    </w:p>
    <w:p>
      <w:pPr>
        <w:spacing w:after="200"/>
      </w:pPr>
      <w:r>
        <w:t xml:space="preserve">Baytown decides each battery project by special use permit, rezoning the land where needed. It approved its first, an uncontested battery on Garth Road, in 2023, when battery storage was an unlisted industrial use; its 2025 code lists battery storage as a use allowed with a special use permit. In August 2025 the council voted 7-0 to approve Cypress Creek Renewables' 100 MW </w:t>
      </w:r>
      <w:r>
        <w:rPr>
          <w:b/>
        </w:rPr>
        <w:t>Massey</w:t>
      </w:r>
      <w:r>
        <w:t xml:space="preserve"> project on about 15 acres. Labor groups raised safety concerns: Laborers International Union Local 350, IBEW Local 527 and the Texas Climate Jobs Project asked the city in writing to postpone the permit, and speakers for the IBEW and the Texas Climate Jobs Project asked the council to delay its vote. Robert Ramos, speaking for the laborers' union, said that if required it would "initiate a ballot of signatures," according to the council minutes. The conditions in the draft ordinance require battery containers at least 200 feet from homes and 100 feet from other structures, a six-foot masonry wall and landscaped bufferyards.</w:t>
      </w:r>
    </w:p>
    <w:p>
      <w:pPr>
        <w:spacing w:after="200"/>
      </w:pPr>
      <w:r>
        <w:t xml:space="preserve">In November 2025 Balanced Rock Power's </w:t>
      </w:r>
      <w:r>
        <w:rPr>
          <w:b/>
        </w:rPr>
        <w:t>Claire</w:t>
      </w:r>
      <w:r>
        <w:t xml:space="preserve"> project, up to 400 MW (406 MW in ERCOT's queue) on about nine acres zoned Suburban Residential next to a CenterPoint substation, won a planning commission recommendation of approval, with Commissioners Mike Beard and Kim Kosteck voting no. The developer said it had increased the setbacks and added flood retention and a six-foot masonry wall. The council approved it 4-3, with conditions that put battery containers at least 200 feet from homes. Opponents at the council hearing cited the site's closeness to homes, fire and toxic gas risks, insurance exclusions for lithium-ion battery fires and questions about future ownership. Claire was approved in a residential district by one vote.</w:t>
      </w:r>
    </w:p>
    <w:p>
      <w:pPr>
        <w:pStyle w:val="Heading2"/>
        <w:spacing w:before="240" w:after="80"/>
      </w:pPr>
      <w:r>
        <w:t>Other projects</w:t>
      </w:r>
    </w:p>
    <w:p>
      <w:pPr>
        <w:spacing w:after="200"/>
      </w:pPr>
      <w:r>
        <w:rPr>
          <w:b/>
        </w:rPr>
        <w:t>Tomball</w:t>
      </w:r>
      <w:r>
        <w:t xml:space="preserve"> denied a conditional use permit in June 2023 for a Black Mountain Energy Storage battery on Pitchford Road. Of the property owners notified within 2,000 feet, 11 opposed and 6 supported, and the council voted unanimously against it after the mayor said the city was "not ready for this in our 13 square miles." Black Mountain now holds a 201 MW request at Greens Bayou.</w:t>
      </w:r>
    </w:p>
    <w:p>
      <w:pPr>
        <w:spacing w:after="200"/>
      </w:pPr>
      <w:r>
        <w:t xml:space="preserve">In Houston and the unincorporated county, we found no recorded opposition to the large projects. Jupiter Power's </w:t>
      </w:r>
      <w:r>
        <w:rPr>
          <w:b/>
        </w:rPr>
        <w:t>Callisto I</w:t>
      </w:r>
      <w:r>
        <w:t xml:space="preserve"> (about 200 MW) began operating in August 2024 at the former H.O. Clarke plant site, where Callisto II and Pamela Heights I are under construction. Cypress Creek's 200 MW </w:t>
      </w:r>
      <w:r>
        <w:rPr>
          <w:b/>
        </w:rPr>
        <w:t>Destiny</w:t>
      </w:r>
      <w:r>
        <w:t xml:space="preserve"> and the 204 MW </w:t>
      </w:r>
      <w:r>
        <w:rPr>
          <w:b/>
        </w:rPr>
        <w:t>Citadel</w:t>
      </w:r>
      <w:r>
        <w:t xml:space="preserve"> batteries operate near Crosby, and X-Elio's </w:t>
      </w:r>
      <w:r>
        <w:rPr>
          <w:b/>
        </w:rPr>
        <w:t>Liberty</w:t>
      </w:r>
      <w:r>
        <w:t xml:space="preserve"> hybrid pairs 67 MW of solar with 65 MW of storage on the Liberty County line. AES has two requests of about 408 MW each, </w:t>
      </w:r>
      <w:r>
        <w:rPr>
          <w:b/>
        </w:rPr>
        <w:t>Beacon</w:t>
      </w:r>
      <w:r>
        <w:t xml:space="preserve"> and </w:t>
      </w:r>
      <w:r>
        <w:rPr>
          <w:b/>
        </w:rPr>
        <w:t>Sigma</w:t>
      </w:r>
      <w:r>
        <w:t>, at the former Deepwater plant in the Pasadena area, still in study. The public record does not establish whether they fall inside Pasadena's limits and so under its five-acre cap.</w:t>
      </w:r>
    </w:p>
    <w:p>
      <w:pPr>
        <w:pStyle w:val="Heading2"/>
        <w:spacing w:before="240" w:after="80"/>
      </w:pPr>
      <w:r>
        <w:t>Organized Opposition</w:t>
      </w:r>
    </w:p>
    <w:p>
      <w:pPr>
        <w:spacing w:after="200"/>
      </w:pPr>
      <w:r>
        <w:t>Opposition in Harris has been local, project-specific and largely unorganized. We found no named resident group, Facebook group or petition aimed at a Harris County project. The objections on record came from residents near the Claire site in Baytown, from property owners notified of the Tomball permit and, on Baytown's Massey project, from Laborers International Union Local 350, IBEW Local 527 and the Texas Climate Jobs Project.</w:t>
      </w:r>
    </w:p>
    <w:p>
      <w:pPr>
        <w:spacing w:after="200"/>
      </w:pPr>
      <w:r>
        <w:t xml:space="preserve">The organized campaigns are next door. In League City (Galveston County), neighbors of an elementary school petitioned against a 200 MW Cypress Creek project in 2024, and the city paused storage and then adopted an ordinance. In Katy, across the line in Waller County, the city denied Vesper Energy's 500 MW Ochoa project near Katy High School in October 2024; the developer asked the state utility commission to override the city, ERCOT intervened, and Vesper withdrew in July 2026. Statewide, the Republican Party of Texas adopted a </w:t>
      </w:r>
      <w:hyperlink r:id="rId16" w:history="1">
        <w:r>
          <w:rPr>
            <w:rStyle w:val="Hyperlink"/>
          </w:rPr>
          <w:t xml:space="preserve">resolution</w:t>
        </w:r>
      </w:hyperlink>
      <w:r>
        <w:t xml:space="preserve"> in March 2025 calling for limits on battery storage.</w:t>
      </w:r>
    </w:p>
    <w:p>
      <w:pPr>
        <w:pStyle w:val="Heading2"/>
        <w:spacing w:before="240" w:after="80"/>
      </w:pPr>
      <w:r>
        <w:t>What to watch next</w:t>
      </w:r>
    </w:p>
    <w:p>
      <w:pPr>
        <w:pStyle w:val="ListParagraph"/>
        <w:numPr>
          <w:ilvl w:val="0"/>
          <w:numId w:val="9"/>
        </w:numPr>
        <w:spacing w:after="80"/>
      </w:pPr>
      <w:r>
        <w:t>Texas Department of Insurance: the formal proposal and adoption of HB 3824 fire-safety rules for batteries entering service on or after January 1, 2027, and how the law's bar on "inconsistent" local rules is read against codes like Pasadena's.</w:t>
      </w:r>
    </w:p>
    <w:p>
      <w:pPr>
        <w:pStyle w:val="ListParagraph"/>
        <w:numPr>
          <w:ilvl w:val="0"/>
          <w:numId w:val="9"/>
        </w:numPr>
        <w:spacing w:after="80"/>
      </w:pPr>
      <w:r>
        <w:t>November 3, 2026: county judge (Plummer v. Sanchez) and Commissioners Court Precincts 2 and 4; the new court sits in January 2027.</w:t>
      </w:r>
    </w:p>
    <w:p>
      <w:pPr>
        <w:pStyle w:val="ListParagraph"/>
        <w:numPr>
          <w:ilvl w:val="0"/>
          <w:numId w:val="9"/>
        </w:numPr>
        <w:spacing w:after="80"/>
      </w:pPr>
      <w:r>
        <w:t>January 2027: the 90th Legislature convenes, the first session since a state permit for renewable plants (SB 819) died in committee.</w:t>
      </w:r>
    </w:p>
    <w:p>
      <w:pPr>
        <w:pStyle w:val="ListParagraph"/>
        <w:numPr>
          <w:ilvl w:val="0"/>
          <w:numId w:val="9"/>
        </w:numPr>
        <w:spacing w:after="80"/>
      </w:pPr>
      <w:r>
        <w:t>Baytown: Claire and Massey, which ERCOT data list with projected commercial operation dates of December 2027 and January 2028.</w:t>
      </w:r>
    </w:p>
    <w:p>
      <w:pPr>
        <w:pStyle w:val="ListParagraph"/>
        <w:numPr>
          <w:ilvl w:val="0"/>
          <w:numId w:val="9"/>
        </w:numPr>
        <w:spacing w:after="80"/>
      </w:pPr>
      <w:r>
        <w:t>AES Beacon and Sigma at Deepwater (projected October 2029) and whether Pasadena's fire code siting limits apply to them.</w:t>
      </w:r>
    </w:p>
    <w:p>
      <w:pPr>
        <w:pStyle w:val="ListParagraph"/>
        <w:numPr>
          <w:ilvl w:val="0"/>
          <w:numId w:val="9"/>
        </w:numPr>
        <w:spacing w:after="80"/>
      </w:pPr>
      <w:r>
        <w:t>CenterPoint's data-center load additions and ERCOT's Batch Zero results.</w:t>
      </w:r>
    </w:p>
    <w:p>
      <w:pPr>
        <w:pStyle w:val="Heading1"/>
        <w:spacing w:before="360" w:after="120"/>
      </w:pPr>
      <w:r>
        <w:t>Hawthorn Intelligence Appendix</w:t>
      </w:r>
    </w:p>
    <w:p>
      <w:pPr>
        <w:spacing w:after="200"/>
      </w:pPr>
      <w:r>
        <w:rPr>
          <w:b/>
        </w:rPr>
        <w:t>Restriction score:</w:t>
      </w:r>
      <w:r>
        <w:t xml:space="preserve"> </w:t>
      </w:r>
      <w:r>
        <w:rPr>
          <w:i/>
        </w:rPr>
        <w:t>0.36/1</w:t>
      </w:r>
      <w:r>
        <w:rPr>
          <w:rStyle w:val="FootnoteReference"/>
        </w:rPr>
        <w:footnoteReference w:id="1"/>
      </w:r>
    </w:p>
    <w:p>
      <w:pPr>
        <w:spacing w:after="200"/>
      </w:pPr>
      <w:r>
        <w:t>Harris sits in the 78</w:t>
      </w:r>
      <w:r>
        <w:rPr>
          <w:vertAlign w:val="superscript"/>
        </w:rPr>
        <w:t>th</w:t>
      </w:r>
      <w:r>
        <w:t xml:space="preserve"> percentile nationally, the 93</w:t>
      </w:r>
      <w:r>
        <w:rPr>
          <w:vertAlign w:val="superscript"/>
        </w:rPr>
        <w:t>rd</w:t>
      </w:r>
      <w:r>
        <w:t xml:space="preserve"> in Texas, and the 51</w:t>
      </w:r>
      <w:r>
        <w:rPr>
          <w:vertAlign w:val="superscript"/>
        </w:rPr>
        <w:t>st</w:t>
      </w:r>
      <w:r>
        <w:t xml:space="preserve"> among the 747 counties with a severe restriction on record. The model scores five county traits: population, median household income, operating wind capacity, megawatts of wind, solar and storage requested in interconnection queues, and the share of neighboring counties with a severe restriction.</w:t>
      </w:r>
      <w:r>
        <w:rPr>
          <w:rStyle w:val="FootnoteReference"/>
        </w:rPr>
        <w:footnoteReference w:id="2"/>
      </w:r>
      <w:r>
        <w:t xml:space="preserve"> In Texas, Tarrant (0.81), Denton (0.73) and Fort Bend (0.72) score highest; the state median is 0.13.</w:t>
      </w:r>
    </w:p>
    <w:p>
      <w:pPr>
        <w:spacing w:after="200"/>
      </w:pPr>
      <w:r>
        <w:rPr>
          <w:b/>
        </w:rPr>
        <w:t>Scale</w:t>
      </w:r>
    </w:p>
    <w:p>
      <w:pPr>
        <w:spacing w:after="200"/>
      </w:pPr>
      <w:r>
        <w:t>The score comes from Hawthorn's county model, a regularized logistic regression whose traits were chosen from nine candidates by a pre-registered stability rule and validated with five-fold cross-validation repeated five times. Every county is scored out of fold, and a cross-fitted recalibration keeps scores in line with observed rates (calibration slope 1.00). Across ten equal deciles of the 3,144 counties, the share with a severe restriction rises from 3.5 percent in the lowest to 65 percent in the highest. Harris is in the eighth.</w:t>
      </w:r>
    </w:p>
    <w:p>
      <w:pPr>
        <w:keepNext/>
        <w:spacing w:before="120" w:after="80"/>
      </w:pPr>
      <w:r>
        <w:rPr>
          <w:b/>
          <w:i/>
        </w:rPr>
        <w:t xml:space="preserve">Table 1 </w:t>
      </w:r>
      <w:r>
        <w:rPr>
          <w:i/>
        </w:rPr>
        <w:t>Hawthorn Intelligence Restriction Scale</w:t>
      </w:r>
      <w:r>
        <w:rPr>
          <w:rStyle w:val="FootnoteReference"/>
        </w:rPr>
        <w:footnoteReference w:id="3"/>
      </w:r>
    </w:p>
    <w:tbl>
      <w:tblPr>
        <w:tblStyle w:val="TableNormal"/>
        <w:tblW w:w="10080" w:type="dxa"/>
        <w:tblLayout w:type="fixed"/>
        <w:tblLook w:val="04A0" w:firstRow="1" w:lastRow="0" w:firstColumn="1" w:lastColumn="0" w:noHBand="0" w:noVBand="1"/>
      </w:tblPr>
      <w:tblGrid>
        <w:gridCol w:w="2000"/>
        <w:gridCol w:w="2600"/>
        <w:gridCol w:w="1600"/>
        <w:gridCol w:w="3880"/>
      </w:tblGrid>
      <w:tr>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Decile</w:t>
            </w:r>
          </w:p>
        </w:tc>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Score range</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Counties</w:t>
            </w:r>
          </w:p>
        </w:tc>
        <w:tc>
          <w:tcPr>
            <w:tcW w:w="38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Share with a severe restriction</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 (lowest)</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0.015 to 0.063</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3.5%</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0.063 to 0.083</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6.4%</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0.083 to 0.105</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7.0%</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0.105 to 0.131</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13.3%</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0.131 to 0.164</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15.9%</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0.164 to 0.210</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20.4%</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0.210 to 0.279</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28.3%</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8: Harris</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0.280 to 0.386</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33.4%</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0.386 to 0.546</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44.3%</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10 (highest)</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0.546 to 0.930</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65.1%</w:t>
            </w:r>
          </w:p>
        </w:tc>
      </w:tr>
    </w:tbl>
    <w:p>
      <w:pPr>
        <w:spacing w:after="40"/>
      </w:pPr>
    </w:p>
    <w:p>
      <w:pPr>
        <w:keepNext/>
        <w:spacing w:before="120" w:after="80"/>
      </w:pPr>
      <w:r>
        <w:rPr>
          <w:b/>
          <w:i/>
        </w:rPr>
        <w:t xml:space="preserve">Table 2 </w:t>
      </w:r>
      <w:r>
        <w:rPr>
          <w:i/>
        </w:rPr>
        <w:t>Harris against national, state and peer benchmarks</w:t>
      </w:r>
      <w:r>
        <w:rPr>
          <w:rStyle w:val="FootnoteReference"/>
        </w:rPr>
        <w:footnoteReference w:id="4"/>
      </w:r>
    </w:p>
    <w:tbl>
      <w:tblPr>
        <w:tblStyle w:val="TableNormal"/>
        <w:tblW w:w="10080" w:type="dxa"/>
        <w:tblLayout w:type="fixed"/>
        <w:tblLook w:val="04A0" w:firstRow="1" w:lastRow="0" w:firstColumn="1" w:lastColumn="0" w:noHBand="0" w:noVBand="1"/>
      </w:tblPr>
      <w:tblGrid>
        <w:gridCol w:w="3280"/>
        <w:gridCol w:w="1700"/>
        <w:gridCol w:w="1700"/>
        <w:gridCol w:w="1700"/>
        <w:gridCol w:w="1700"/>
      </w:tblGrid>
      <w:tr>
        <w:trPr>
          <w:cantSplit/>
          <w:tblHeader/>
        </w:trPr>
        <w:tc>
          <w:tcPr>
            <w:tcW w:w="32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Measure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Harris</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U.S. percentile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TX percentile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Peer median</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Restriction score</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0.36</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0.39</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Opposition records (this review)</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100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Records per 100,000 residents</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56</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82</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Interconnection requests, MW (model input)</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7,779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97</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96</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2,679</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Operating solar, MW</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136</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125</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Operating wind, MW</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32</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Population (model input)</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4,838,303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100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100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2,117,366</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Residents per square mile</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2,834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1,659</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Median household income</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$74,983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$79,630</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Bachelor's degree or higher</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34.2%</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35.9%</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2024 presidential margin</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D+5.5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88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96</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D+11.7</w:t>
            </w:r>
          </w:p>
        </w:tc>
      </w:tr>
    </w:tbl>
    <w:p>
      <w:pPr>
        <w:spacing w:after="40"/>
      </w:pPr>
    </w:p>
    <w:p>
      <w:pPr>
        <w:spacing w:after="200"/>
      </w:pPr>
      <w:r>
        <w:t>Against the average U.S. county, Harris's population and interconnection queue account for about two-thirds of the movement in its score. Its neighbors pull the other way: one of seven has a severe restriction on record. Its partisan margin contributes nothing, because the 2024 margin did not keep a stable sign across the model's cross-validation folds and was dropped.</w:t>
      </w:r>
    </w:p>
    <w:p>
      <w:pPr>
        <w:keepNext/>
        <w:spacing w:before="120" w:after="80"/>
      </w:pPr>
      <w:r>
        <w:rPr>
          <w:b/>
          <w:i/>
        </w:rPr>
        <w:t xml:space="preserve">Table 3 </w:t>
      </w:r>
      <w:r>
        <w:rPr>
          <w:i/>
        </w:rPr>
        <w:t>Contribution of each model trait to Harris's score</w:t>
      </w:r>
      <w:r>
        <w:rPr>
          <w:rStyle w:val="FootnoteReference"/>
        </w:rPr>
        <w:footnoteReference w:id="5"/>
      </w:r>
    </w:p>
    <w:tbl>
      <w:tblPr>
        <w:tblStyle w:val="TableNormal"/>
        <w:tblW w:w="10080" w:type="dxa"/>
        <w:tblLayout w:type="fixed"/>
        <w:tblLook w:val="04A0" w:firstRow="1" w:lastRow="0" w:firstColumn="1" w:lastColumn="0" w:noHBand="0" w:noVBand="1"/>
      </w:tblPr>
      <w:tblGrid>
        <w:gridCol w:w="2600"/>
        <w:gridCol w:w="2000"/>
        <w:gridCol w:w="1500"/>
        <w:gridCol w:w="900"/>
        <w:gridCol w:w="1400"/>
        <w:gridCol w:w="1680"/>
      </w:tblGrid>
      <w:tr>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County trait</w:t>
            </w:r>
          </w:p>
        </w:tc>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Harris (U.S. average)</w:t>
            </w:r>
          </w:p>
        </w:tc>
        <w:tc>
          <w:tcPr>
            <w:tcW w:w="15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Model direction</w:t>
            </w:r>
          </w:p>
        </w:tc>
        <w:tc>
          <w:tcPr>
            <w:tcW w:w="9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Trust tier</w:t>
            </w:r>
          </w:p>
        </w:tc>
        <w:tc>
          <w:tcPr>
            <w:tcW w:w="14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Lift (log-odds)</w:t>
            </w:r>
          </w:p>
        </w:tc>
        <w:tc>
          <w:tcPr>
            <w:tcW w:w="16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Share of movement</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Population</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4,838,303 (28,995)</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+0.59</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47%</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Interconnection requests (MW)</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7,779 (177)</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+0.26</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21%</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Neighbors with a severe restriction</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14% (24%)</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-0.25</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20%</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Median household income</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$74,983 ($65,870)</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+0.12</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Operating wind capacity</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 (1.3)</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-0.04</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3%</w:t>
            </w:r>
          </w:p>
        </w:tc>
      </w:tr>
    </w:tbl>
    <w:p>
      <w:pPr>
        <w:spacing w:after="40"/>
      </w:pPr>
    </w:p>
    <w:p>
      <w:pPr>
        <w:spacing w:after="200"/>
      </w:pPr>
      <w:r>
        <w:t>Harris's record is in line with its profile. Its structural peers (other U.S. counties matched on population, density, education and 2024 margin)</w:t>
      </w:r>
      <w:r>
        <w:rPr>
          <w:rStyle w:val="FootnoteReference"/>
        </w:rPr>
        <w:footnoteReference w:id="6"/>
      </w:r>
      <w:r>
        <w:t xml:space="preserve"> have a median score of 0.39, and five of the ten have a severe restriction on record. Harris's five records put it in the 95</w:t>
      </w:r>
      <w:r>
        <w:rPr>
          <w:vertAlign w:val="superscript"/>
        </w:rPr>
        <w:t>th</w:t>
      </w:r>
      <w:r>
        <w:t xml:space="preserve"> percentile nationally by count; spread across five million residents, they come to 0.1 per 100,000, the 56</w:t>
      </w:r>
      <w:r>
        <w:rPr>
          <w:vertAlign w:val="superscript"/>
        </w:rPr>
        <w:t>th</w:t>
      </w:r>
      <w:r>
        <w:t xml:space="preserve"> percentile.</w:t>
      </w:r>
    </w:p>
    <w:p>
      <w:pPr>
        <w:spacing w:after="200"/>
      </w:pPr>
      <w:r>
        <w:rPr>
          <w:b/>
        </w:rPr>
        <w:t>Comparable outcomes:</w:t>
      </w:r>
      <w:r>
        <w:t xml:space="preserve"> The platform records few decided contested projects in Texas, mostly rural wind and solar fights. Around Houston, battery outcomes have split: Tomball (2023) and Katy (2024, in Waller County) denied projects near homes; Baytown (2025) and League City (2024) approved projects with conditions; and the large industrial-site projects in Houston and unincorporated Harris advanced without a recorded fight.</w:t>
      </w:r>
    </w:p>
    <w:p>
      <w:pPr>
        <w:keepNext/>
        <w:spacing w:before="120" w:after="80"/>
      </w:pPr>
      <w:r>
        <w:rPr>
          <w:b/>
          <w:i/>
        </w:rPr>
        <w:t xml:space="preserve">Table 4 </w:t>
      </w:r>
      <w:r>
        <w:rPr>
          <w:i/>
        </w:rPr>
        <w:t>Neighboring counties</w:t>
      </w:r>
      <w:r>
        <w:rPr>
          <w:rStyle w:val="FootnoteReference"/>
        </w:rPr>
        <w:footnoteReference w:id="7"/>
      </w:r>
    </w:p>
    <w:tbl>
      <w:tblPr>
        <w:tblStyle w:val="TableNormal"/>
        <w:tblW w:w="10080" w:type="dxa"/>
        <w:tblLayout w:type="fixed"/>
        <w:tblLook w:val="04A0" w:firstRow="1" w:lastRow="0" w:firstColumn="1" w:lastColumn="0" w:noHBand="0" w:noVBand="1"/>
      </w:tblPr>
      <w:tblGrid>
        <w:gridCol w:w="2000"/>
        <w:gridCol w:w="1500"/>
        <w:gridCol w:w="1700"/>
        <w:gridCol w:w="1500"/>
        <w:gridCol w:w="1800"/>
        <w:gridCol w:w="1580"/>
      </w:tblGrid>
      <w:tr>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Neighboring county</w:t>
            </w:r>
          </w:p>
        </w:tc>
        <w:tc>
          <w:tcPr>
            <w:tcW w:w="15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Restriction score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Severe restriction on record</w:t>
            </w:r>
          </w:p>
        </w:tc>
        <w:tc>
          <w:tcPr>
            <w:tcW w:w="15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Opposition records</w:t>
            </w:r>
          </w:p>
        </w:tc>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Interconnection requests, MW</w:t>
            </w:r>
          </w:p>
        </w:tc>
        <w:tc>
          <w:tcPr>
            <w:tcW w:w="15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Population</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Fort Bend, TX</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0.72</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4,352</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893,767</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Montgomery, TX</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0.45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623</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684,432</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Galveston, TX</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0.43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3,098</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358,990</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Brazoria, TX</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15,471</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391,255</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Chambers, TX</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1,181</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51,498</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Waller, TX</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yes</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2,275</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61,552</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Liberty, TX</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0.20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2,583</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103,380</w:t>
            </w:r>
          </w:p>
        </w:tc>
      </w:tr>
    </w:tbl>
    <w:p>
      <w:pPr>
        <w:spacing w:after="40"/>
      </w:pPr>
    </w:p>
    <w:p>
      <w:pPr>
        <w:pStyle w:val="Heading2"/>
        <w:spacing w:before="240" w:after="80"/>
      </w:pPr>
      <w:r>
        <w:t>How to Read Hawthorn Intelligence Reports</w:t>
      </w:r>
    </w:p>
    <w:p>
      <w:pPr>
        <w:spacing w:after="200"/>
      </w:pPr>
      <w:r>
        <w:rPr>
          <w:b/>
        </w:rPr>
        <w:t>County Restriction Score and decile:</w:t>
      </w:r>
      <w:r>
        <w:t xml:space="preserve"> A calibrated 0 to 1 measure of how closely a county resembles counties that have enacted severe wind, solar or battery-storage restrictions (an explicit moratorium or ban, or terms likely to act as one, such as a solar or storage setback of 1,000 feet or more). It is reported with its likely range and national decile (Table 1). It describes county profiles, not any specific project, and its drivers are predictive associations, not causes.</w:t>
      </w:r>
    </w:p>
    <w:p>
      <w:pPr>
        <w:spacing w:after="200"/>
      </w:pPr>
      <w:r>
        <w:rPr>
          <w:b/>
        </w:rPr>
        <w:t>Evidence status:</w:t>
      </w:r>
      <w:r>
        <w:t xml:space="preserve"> How thoroughly a county's restriction record has been checked against the instruments themselves. It describes verification effort, not the likelihood of a restriction.</w:t>
      </w:r>
    </w:p>
    <w:p>
      <w:pPr>
        <w:keepNext/>
        <w:spacing w:before="120" w:after="80"/>
      </w:pPr>
      <w:r>
        <w:rPr>
          <w:b/>
          <w:i/>
        </w:rPr>
        <w:t xml:space="preserve">Table 5 </w:t>
      </w:r>
      <w:r>
        <w:rPr>
          <w:i/>
        </w:rPr>
        <w:t>Evidence status</w:t>
      </w:r>
      <w:r>
        <w:rPr>
          <w:rStyle w:val="FootnoteReference"/>
        </w:rPr>
        <w:footnoteReference w:id="8"/>
      </w:r>
    </w:p>
    <w:tbl>
      <w:tblPr>
        <w:tblStyle w:val="TableNormal"/>
        <w:tblW w:w="10080" w:type="dxa"/>
        <w:tblLayout w:type="fixed"/>
        <w:tblLook w:val="04A0" w:firstRow="1" w:lastRow="0" w:firstColumn="1" w:lastColumn="0" w:noHBand="0" w:noVBand="1"/>
      </w:tblPr>
      <w:tblGrid>
        <w:gridCol w:w="1900"/>
        <w:gridCol w:w="6080"/>
        <w:gridCol w:w="2100"/>
      </w:tblGrid>
      <w:tr>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Status</w:t>
            </w:r>
          </w:p>
        </w:tc>
        <w:tc>
          <w:tcPr>
            <w:tcW w:w="60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Meaning</w:t>
            </w:r>
          </w:p>
        </w:tc>
        <w:tc>
          <w:tcPr>
            <w:tcW w:w="21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U.S. counties</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Verified (Harris)</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At least one restriction checked against the instrument itself or the minutes that adopted it</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72 (2.2%)</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Recorded</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Restrictions or contested projects on record from news, trackers or compiled databases, none yet read against the instrument</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1,340 (41.6%)</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Checked, none found</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A reviewed search of the county's codes, minutes and news found no restriction (graded A to C by independence of sources)</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 (0.1%)</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Unexamined</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No record and no documented check; absence of a record is not evidence of absence</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1,808 (56.1%)</w:t>
            </w:r>
          </w:p>
        </w:tc>
      </w:tr>
    </w:tbl>
    <w:p>
      <w:pPr>
        <w:spacing w:after="40"/>
      </w:pPr>
    </w:p>
    <w:p>
      <w:pPr>
        <w:spacing w:after="200"/>
      </w:pPr>
      <w:r>
        <w:rPr>
          <w:b/>
        </w:rPr>
        <w:t>Outcome tiers:</w:t>
      </w:r>
      <w:r>
        <w:t xml:space="preserve"> Project results, recorded by what happened. Only terminal dispositions count as decided; a vote that has not produced a final disposition stays pending.</w:t>
      </w:r>
    </w:p>
    <w:p>
      <w:pPr>
        <w:keepNext/>
        <w:spacing w:before="120" w:after="80"/>
      </w:pPr>
      <w:r>
        <w:rPr>
          <w:b/>
          <w:i/>
        </w:rPr>
        <w:t xml:space="preserve">Table 6 </w:t>
      </w:r>
      <w:r>
        <w:rPr>
          <w:i/>
        </w:rPr>
        <w:t>Outcome tiers</w:t>
      </w:r>
      <w:r>
        <w:rPr>
          <w:rStyle w:val="FootnoteReference"/>
        </w:rPr>
        <w:footnoteReference w:id="9"/>
      </w:r>
    </w:p>
    <w:tbl>
      <w:tblPr>
        <w:tblStyle w:val="TableNormal"/>
        <w:tblW w:w="10080" w:type="dxa"/>
        <w:tblLayout w:type="fixed"/>
        <w:tblLook w:val="04A0" w:firstRow="1" w:lastRow="0" w:firstColumn="1" w:lastColumn="0" w:noHBand="0" w:noVBand="1"/>
      </w:tblPr>
      <w:tblGrid>
        <w:gridCol w:w="2400"/>
        <w:gridCol w:w="4200"/>
        <w:gridCol w:w="3480"/>
      </w:tblGrid>
      <w:tr>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Outcome tier</w:t>
            </w:r>
          </w:p>
        </w:tc>
        <w:tc>
          <w:tcPr>
            <w:tcW w:w="42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Definition</w:t>
            </w:r>
          </w:p>
        </w:tc>
        <w:tc>
          <w:tcPr>
            <w:tcW w:w="34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Harris projects</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advanced_confirmed</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Terminal approval; the project may proceed</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None</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restricted_conditional</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Terminal approval carrying binding conditions</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Massey (Baytown, August 14, 2025: 200 feet from homes, wall, bufferyards); Claire (Baytown, November 13, 2025: 200 feet from homes, wall, bufferyards)</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blocked_confirmed</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Terminal stop: denied or withdrawn</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Black Mountain, Pitchford Road (Tomball, June 19, 2023)</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pending</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No terminal disposition yet</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AES Beacon and Sigma (Deepwater); other queued projects without a local decision</w:t>
            </w:r>
          </w:p>
        </w:tc>
      </w:tr>
    </w:tbl>
    <w:p>
      <w:pPr>
        <w:spacing w:after="40"/>
      </w:pPr>
    </w:p>
    <w:p>
      <w:pPr>
        <w:spacing w:after="200"/>
      </w:pPr>
      <w:r>
        <w:rPr>
          <w:b/>
        </w:rPr>
        <w:t>Trust tiers:</w:t>
      </w:r>
      <w:r>
        <w:t xml:space="preserve"> Model traits are tiered by exposure to detection bias. Tier 1 (operating wind capacity and interconnection requests, from federal and grid-operator records) carries the least. Tier 2 (neighbors' restrictions) inherits whatever the restriction record misses. Tier 3 (population and income) also tracks news coverage and is read with more caution (Table 3).</w:t>
      </w:r>
    </w:p>
    <w:p>
      <w:pPr>
        <w:pStyle w:val="Heading2"/>
        <w:spacing w:before="240" w:after="80"/>
      </w:pPr>
      <w:r>
        <w:t>Why developers are looking at Harris</w:t>
      </w:r>
    </w:p>
    <w:p>
      <w:pPr>
        <w:spacing w:after="200"/>
      </w:pPr>
      <w:r>
        <w:rPr>
          <w:b/>
        </w:rPr>
        <w:t>Power access:</w:t>
      </w:r>
      <w:r>
        <w:t xml:space="preserve"> Power-plant sites offer ready-made interconnections: Jupiter's Callisto projects sit on the former H.O. Clarke site, AES's Beacon and Sigma at the former Deepwater station, and Black Mountain's Outer Loop at the Greens Bayou plant, which still runs gas turbines. Demand is rising: CenterPoint has 12.2 GW of committed industrial load, </w:t>
      </w:r>
      <w:hyperlink r:id="rId13" w:history="1">
        <w:r>
          <w:rPr>
            <w:rStyle w:val="Hyperlink"/>
          </w:rPr>
          <w:t xml:space="preserve">expects</w:t>
        </w:r>
      </w:hyperlink>
      <w:r>
        <w:t xml:space="preserve"> 8 GW of data centers by 2029, and submitted more than 17 GW to ERCOT's </w:t>
      </w:r>
      <w:hyperlink r:id="rId17" w:history="1">
        <w:r>
          <w:rPr>
            <w:rStyle w:val="Hyperlink"/>
          </w:rPr>
          <w:t xml:space="preserve">"Batch Zero"</w:t>
        </w:r>
      </w:hyperlink>
      <w:r>
        <w:t xml:space="preserve"> large-load study. After Hurricane Beryl cut power to about 2.26 million CenterPoint customers in July 2024, the Public Utility Commission </w:t>
      </w:r>
      <w:hyperlink r:id="rId18" w:history="1">
        <w:r>
          <w:rPr>
            <w:rStyle w:val="Hyperlink"/>
          </w:rPr>
          <w:t xml:space="preserve">approved</w:t>
        </w:r>
      </w:hyperlink>
      <w:r>
        <w:t xml:space="preserve"> a roughly $2.7 billion resiliency plan, and in September 2026 the county broke ground on an </w:t>
      </w:r>
      <w:hyperlink r:id="rId19" w:history="1">
        <w:r>
          <w:rPr>
            <w:rStyle w:val="Hyperlink"/>
          </w:rPr>
          <w:t xml:space="preserve">$88 million community solar and storage program</w:t>
        </w:r>
      </w:hyperlink>
      <w:r>
        <w:t>.</w:t>
      </w:r>
    </w:p>
    <w:p>
      <w:pPr>
        <w:spacing w:after="200"/>
      </w:pPr>
      <w:r>
        <w:rPr>
          <w:b/>
        </w:rPr>
        <w:t>Land use</w:t>
      </w:r>
      <w:r>
        <w:t xml:space="preserve"> is where the friction is. We found no recorded opposition on industrial land such as H.O. Clarke. On suburban land, as with Claire's nine acres zoned Suburban Residential in Baytown, proximity to homes became the issue. Pasadena's 2025 code made the trade explicit: storage only near utility property and away from homes, schools and flood zones. Its 2026 fire code keeps the flood-zone bar and the distance from critical facilities but no longer names homes or schools.</w:t>
      </w:r>
    </w:p>
    <w:p>
      <w:pPr>
        <w:pStyle w:val="Heading2"/>
        <w:spacing w:before="240" w:after="80"/>
      </w:pPr>
      <w:r>
        <w:t>Restriction timeline</w:t>
      </w:r>
    </w:p>
    <w:p>
      <w:pPr>
        <w:pStyle w:val="ListParagraph"/>
        <w:numPr>
          <w:ilvl w:val="0"/>
          <w:numId w:val="9"/>
        </w:numPr>
        <w:spacing w:after="80"/>
      </w:pPr>
      <w:r>
        <w:t xml:space="preserve">June 19, 2023: Tomball City Council unanimously </w:t>
      </w:r>
      <w:hyperlink r:id="rId20" w:history="1">
        <w:r>
          <w:rPr>
            <w:rStyle w:val="Hyperlink"/>
          </w:rPr>
          <w:t xml:space="preserve">denies</w:t>
        </w:r>
      </w:hyperlink>
      <w:r>
        <w:t xml:space="preserve"> a conditional use permit for a Black Mountain Energy Storage battery on Pitchford Road.</w:t>
      </w:r>
    </w:p>
    <w:p>
      <w:pPr>
        <w:pStyle w:val="ListParagraph"/>
        <w:numPr>
          <w:ilvl w:val="0"/>
          <w:numId w:val="9"/>
        </w:numPr>
        <w:spacing w:after="80"/>
      </w:pPr>
      <w:r>
        <w:t xml:space="preserve">October 8, 2024: Pasadena City Council unanimously </w:t>
      </w:r>
      <w:hyperlink r:id="rId21" w:history="1">
        <w:r>
          <w:rPr>
            <w:rStyle w:val="Hyperlink"/>
          </w:rPr>
          <w:t xml:space="preserve">adopts</w:t>
        </w:r>
      </w:hyperlink>
      <w:r>
        <w:t xml:space="preserve"> Ordinance 2024-198, a 90-day moratorium on commercial battery permits in the city and its extraterritorial jurisdiction.</w:t>
      </w:r>
    </w:p>
    <w:p>
      <w:pPr>
        <w:pStyle w:val="ListParagraph"/>
        <w:numPr>
          <w:ilvl w:val="0"/>
          <w:numId w:val="9"/>
        </w:numPr>
        <w:spacing w:after="80"/>
      </w:pPr>
      <w:r>
        <w:t xml:space="preserve">January 7, 2025: Pasadena unanimously </w:t>
      </w:r>
      <w:hyperlink r:id="rId22" w:history="1">
        <w:r>
          <w:rPr>
            <w:rStyle w:val="Hyperlink"/>
          </w:rPr>
          <w:t xml:space="preserve">extends</w:t>
        </w:r>
      </w:hyperlink>
      <w:r>
        <w:t xml:space="preserve"> the moratorium 90 days (Ordinance 2025-001).</w:t>
      </w:r>
    </w:p>
    <w:p>
      <w:pPr>
        <w:pStyle w:val="ListParagraph"/>
        <w:numPr>
          <w:ilvl w:val="0"/>
          <w:numId w:val="9"/>
        </w:numPr>
        <w:spacing w:after="80"/>
      </w:pPr>
      <w:r>
        <w:t xml:space="preserve">April 1, 2025: Pasadena unanimously </w:t>
      </w:r>
      <w:hyperlink r:id="rId14" w:history="1">
        <w:r>
          <w:rPr>
            <w:rStyle w:val="Hyperlink"/>
          </w:rPr>
          <w:t xml:space="preserve">adopts</w:t>
        </w:r>
      </w:hyperlink>
      <w:r>
        <w:t xml:space="preserve"> Ordinance 2025-082, Article XII "Energy Storage Systems": five-acre cap, 500 feet from residences, 1,000 feet from critical facilities, special use permit with plume study.</w:t>
      </w:r>
    </w:p>
    <w:p>
      <w:pPr>
        <w:pStyle w:val="ListParagraph"/>
        <w:numPr>
          <w:ilvl w:val="0"/>
          <w:numId w:val="9"/>
        </w:numPr>
        <w:spacing w:after="80"/>
      </w:pPr>
      <w:r>
        <w:t xml:space="preserve">October 21, 2025: Pasadena unanimously </w:t>
      </w:r>
      <w:hyperlink r:id="rId23" w:history="1">
        <w:r>
          <w:rPr>
            <w:rStyle w:val="Hyperlink"/>
          </w:rPr>
          <w:t xml:space="preserve">adopts</w:t>
        </w:r>
      </w:hyperlink>
      <w:r>
        <w:t xml:space="preserve"> Ordinance 2025-205, the 2024 International Fire Code with local amendments, repealing Article XII and moving most of its limits into fire code Section 1208; it takes effect January 19, 2026.</w:t>
      </w:r>
    </w:p>
    <w:p>
      <w:pPr>
        <w:pStyle w:val="ListParagraph"/>
        <w:numPr>
          <w:ilvl w:val="0"/>
          <w:numId w:val="9"/>
        </w:numPr>
        <w:spacing w:after="80"/>
      </w:pPr>
      <w:r>
        <w:t xml:space="preserve">August 14, 2025: Baytown City Council </w:t>
      </w:r>
      <w:hyperlink r:id="rId24" w:history="1">
        <w:r>
          <w:rPr>
            <w:rStyle w:val="Hyperlink"/>
          </w:rPr>
          <w:t xml:space="preserve">approves</w:t>
        </w:r>
      </w:hyperlink>
      <w:r>
        <w:t xml:space="preserve"> the 100 MW Massey project 7-0, after labor groups raised safety concerns and asked for a delay.</w:t>
      </w:r>
    </w:p>
    <w:p>
      <w:pPr>
        <w:pStyle w:val="ListParagraph"/>
        <w:numPr>
          <w:ilvl w:val="0"/>
          <w:numId w:val="9"/>
        </w:numPr>
        <w:spacing w:after="80"/>
      </w:pPr>
      <w:r>
        <w:t>September 1, 2025: State laws HB 3809 (battery decommissioning) and HB 3824 (battery fire safety, with limits on inconsistent local rules) take effect.</w:t>
      </w:r>
    </w:p>
    <w:p>
      <w:pPr>
        <w:pStyle w:val="ListParagraph"/>
        <w:numPr>
          <w:ilvl w:val="0"/>
          <w:numId w:val="9"/>
        </w:numPr>
        <w:spacing w:after="80"/>
      </w:pPr>
      <w:r>
        <w:t xml:space="preserve">November 13, 2025: Baytown </w:t>
      </w:r>
      <w:hyperlink r:id="rId25" w:history="1">
        <w:r>
          <w:rPr>
            <w:rStyle w:val="Hyperlink"/>
          </w:rPr>
          <w:t xml:space="preserve">approves</w:t>
        </w:r>
      </w:hyperlink>
      <w:r>
        <w:t xml:space="preserve"> the 406 MW Claire project in a Suburban Residential zone, 4-3.</w:t>
      </w:r>
    </w:p>
    <w:p>
      <w:pPr>
        <w:pStyle w:val="ListParagraph"/>
        <w:numPr>
          <w:ilvl w:val="0"/>
          <w:numId w:val="9"/>
        </w:numPr>
        <w:spacing w:after="80"/>
      </w:pPr>
      <w:r>
        <w:t xml:space="preserve">April 23, 2026: Harris County Fire Marshal Laurie Christensen, for Commissioners Court, </w:t>
      </w:r>
      <w:hyperlink r:id="rId26" w:history="1">
        <w:r>
          <w:rPr>
            <w:rStyle w:val="Hyperlink"/>
          </w:rPr>
          <w:t xml:space="preserve">asks</w:t>
        </w:r>
      </w:hyperlink>
      <w:r>
        <w:t xml:space="preserve"> a House committee for statewide NFPA 855-based standards.</w:t>
      </w:r>
    </w:p>
    <w:p>
      <w:pPr>
        <w:spacing w:after="200"/>
      </w:pPr>
      <w:r>
        <w:rPr>
          <w:b/>
        </w:rPr>
        <w:t>How the state law was written:</w:t>
      </w:r>
      <w:r>
        <w:t xml:space="preserve"> HB 3824, signed June 20, 2025, directs the Commissioner of Insurance to adopt fire standards "based solely on" UL and NFPA 855 for batteries of 1 MWh or more entering service on or after January 1, 2027, and </w:t>
      </w:r>
      <w:hyperlink r:id="rId27" w:history="1">
        <w:r>
          <w:rPr>
            <w:rStyle w:val="Hyperlink"/>
          </w:rPr>
          <w:t xml:space="preserve">provides</w:t>
        </w:r>
      </w:hyperlink>
      <w:r>
        <w:t xml:space="preserve"> that, unless another statute expressly authorizes it, "a municipality or county may not adopt, enforce, or maintain an ordinance, order, or rule regulating conduct in a field of regulation that is inconsistent with the standards." Pasadena's fire code now carries both fire-design rules and land-use siting limits. Which parts survive depends on the department's final rules, still an </w:t>
      </w:r>
      <w:hyperlink r:id="rId28" w:history="1">
        <w:r>
          <w:rPr>
            <w:rStyle w:val="Hyperlink"/>
          </w:rPr>
          <w:t xml:space="preserve">informal working draft</w:t>
        </w:r>
      </w:hyperlink>
      <w:r>
        <w:t xml:space="preserve"> on October 16, 2026.</w:t>
      </w:r>
    </w:p>
    <w:p>
      <w:pPr>
        <w:pStyle w:val="Heading2"/>
        <w:spacing w:before="240" w:after="80"/>
      </w:pPr>
      <w:r>
        <w:t>Project outcomes</w:t>
      </w:r>
    </w:p>
    <w:p>
      <w:pPr>
        <w:pStyle w:val="ListParagraph"/>
        <w:numPr>
          <w:ilvl w:val="0"/>
          <w:numId w:val="18"/>
        </w:numPr>
        <w:spacing w:after="80"/>
      </w:pPr>
      <w:r>
        <w:rPr>
          <w:b/>
        </w:rPr>
        <w:t>Claire BESS</w:t>
      </w:r>
      <w:r>
        <w:t xml:space="preserve"> (Balanced Rock Power; BRP Blue Topaz 3 LLC): 1010 Bob Smith Road, Baytown, interconnecting at Cedar Bayou 138 kV. Planning commission </w:t>
      </w:r>
      <w:hyperlink r:id="rId29" w:history="1">
        <w:r>
          <w:rPr>
            <w:rStyle w:val="Hyperlink"/>
          </w:rPr>
          <w:t xml:space="preserve">recommended approval</w:t>
        </w:r>
      </w:hyperlink>
      <w:r>
        <w:t xml:space="preserve"> on November 11, 2025, with two commissioners voting no; council approved it 4-3 on November 13 (yes: Alvarado, Powell, Lester, Franco). The developer projects more than $40 million in property taxes over 20 years; ERCOT data list a projected commercial operation date of December 2027.</w:t>
      </w:r>
    </w:p>
    <w:p>
      <w:pPr>
        <w:pStyle w:val="ListParagraph"/>
        <w:numPr>
          <w:ilvl w:val="0"/>
          <w:numId w:val="18"/>
        </w:numPr>
        <w:spacing w:after="80"/>
      </w:pPr>
      <w:r>
        <w:rPr>
          <w:b/>
        </w:rPr>
        <w:t>Massey Energy Storage</w:t>
      </w:r>
      <w:r>
        <w:t xml:space="preserve"> (Cypress Creek Renewables): about 15.5 acres at 2015 Massey Tompkins Road, Baytown; on August 14, 2025 the council rezoned about 10 acres to General Commercial and granted a special use permit for the site. We found no record of the signature drive mentioned at the hearing in the city's council packets through December 2025. The landowner told the city the project would pay more than $10 million in taxes to Baytown over its life.</w:t>
      </w:r>
    </w:p>
    <w:p>
      <w:pPr>
        <w:pStyle w:val="ListParagraph"/>
        <w:numPr>
          <w:ilvl w:val="0"/>
          <w:numId w:val="18"/>
        </w:numPr>
        <w:spacing w:after="80"/>
      </w:pPr>
      <w:r>
        <w:rPr>
          <w:b/>
        </w:rPr>
        <w:t>Pitchford Road BESS</w:t>
      </w:r>
      <w:r>
        <w:t xml:space="preserve"> (Black Mountain Energy Storage; landowner Michael Kirtley), Tomball: the council rezoned the land to light industrial but denied the conditional use permit on June 19, 2023; size not reported.</w:t>
      </w:r>
    </w:p>
    <w:p>
      <w:pPr>
        <w:pStyle w:val="ListParagraph"/>
        <w:numPr>
          <w:ilvl w:val="0"/>
          <w:numId w:val="18"/>
        </w:numPr>
        <w:spacing w:after="80"/>
      </w:pPr>
      <w:r>
        <w:rPr>
          <w:b/>
        </w:rPr>
        <w:t>AES Beacon and Sigma Storage</w:t>
      </w:r>
      <w:r>
        <w:t>: about 408 MW each at the Deepwater 345 kV and 138 kV substations in the Pasadena area, in ERCOT study with operation projected for October 2029; no local decision recorded.</w:t>
      </w:r>
    </w:p>
    <w:p>
      <w:pPr>
        <w:pStyle w:val="Heading2"/>
        <w:spacing w:before="240" w:after="80"/>
      </w:pPr>
      <w:r>
        <w:t>Opposition</w:t>
      </w:r>
    </w:p>
    <w:p>
      <w:pPr>
        <w:spacing w:after="200"/>
      </w:pPr>
      <w:r>
        <w:t xml:space="preserve">Organized groups on record: none specific to Harris County. Opponents on record are Laborers International Union Local 350, which with IBEW Local 527 and the Texas Climate Jobs Project </w:t>
      </w:r>
      <w:hyperlink r:id="rId30" w:history="1">
        <w:r>
          <w:rPr>
            <w:rStyle w:val="Hyperlink"/>
          </w:rPr>
          <w:t xml:space="preserve">asked</w:t>
        </w:r>
      </w:hyperlink>
      <w:r>
        <w:t xml:space="preserve"> Baytown in July 2025 to postpone the Massey permit, and residents near the Claire site in Baytown. Concerns include fire and explosion risk, toxic smoke and gas, proximity to homes, and fire department response. Waller County Judge Trey Duhon has </w:t>
      </w:r>
      <w:hyperlink r:id="rId31" w:history="1">
        <w:r>
          <w:rPr>
            <w:rStyle w:val="Hyperlink"/>
          </w:rPr>
          <w:t xml:space="preserve">promoted</w:t>
        </w:r>
      </w:hyperlink>
      <w:r>
        <w:t xml:space="preserve"> sub-regional planning commissions under Chapter 391 of the Local Government Code as a way for counties to resist battery projects.</w:t>
      </w:r>
    </w:p>
    <w:p>
      <w:pPr>
        <w:pStyle w:val="Heading2"/>
        <w:spacing w:before="240" w:after="80"/>
      </w:pPr>
      <w:r>
        <w:t>Local Context</w:t>
      </w:r>
    </w:p>
    <w:p>
      <w:pPr>
        <w:spacing w:after="200"/>
      </w:pPr>
      <w:r>
        <w:t xml:space="preserve">County Judge Lina Hidalgo (D) is not seeking a third term. Former Houston City Council members Letitia Plummer (D) and Orlando Sanchez (R) meet on November 3, 2026; a University of Houston Hobby School </w:t>
      </w:r>
      <w:hyperlink r:id="rId32" w:history="1">
        <w:r>
          <w:rPr>
            <w:rStyle w:val="Hyperlink"/>
          </w:rPr>
          <w:t xml:space="preserve">poll</w:t>
        </w:r>
      </w:hyperlink>
      <w:r>
        <w:t xml:space="preserve"> fielded October 3 to 8 had Plummer at 47 percent and Sanchez at 40. Energy and storage were not among the polled issues; crime, property taxes and voting rights ranked highest. Both candidates have backed "community lighthouses" for power and cooling during outages; neither has stated a position on battery siting. Commissioners Adrian Garcia (Precinct 2) and Lesley Briones (Precinct 4) are also on the ballot.</w:t>
      </w:r>
    </w:p>
    <w:p>
      <w:pPr>
        <w:spacing w:after="200"/>
      </w:pPr>
      <w:r>
        <w:t>In Pasadena, Thomas Schoenbein, who moved or seconded both moratorium ordinances as a councilmember, was elected mayor in 2025.</w:t>
      </w:r>
    </w:p>
    <w:p>
      <w:pPr>
        <w:pStyle w:val="Heading2"/>
        <w:spacing w:before="240" w:after="80"/>
      </w:pPr>
      <w:r>
        <w:t>State Context</w:t>
      </w:r>
    </w:p>
    <w:p>
      <w:pPr>
        <w:spacing w:after="200"/>
      </w:pPr>
      <w:r>
        <w:t xml:space="preserve">Texas has no state siting permit for wind, solar or storage plants, and the 2025 session left that unchanged. SB 819, which would have required one for renewable plants of 10 MW or more, passed the Senate and </w:t>
      </w:r>
      <w:hyperlink r:id="rId33" w:history="1">
        <w:r>
          <w:rPr>
            <w:rStyle w:val="Hyperlink"/>
          </w:rPr>
          <w:t xml:space="preserve">died</w:t>
        </w:r>
      </w:hyperlink>
      <w:r>
        <w:t xml:space="preserve"> in House State Affairs, as did SB 388 and SB 715. What passed was storage-specific: HB 3809 adds decommissioning and financial-assurance terms to battery leases signed from September 1, 2025, and HB 3824 creates state fire standards for batteries entering service from 2027 and limits local rules inconsistent with them. SB 6 changes how large loads such as data centers connect to the ERCOT grid.</w:t>
      </w:r>
    </w:p>
    <w:p>
      <w:pPr>
        <w:spacing w:after="200"/>
      </w:pPr>
      <w:r>
        <w:t xml:space="preserve">The House State Affairs Committee held an interim hearing on battery safety on April 23, 2026, where most of the roughly 180 </w:t>
      </w:r>
      <w:hyperlink r:id="rId26" w:history="1">
        <w:r>
          <w:rPr>
            <w:rStyle w:val="Hyperlink"/>
          </w:rPr>
          <w:t xml:space="preserve">public comments</w:t>
        </w:r>
      </w:hyperlink>
      <w:r>
        <w:t xml:space="preserve"> came from small towns; the Senate Natural Resources Committee took up wind and solar decommissioning in September 2026. The </w:t>
      </w:r>
      <w:hyperlink r:id="rId34" w:history="1">
        <w:r>
          <w:rPr>
            <w:rStyle w:val="Hyperlink"/>
          </w:rPr>
          <w:t xml:space="preserve">Advanced Power Alliance</w:t>
        </w:r>
      </w:hyperlink>
      <w:r>
        <w:t>, for the industry, argues the 2025 laws "strike the right balance"; the Republican Party of Texas has called for tighter limits.</w:t>
      </w:r>
    </w:p>
    <w:p>
      <w:pPr>
        <w:pStyle w:val="Heading2"/>
        <w:spacing w:before="240" w:after="80"/>
      </w:pPr>
      <w:r>
        <w:t>Sources</w:t>
      </w:r>
    </w:p>
    <w:p>
      <w:pPr>
        <w:spacing w:after="40"/>
      </w:pPr>
      <w:r>
        <w:rPr>
          <w:sz w:val="16"/>
        </w:rPr>
        <w:t xml:space="preserve">S1. U.S. Census Bureau, Vintage 2025 county population estimates. </w:t>
      </w:r>
      <w:hyperlink r:id="rId9" w:history="1">
        <w:r>
          <w:rPr>
            <w:rStyle w:val="Hyperlink"/>
            <w:sz w:val="16"/>
            <w:szCs w:val="16"/>
          </w:rPr>
          <w:t xml:space="preserve">https://www2.census.gov/programs-surveys/popest/datasets/2020-2025/counties/totals/co-est2025-alldata.csv</w:t>
        </w:r>
      </w:hyperlink>
    </w:p>
    <w:p>
      <w:pPr>
        <w:spacing w:after="40"/>
      </w:pPr>
      <w:r>
        <w:rPr>
          <w:sz w:val="16"/>
        </w:rPr>
        <w:t>S2. U.S. Census Bureau, American Community Survey 2020-2024 5-year estimates (B19013, S1501), via pricephillips/renewable-opposition county_covariates.csv.</w:t>
      </w:r>
    </w:p>
    <w:p>
      <w:pPr>
        <w:spacing w:after="40"/>
      </w:pPr>
      <w:r>
        <w:rPr>
          <w:sz w:val="16"/>
        </w:rPr>
        <w:t xml:space="preserve">S3. MIT Election Data and Science Lab, County Presidential Election Returns 2000-2024, doi:10.7910/DVN/VOQCHQ. </w:t>
      </w:r>
      <w:hyperlink r:id="rId10" w:history="1">
        <w:r>
          <w:rPr>
            <w:rStyle w:val="Hyperlink"/>
            <w:sz w:val="16"/>
            <w:szCs w:val="16"/>
          </w:rPr>
          <w:t xml:space="preserve">https://electionlab.mit.edu/data</w:t>
        </w:r>
      </w:hyperlink>
    </w:p>
    <w:p>
      <w:pPr>
        <w:spacing w:after="40"/>
      </w:pPr>
      <w:r>
        <w:rPr>
          <w:sz w:val="16"/>
        </w:rPr>
        <w:t xml:space="preserve">S4. U.S. Energy Information Administration, Preliminary Monthly Electric Generator Inventory (EIA-860M), August 2026. </w:t>
      </w:r>
      <w:hyperlink r:id="rId11" w:history="1">
        <w:r>
          <w:rPr>
            <w:rStyle w:val="Hyperlink"/>
            <w:sz w:val="16"/>
            <w:szCs w:val="16"/>
          </w:rPr>
          <w:t xml:space="preserve">https://www.eia.gov/electricity/data/eia860m/</w:t>
        </w:r>
      </w:hyperlink>
    </w:p>
    <w:p>
      <w:pPr>
        <w:spacing w:after="40"/>
      </w:pPr>
      <w:r>
        <w:rPr>
          <w:sz w:val="16"/>
        </w:rPr>
        <w:t xml:space="preserve">S5. Quicksand Check, Harris County, TX: 33 Solar, Wind &amp; Storage Projects (summary of ERCOT GIS report, September 2026). </w:t>
      </w:r>
      <w:hyperlink r:id="rId12" w:history="1">
        <w:r>
          <w:rPr>
            <w:rStyle w:val="Hyperlink"/>
            <w:sz w:val="16"/>
            <w:szCs w:val="16"/>
          </w:rPr>
          <w:t xml:space="preserve">https://quicksandcheck.com/texas/harris-county/</w:t>
        </w:r>
      </w:hyperlink>
    </w:p>
    <w:p>
      <w:pPr>
        <w:spacing w:after="40"/>
      </w:pPr>
      <w:r>
        <w:rPr>
          <w:sz w:val="16"/>
        </w:rPr>
        <w:t xml:space="preserve">S6. City of Pasadena, City Council minutes, Oct. 1, 2024. </w:t>
      </w:r>
      <w:hyperlink r:id="rId35" w:history="1">
        <w:r>
          <w:rPr>
            <w:rStyle w:val="Hyperlink"/>
            <w:sz w:val="16"/>
            <w:szCs w:val="16"/>
          </w:rPr>
          <w:t xml:space="preserve">https://www.pasadenatx.gov/AgendaCenter/ViewFile/Minutes/_10012024-531</w:t>
        </w:r>
      </w:hyperlink>
    </w:p>
    <w:p>
      <w:pPr>
        <w:spacing w:after="40"/>
      </w:pPr>
      <w:r>
        <w:rPr>
          <w:sz w:val="16"/>
        </w:rPr>
        <w:t xml:space="preserve">S7. City of Pasadena, City Council minutes, Oct. 8, 2024. </w:t>
      </w:r>
      <w:hyperlink r:id="rId21" w:history="1">
        <w:r>
          <w:rPr>
            <w:rStyle w:val="Hyperlink"/>
            <w:sz w:val="16"/>
            <w:szCs w:val="16"/>
          </w:rPr>
          <w:t xml:space="preserve">https://www.pasadenatx.gov/AgendaCenter/ViewFile/Minutes/_10082024-533</w:t>
        </w:r>
      </w:hyperlink>
    </w:p>
    <w:p>
      <w:pPr>
        <w:spacing w:after="40"/>
      </w:pPr>
      <w:r>
        <w:rPr>
          <w:sz w:val="16"/>
        </w:rPr>
        <w:t xml:space="preserve">S8. City of Pasadena, agenda packet with Ordinance 2025-001, Jan. 6, 2025. </w:t>
      </w:r>
      <w:hyperlink r:id="rId36" w:history="1">
        <w:r>
          <w:rPr>
            <w:rStyle w:val="Hyperlink"/>
            <w:sz w:val="16"/>
            <w:szCs w:val="16"/>
          </w:rPr>
          <w:t xml:space="preserve">https://www.pasadenatx.gov/AgendaCenter/ViewFile/Agenda/_01062025-552</w:t>
        </w:r>
      </w:hyperlink>
    </w:p>
    <w:p>
      <w:pPr>
        <w:spacing w:after="40"/>
      </w:pPr>
      <w:r>
        <w:rPr>
          <w:sz w:val="16"/>
        </w:rPr>
        <w:t xml:space="preserve">S9. City of Pasadena, City Council minutes, Jan. 7, 2025. </w:t>
      </w:r>
      <w:hyperlink r:id="rId22" w:history="1">
        <w:r>
          <w:rPr>
            <w:rStyle w:val="Hyperlink"/>
            <w:sz w:val="16"/>
            <w:szCs w:val="16"/>
          </w:rPr>
          <w:t xml:space="preserve">https://www.pasadenatx.gov/AgendaCenter/ViewFile/Minutes/_01072025-553</w:t>
        </w:r>
      </w:hyperlink>
    </w:p>
    <w:p>
      <w:pPr>
        <w:spacing w:after="40"/>
      </w:pPr>
      <w:r>
        <w:rPr>
          <w:sz w:val="16"/>
        </w:rPr>
        <w:t xml:space="preserve">S10. City of Pasadena, agenda packet with Ordinance 2025-082 and Article XII, Mar. 18, 2025. </w:t>
      </w:r>
      <w:hyperlink r:id="rId37" w:history="1">
        <w:r>
          <w:rPr>
            <w:rStyle w:val="Hyperlink"/>
            <w:sz w:val="16"/>
            <w:szCs w:val="16"/>
          </w:rPr>
          <w:t xml:space="preserve">https://www.pasadenatx.gov/AgendaCenter/ViewFile/Agenda/_03182025-571</w:t>
        </w:r>
      </w:hyperlink>
    </w:p>
    <w:p>
      <w:pPr>
        <w:spacing w:after="40"/>
      </w:pPr>
      <w:r>
        <w:rPr>
          <w:sz w:val="16"/>
        </w:rPr>
        <w:t xml:space="preserve">S11. City of Pasadena, City Council minutes, Apr. 1, 2025. </w:t>
      </w:r>
      <w:hyperlink r:id="rId14" w:history="1">
        <w:r>
          <w:rPr>
            <w:rStyle w:val="Hyperlink"/>
            <w:sz w:val="16"/>
            <w:szCs w:val="16"/>
          </w:rPr>
          <w:t xml:space="preserve">https://www.pasadenatx.gov/AgendaCenter/ViewFile/Minutes/_04012025-574</w:t>
        </w:r>
      </w:hyperlink>
    </w:p>
    <w:p>
      <w:pPr>
        <w:spacing w:after="40"/>
      </w:pPr>
      <w:r>
        <w:rPr>
          <w:sz w:val="16"/>
        </w:rPr>
        <w:t xml:space="preserve">S12. City of Pasadena, City Council agenda, Oct. 20, 2026. </w:t>
      </w:r>
      <w:hyperlink r:id="rId38" w:history="1">
        <w:r>
          <w:rPr>
            <w:rStyle w:val="Hyperlink"/>
            <w:sz w:val="16"/>
            <w:szCs w:val="16"/>
          </w:rPr>
          <w:t xml:space="preserve">https://www.pasadenatx.gov/AgendaCenter/ViewFile/Agenda/_10202026-735</w:t>
        </w:r>
      </w:hyperlink>
    </w:p>
    <w:p>
      <w:pPr>
        <w:spacing w:after="40"/>
      </w:pPr>
      <w:r>
        <w:rPr>
          <w:sz w:val="16"/>
        </w:rPr>
        <w:t xml:space="preserve">S12a. City of Pasadena, agenda packet with Ordinance 2025-205 (2024 International Fire Code, local amendments and repeal of Ordinance 2025-082), Oct. 7, 2025. </w:t>
      </w:r>
      <w:hyperlink r:id="rId39" w:history="1">
        <w:r>
          <w:rPr>
            <w:rStyle w:val="Hyperlink"/>
            <w:sz w:val="16"/>
            <w:szCs w:val="16"/>
          </w:rPr>
          <w:t xml:space="preserve">https://www.pasadenatx.gov/AgendaCenter/ViewFile/Agenda/_10072025-629</w:t>
        </w:r>
      </w:hyperlink>
    </w:p>
    <w:p>
      <w:pPr>
        <w:spacing w:after="40"/>
      </w:pPr>
      <w:r>
        <w:rPr>
          <w:sz w:val="16"/>
        </w:rPr>
        <w:t xml:space="preserve">S12b. City of Pasadena, City Council agenda, Nov. 4, 2025, with the minutes of Oct. 21, 2025 (Ordinance 2025-205, second and final reading). </w:t>
      </w:r>
      <w:hyperlink r:id="rId23" w:history="1">
        <w:r>
          <w:rPr>
            <w:rStyle w:val="Hyperlink"/>
            <w:sz w:val="16"/>
            <w:szCs w:val="16"/>
          </w:rPr>
          <w:t xml:space="preserve">https://www.pasadenatx.gov/AgendaCenter/ViewFile/Agenda/_11042025-636</w:t>
        </w:r>
      </w:hyperlink>
    </w:p>
    <w:p>
      <w:pPr>
        <w:spacing w:after="40"/>
      </w:pPr>
      <w:r>
        <w:rPr>
          <w:sz w:val="16"/>
        </w:rPr>
        <w:t xml:space="preserve">S12c. City of Pasadena Fire Marshal's Office, Plan Review (2024 International Fire Code in effect January 19, 2026). </w:t>
      </w:r>
      <w:hyperlink r:id="rId40" w:history="1">
        <w:r>
          <w:rPr>
            <w:rStyle w:val="Hyperlink"/>
            <w:sz w:val="16"/>
            <w:szCs w:val="16"/>
          </w:rPr>
          <w:t xml:space="preserve">https://www.pasadenatx.gov/607/Plan-Review</w:t>
        </w:r>
      </w:hyperlink>
    </w:p>
    <w:p>
      <w:pPr>
        <w:spacing w:after="40"/>
      </w:pPr>
      <w:r>
        <w:rPr>
          <w:sz w:val="16"/>
        </w:rPr>
        <w:t xml:space="preserve">S13. City of Baytown, 2015 Massey Tompkins special use permit and zoning map amendment, Aug. 27, 2025. </w:t>
      </w:r>
      <w:hyperlink r:id="rId24" w:history="1">
        <w:r>
          <w:rPr>
            <w:rStyle w:val="Hyperlink"/>
            <w:sz w:val="16"/>
            <w:szCs w:val="16"/>
          </w:rPr>
          <w:t xml:space="preserve">https://baytown.org/CivicAlerts.asp?AID=1231</w:t>
        </w:r>
      </w:hyperlink>
    </w:p>
    <w:p>
      <w:pPr>
        <w:spacing w:after="40"/>
      </w:pPr>
      <w:r>
        <w:rPr>
          <w:sz w:val="16"/>
        </w:rPr>
        <w:t xml:space="preserve">S14. City of Baytown, 1010 Bob Smith Road zoning map amendment and special use permit, Jan. 22, 2026. </w:t>
      </w:r>
      <w:hyperlink r:id="rId25" w:history="1">
        <w:r>
          <w:rPr>
            <w:rStyle w:val="Hyperlink"/>
            <w:sz w:val="16"/>
            <w:szCs w:val="16"/>
          </w:rPr>
          <w:t xml:space="preserve">https://baytown.org/CivicAlerts.asp?AID=1362</w:t>
        </w:r>
      </w:hyperlink>
    </w:p>
    <w:p>
      <w:pPr>
        <w:spacing w:after="40"/>
      </w:pPr>
      <w:r>
        <w:rPr>
          <w:sz w:val="16"/>
        </w:rPr>
        <w:t xml:space="preserve">S15. City of Baytown, Joint City Council and MDD agenda packet, Aug. 14, 2025 (Massey staff reports, draft Ordinance 16,207 with conditions, and the July 3, 2025 letter from Laborers International Union Local 350, IBEW Local 527 and the Texas Climate Jobs Project). </w:t>
      </w:r>
      <w:hyperlink r:id="rId30" w:history="1">
        <w:r>
          <w:rPr>
            <w:rStyle w:val="Hyperlink"/>
            <w:sz w:val="16"/>
            <w:szCs w:val="16"/>
          </w:rPr>
          <w:t xml:space="preserve">https://destinyhosted.com/baytodocs/2025/CC%20Regular/20250814_3662/3668_2025%2008%2014%20JOINT%20CC%20MDD%20AGENDA%20PACKET.pdf</w:t>
        </w:r>
      </w:hyperlink>
    </w:p>
    <w:p>
      <w:pPr>
        <w:spacing w:after="40"/>
      </w:pPr>
      <w:r>
        <w:rPr>
          <w:sz w:val="16"/>
        </w:rPr>
        <w:t xml:space="preserve">S16. City of Baytown, City Council agenda packet, Sept. 11, 2025, with the minutes of the Aug. 14, 2025 joint meeting (Ordinances 16,206 and 16,207). </w:t>
      </w:r>
      <w:hyperlink r:id="rId41" w:history="1">
        <w:r>
          <w:rPr>
            <w:rStyle w:val="Hyperlink"/>
            <w:sz w:val="16"/>
            <w:szCs w:val="16"/>
          </w:rPr>
          <w:t xml:space="preserve">https://destinyhosted.com/baytodocs/2025/CC%20Regular/20250911_3675/3681_2025%2009%2011%20CC%20AGENDA%20PACKET.pdf</w:t>
        </w:r>
      </w:hyperlink>
    </w:p>
    <w:p>
      <w:pPr>
        <w:spacing w:after="40"/>
      </w:pPr>
      <w:r>
        <w:rPr>
          <w:sz w:val="16"/>
        </w:rPr>
        <w:t xml:space="preserve">S17. City of Baytown, City Council agenda packet, Dec. 11, 2025, with the minutes of the Nov. 13, 2025 joint meeting (Ordinance 16,297). </w:t>
      </w:r>
      <w:hyperlink r:id="rId42" w:history="1">
        <w:r>
          <w:rPr>
            <w:rStyle w:val="Hyperlink"/>
            <w:sz w:val="16"/>
            <w:szCs w:val="16"/>
          </w:rPr>
          <w:t xml:space="preserve">https://destinyhosted.com/baytodocs/2025/CC%20Regular/20251211_3703/3709_2025%2012%2011%20CC%20PACKET.pdf</w:t>
        </w:r>
      </w:hyperlink>
    </w:p>
    <w:p>
      <w:pPr>
        <w:spacing w:after="40"/>
      </w:pPr>
      <w:r>
        <w:rPr>
          <w:sz w:val="16"/>
        </w:rPr>
        <w:t xml:space="preserve">S18. City of Baytown, Special use permit, Garth Road battery energy storage system, 2023. </w:t>
      </w:r>
      <w:hyperlink r:id="rId43" w:history="1">
        <w:r>
          <w:rPr>
            <w:rStyle w:val="Hyperlink"/>
            <w:sz w:val="16"/>
            <w:szCs w:val="16"/>
          </w:rPr>
          <w:t xml:space="preserve">https://www.baytown.org/CivicAlerts.aspx?AID=808</w:t>
        </w:r>
      </w:hyperlink>
    </w:p>
    <w:p>
      <w:pPr>
        <w:spacing w:after="40"/>
      </w:pPr>
      <w:r>
        <w:rPr>
          <w:sz w:val="16"/>
        </w:rPr>
        <w:t xml:space="preserve">S19. Community Impact, Tomball City Council denies conditional use permit for battery storage system, June 21, 2023. </w:t>
      </w:r>
      <w:hyperlink r:id="rId20" w:history="1">
        <w:r>
          <w:rPr>
            <w:rStyle w:val="Hyperlink"/>
            <w:sz w:val="16"/>
            <w:szCs w:val="16"/>
          </w:rPr>
          <w:t xml:space="preserve">https://communityimpact.com/tomball-magnolia/government/tomball-city-council-denies-conditional-use-permit-for-battery-storage-system/</w:t>
        </w:r>
      </w:hyperlink>
    </w:p>
    <w:p>
      <w:pPr>
        <w:spacing w:after="40"/>
      </w:pPr>
      <w:r>
        <w:rPr>
          <w:sz w:val="16"/>
        </w:rPr>
        <w:t xml:space="preserve">S20. Harris County Fire Marshal's Office, Energy storage systems. </w:t>
      </w:r>
      <w:hyperlink r:id="rId15" w:history="1">
        <w:r>
          <w:rPr>
            <w:rStyle w:val="Hyperlink"/>
            <w:sz w:val="16"/>
            <w:szCs w:val="16"/>
          </w:rPr>
          <w:t xml:space="preserve">https://hcfchub.net/ova_dep/energy-storage-systems/</w:t>
        </w:r>
      </w:hyperlink>
    </w:p>
    <w:p>
      <w:pPr>
        <w:spacing w:after="40"/>
      </w:pPr>
      <w:r>
        <w:rPr>
          <w:sz w:val="16"/>
        </w:rPr>
        <w:t xml:space="preserve">S21. Texas House Committee on State Affairs, compilation of public comments, hearing of Apr. 23, 2026. </w:t>
      </w:r>
      <w:hyperlink r:id="rId26" w:history="1">
        <w:r>
          <w:rPr>
            <w:rStyle w:val="Hyperlink"/>
            <w:sz w:val="16"/>
            <w:szCs w:val="16"/>
          </w:rPr>
          <w:t xml:space="preserve">https://capitol.texas.gov/tlodocs/89R/handouts/C4502026042310001/63fa389c-78a1-45e9-9914-c39bb46ecf2c.PDF</w:t>
        </w:r>
      </w:hyperlink>
    </w:p>
    <w:p>
      <w:pPr>
        <w:spacing w:after="40"/>
      </w:pPr>
      <w:r>
        <w:rPr>
          <w:sz w:val="16"/>
        </w:rPr>
        <w:t xml:space="preserve">S22. Advanced Power Alliance, testimony before the House Committee on State Affairs, Apr. 23, 2026. </w:t>
      </w:r>
      <w:hyperlink r:id="rId34" w:history="1">
        <w:r>
          <w:rPr>
            <w:rStyle w:val="Hyperlink"/>
            <w:sz w:val="16"/>
            <w:szCs w:val="16"/>
          </w:rPr>
          <w:t xml:space="preserve">https://poweralliance.org/2026/04/23/advanced-power-alliance-testifies-before-texas-house-committee-on-state-affairs-2/</w:t>
        </w:r>
      </w:hyperlink>
    </w:p>
    <w:p>
      <w:pPr>
        <w:spacing w:after="40"/>
      </w:pPr>
      <w:r>
        <w:rPr>
          <w:sz w:val="16"/>
        </w:rPr>
        <w:t xml:space="preserve">S23. Texas Legislature, HB 3824 (89R), enrolled text. </w:t>
      </w:r>
      <w:hyperlink r:id="rId27" w:history="1">
        <w:r>
          <w:rPr>
            <w:rStyle w:val="Hyperlink"/>
            <w:sz w:val="16"/>
            <w:szCs w:val="16"/>
          </w:rPr>
          <w:t xml:space="preserve">https://capitol.texas.gov/tlodocs/89R/billtext/html/HB03824F.htm</w:t>
        </w:r>
      </w:hyperlink>
    </w:p>
    <w:p>
      <w:pPr>
        <w:spacing w:after="40"/>
      </w:pPr>
      <w:r>
        <w:rPr>
          <w:sz w:val="16"/>
        </w:rPr>
        <w:t xml:space="preserve">S24. Texas Legislature, HB 3809 (89R), bill analysis. </w:t>
      </w:r>
      <w:hyperlink r:id="rId44" w:history="1">
        <w:r>
          <w:rPr>
            <w:rStyle w:val="Hyperlink"/>
            <w:sz w:val="16"/>
            <w:szCs w:val="16"/>
          </w:rPr>
          <w:t xml:space="preserve">https://capitol.texas.gov/tlodocs/89R/analysis/html/HB03809S.htm</w:t>
        </w:r>
      </w:hyperlink>
    </w:p>
    <w:p>
      <w:pPr>
        <w:spacing w:after="40"/>
      </w:pPr>
      <w:r>
        <w:rPr>
          <w:sz w:val="16"/>
        </w:rPr>
        <w:t xml:space="preserve">S25. Texas Legislature, SB 6 (89R), enrolled bill analysis. </w:t>
      </w:r>
      <w:hyperlink r:id="rId45" w:history="1">
        <w:r>
          <w:rPr>
            <w:rStyle w:val="Hyperlink"/>
            <w:sz w:val="16"/>
            <w:szCs w:val="16"/>
          </w:rPr>
          <w:t xml:space="preserve">https://capitol.texas.gov/tlodocs/89R/analysis/html/SB00006F.htm</w:t>
        </w:r>
      </w:hyperlink>
    </w:p>
    <w:p>
      <w:pPr>
        <w:spacing w:after="40"/>
      </w:pPr>
      <w:r>
        <w:rPr>
          <w:sz w:val="16"/>
        </w:rPr>
        <w:t xml:space="preserve">S26. Texas Legislature, SB 819 (89R), bill history. </w:t>
      </w:r>
      <w:hyperlink r:id="rId33" w:history="1">
        <w:r>
          <w:rPr>
            <w:rStyle w:val="Hyperlink"/>
            <w:sz w:val="16"/>
            <w:szCs w:val="16"/>
          </w:rPr>
          <w:t xml:space="preserve">https://capitol.texas.gov/BillLookup/History.aspx?LegSess=89R&amp;Bill=SB819</w:t>
        </w:r>
      </w:hyperlink>
    </w:p>
    <w:p>
      <w:pPr>
        <w:spacing w:after="40"/>
      </w:pPr>
      <w:r>
        <w:rPr>
          <w:sz w:val="16"/>
        </w:rPr>
        <w:t xml:space="preserve">S27. Texas Department of Insurance, rules page (BESS safety informal working draft). </w:t>
      </w:r>
      <w:hyperlink r:id="rId28" w:history="1">
        <w:r>
          <w:rPr>
            <w:rStyle w:val="Hyperlink"/>
            <w:sz w:val="16"/>
            <w:szCs w:val="16"/>
          </w:rPr>
          <w:t xml:space="preserve">https://www.tdi.texas.gov/rules/index.html</w:t>
        </w:r>
      </w:hyperlink>
    </w:p>
    <w:p>
      <w:pPr>
        <w:spacing w:after="40"/>
      </w:pPr>
      <w:r>
        <w:rPr>
          <w:sz w:val="16"/>
        </w:rPr>
        <w:t xml:space="preserve">S28. Republican Party of Texas, Resolution to protect Texas counties from the rapid expansion of battery energy storage systems, Mar. 28, 2025. </w:t>
      </w:r>
      <w:hyperlink r:id="rId16" w:history="1">
        <w:r>
          <w:rPr>
            <w:rStyle w:val="Hyperlink"/>
            <w:sz w:val="16"/>
            <w:szCs w:val="16"/>
          </w:rPr>
          <w:t xml:space="preserve">https://texasgop.org/resolution-to-protect-texas-counties-from-the-rapid-expansion-of-battery-energy-storage-systems-bess/</w:t>
        </w:r>
      </w:hyperlink>
    </w:p>
    <w:p>
      <w:pPr>
        <w:spacing w:after="40"/>
      </w:pPr>
      <w:r>
        <w:rPr>
          <w:sz w:val="16"/>
        </w:rPr>
        <w:t xml:space="preserve">S29. Rigzone, CenterPoint targets 8 GW of data center load in 3 years, Apr. 26, 2026. </w:t>
      </w:r>
      <w:hyperlink r:id="rId13" w:history="1">
        <w:r>
          <w:rPr>
            <w:rStyle w:val="Hyperlink"/>
            <w:sz w:val="16"/>
            <w:szCs w:val="16"/>
          </w:rPr>
          <w:t xml:space="preserve">https://www.rigzone.com/news/centerpoint_targets_8_gw_of_data_center_load_in_3_years-26-apr-2026-183533-article/</w:t>
        </w:r>
      </w:hyperlink>
    </w:p>
    <w:p>
      <w:pPr>
        <w:spacing w:after="40"/>
      </w:pPr>
      <w:r>
        <w:rPr>
          <w:sz w:val="16"/>
        </w:rPr>
        <w:t xml:space="preserve">S30. Bracewell (Houston Business Journal), CenterPoint expects 14 GW of demand added to grid by 2031, July 28, 2026. </w:t>
      </w:r>
      <w:hyperlink r:id="rId46" w:history="1">
        <w:r>
          <w:rPr>
            <w:rStyle w:val="Hyperlink"/>
            <w:sz w:val="16"/>
            <w:szCs w:val="16"/>
          </w:rPr>
          <w:t xml:space="preserve">https://www.bracewell.com/news-events/centerpoint-expects-14-gw-of-demand-added-to-grid-by-2031-thanks-to-new-ercot-process/</w:t>
        </w:r>
      </w:hyperlink>
    </w:p>
    <w:p>
      <w:pPr>
        <w:spacing w:after="40"/>
      </w:pPr>
      <w:r>
        <w:rPr>
          <w:sz w:val="16"/>
        </w:rPr>
        <w:t xml:space="preserve">S31. Utility Dive, Texas regulators trim, approve $2.7B CenterPoint system resiliency plan, Aug. 25, 2025. </w:t>
      </w:r>
      <w:hyperlink r:id="rId18" w:history="1">
        <w:r>
          <w:rPr>
            <w:rStyle w:val="Hyperlink"/>
            <w:sz w:val="16"/>
            <w:szCs w:val="16"/>
          </w:rPr>
          <w:t xml:space="preserve">https://www.utilitydive.com/news/texas-regulators-trim-approve-27b-centerpoint-system-resiliency-plan/758476/</w:t>
        </w:r>
      </w:hyperlink>
    </w:p>
    <w:p>
      <w:pPr>
        <w:spacing w:after="40"/>
      </w:pPr>
      <w:r>
        <w:rPr>
          <w:sz w:val="16"/>
        </w:rPr>
        <w:t xml:space="preserve">S32. Community Impact, Harris County launches affordable clean energy program, Oct. 1, 2026. </w:t>
      </w:r>
      <w:hyperlink r:id="rId19" w:history="1">
        <w:r>
          <w:rPr>
            <w:rStyle w:val="Hyperlink"/>
            <w:sz w:val="16"/>
            <w:szCs w:val="16"/>
          </w:rPr>
          <w:t xml:space="preserve">https://communityimpact.com/bay-area/environment/harris-county-launches-affordable-clean-energy-program/</w:t>
        </w:r>
      </w:hyperlink>
    </w:p>
    <w:p>
      <w:pPr>
        <w:spacing w:after="40"/>
      </w:pPr>
      <w:r>
        <w:rPr>
          <w:sz w:val="16"/>
        </w:rPr>
        <w:t xml:space="preserve">S33. University of Houston Hobby School, Harris County Election 2026: countywide and Precincts 2 and 4, October 2026. </w:t>
      </w:r>
      <w:hyperlink r:id="rId32" w:history="1">
        <w:r>
          <w:rPr>
            <w:rStyle w:val="Hyperlink"/>
            <w:sz w:val="16"/>
            <w:szCs w:val="16"/>
          </w:rPr>
          <w:t xml:space="preserve">https://www.uh.edu/hobby/harris2026/county2026.pdf</w:t>
        </w:r>
      </w:hyperlink>
    </w:p>
    <w:p>
      <w:pPr>
        <w:spacing w:after="40"/>
      </w:pPr>
      <w:r>
        <w:rPr>
          <w:sz w:val="16"/>
        </w:rPr>
        <w:t xml:space="preserve">S34. Community Impact, Katy City Council denies permit for energy storage facility amid community pushback, Oct. 15, 2024. </w:t>
      </w:r>
      <w:hyperlink r:id="rId47" w:history="1">
        <w:r>
          <w:rPr>
            <w:rStyle w:val="Hyperlink"/>
            <w:sz w:val="16"/>
            <w:szCs w:val="16"/>
          </w:rPr>
          <w:t xml:space="preserve">https://communityimpact.com/houston/katy-north/government/2024/10/15/katy-city-council-denies-permit-for-energy-storage-facility-amid-community-pushback/</w:t>
        </w:r>
      </w:hyperlink>
    </w:p>
    <w:p>
      <w:pPr>
        <w:spacing w:after="40"/>
      </w:pPr>
      <w:r>
        <w:rPr>
          <w:sz w:val="16"/>
        </w:rPr>
        <w:t xml:space="preserve">S35. Click2Houston, Katy battery plant decision delayed; ERCOT says city's denial affects grid authority, Dec. 8, 2025. </w:t>
      </w:r>
      <w:hyperlink r:id="rId48" w:history="1">
        <w:r>
          <w:rPr>
            <w:rStyle w:val="Hyperlink"/>
            <w:sz w:val="16"/>
            <w:szCs w:val="16"/>
          </w:rPr>
          <w:t xml:space="preserve">https://www.click2houston.com/news/local/2025/12/08/katy-battery-plant-decision-delayed-ercot-says-citys-denial-affects-grid-authority/</w:t>
        </w:r>
      </w:hyperlink>
    </w:p>
    <w:p>
      <w:pPr>
        <w:spacing w:after="40"/>
      </w:pPr>
      <w:r>
        <w:rPr>
          <w:sz w:val="16"/>
        </w:rPr>
        <w:t xml:space="preserve">S36. Covering Katy, Ochoa Energy Storage withdraws application to build battery storage facility near Katy High School, July 14, 2026. </w:t>
      </w:r>
      <w:hyperlink r:id="rId49" w:history="1">
        <w:r>
          <w:rPr>
            <w:rStyle w:val="Hyperlink"/>
            <w:sz w:val="16"/>
            <w:szCs w:val="16"/>
          </w:rPr>
          <w:t xml:space="preserve">https://coveringkaty.com/news/katy/ochoa-energy-storage-withdraws-application-to-build-battery-/</w:t>
        </w:r>
      </w:hyperlink>
    </w:p>
    <w:p>
      <w:pPr>
        <w:spacing w:after="40"/>
      </w:pPr>
      <w:r>
        <w:rPr>
          <w:sz w:val="16"/>
        </w:rPr>
        <w:t xml:space="preserve">S37. Community Impact, Proposed battery storage facility in League City faces resident backlash, Mar. 26, 2024. </w:t>
      </w:r>
      <w:hyperlink r:id="rId50" w:history="1">
        <w:r>
          <w:rPr>
            <w:rStyle w:val="Hyperlink"/>
            <w:sz w:val="16"/>
            <w:szCs w:val="16"/>
          </w:rPr>
          <w:t xml:space="preserve">https://communityimpact.com/bay-area/development/proposed-battery-storage-facility-in-league-city-faces-resident-backlash/</w:t>
        </w:r>
      </w:hyperlink>
    </w:p>
    <w:p>
      <w:pPr>
        <w:spacing w:after="40"/>
      </w:pPr>
      <w:r>
        <w:rPr>
          <w:sz w:val="16"/>
        </w:rPr>
        <w:t xml:space="preserve">S38. City of League City, staff report, BESS ordinance, June 17, 2024. </w:t>
      </w:r>
      <w:hyperlink r:id="rId51" w:history="1">
        <w:r>
          <w:rPr>
            <w:rStyle w:val="Hyperlink"/>
            <w:sz w:val="16"/>
            <w:szCs w:val="16"/>
          </w:rPr>
          <w:t xml:space="preserve">https://www.leaguecitytx.gov/DocumentCenter/View/44947/4A-Staff-Report---BESS-Ordinance</w:t>
        </w:r>
      </w:hyperlink>
    </w:p>
    <w:p>
      <w:pPr>
        <w:spacing w:after="40"/>
      </w:pPr>
      <w:r>
        <w:rPr>
          <w:sz w:val="16"/>
        </w:rPr>
        <w:t xml:space="preserve">S39. Boerne Star, County makes move to help in fight against battery storage systems, Oct. 19, 2024. </w:t>
      </w:r>
      <w:hyperlink r:id="rId31" w:history="1">
        <w:r>
          <w:rPr>
            <w:rStyle w:val="Hyperlink"/>
            <w:sz w:val="16"/>
            <w:szCs w:val="16"/>
          </w:rPr>
          <w:t xml:space="preserve">https://www.boernestar.com/article/9257,county-makes-move-to-help-in-fight-against-battery-storage-systems</w:t>
        </w:r>
      </w:hyperlink>
    </w:p>
    <w:p>
      <w:pPr>
        <w:spacing w:after="40"/>
      </w:pPr>
      <w:r>
        <w:rPr>
          <w:sz w:val="16"/>
        </w:rPr>
        <w:t>S40. Hawthorn platform, pricephillips/renewable-opposition, commit 65df5c9 (restrictions, contested_projects, county_summary, county_covariates, queue_projects, facilities, county_adjacency), and the provisional county restriction model fitted October 16, 2026 under config/county_model_registration.json.</w:t>
      </w:r>
    </w:p>
    <w:p>
      <w:pPr>
        <w:spacing w:after="40"/>
      </w:pPr>
      <w:r>
        <w:rPr>
          <w:sz w:val="16"/>
        </w:rPr>
        <w:t xml:space="preserve">S41. City of Baytown, Joint City Council and MDD agenda packet, Nov. 13, 2025 (Claire draft ordinance, developer information sheets and Planning and Zoning report). </w:t>
      </w:r>
      <w:hyperlink r:id="rId52" w:history="1">
        <w:r>
          <w:rPr>
            <w:rStyle w:val="Hyperlink"/>
            <w:sz w:val="16"/>
            <w:szCs w:val="16"/>
          </w:rPr>
          <w:t xml:space="preserve">https://destinyhosted.com/baytodocs/2025/CC%20Regular/20251118_3700/3706_2025%2011%2013%20CC%20AGENDA%20PACKET.pdf</w:t>
        </w:r>
      </w:hyperlink>
    </w:p>
    <w:p>
      <w:pPr>
        <w:spacing w:after="40"/>
      </w:pPr>
      <w:r>
        <w:rPr>
          <w:sz w:val="16"/>
        </w:rPr>
        <w:t xml:space="preserve">S42. City of Baytown, Planning and Zoning Commission agenda packet, Jan. 20, 2026, with the minutes of the Nov. 11, 2025 special meeting. </w:t>
      </w:r>
      <w:hyperlink r:id="rId29" w:history="1">
        <w:r>
          <w:rPr>
            <w:rStyle w:val="Hyperlink"/>
            <w:sz w:val="16"/>
            <w:szCs w:val="16"/>
          </w:rPr>
          <w:t xml:space="preserve">https://destinyhosted.com/baytodocs/2026/PZ/20260120_3736/3742_2026%2001%2020%20P%26Z%20PACKET.pdf</w:t>
        </w:r>
      </w:hyperlink>
    </w:p>
    <w:p>
      <w:pPr>
        <w:spacing w:after="40"/>
      </w:pPr>
      <w:r>
        <w:rPr>
          <w:sz w:val="16"/>
        </w:rPr>
        <w:t xml:space="preserve">S43. City of Baytown, City Council minutes, Oct. 12, 2023 (Garth Road special use permit, Ordinance 15,576). </w:t>
      </w:r>
      <w:hyperlink r:id="rId53" w:history="1">
        <w:r>
          <w:rPr>
            <w:rStyle w:val="Hyperlink"/>
            <w:sz w:val="16"/>
            <w:szCs w:val="16"/>
          </w:rPr>
          <w:t xml:space="preserve">https://destinyhosted.com/baytodocs/2023/CC%20Regular/20231026_3178/24390_2023_10_12_CC_Minutes.pdf</w:t>
        </w:r>
      </w:hyperlink>
    </w:p>
    <w:p>
      <w:pPr>
        <w:spacing w:after="40"/>
      </w:pPr>
      <w:r>
        <w:rPr>
          <w:sz w:val="16"/>
        </w:rPr>
        <w:t xml:space="preserve">S44. City of Baytown, Unified Land Development Code, Sec. 3.43 and Table 3.43-2 (bufferyards). </w:t>
      </w:r>
      <w:hyperlink r:id="rId54" w:history="1">
        <w:r>
          <w:rPr>
            <w:rStyle w:val="Hyperlink"/>
            <w:sz w:val="16"/>
            <w:szCs w:val="16"/>
          </w:rPr>
          <w:t xml:space="preserve">https://online.encodeplus.com/regs/baytown-tx-uldc/doc-viewer.aspx?secid=56</w:t>
        </w:r>
      </w:hyperlink>
    </w:p>
    <w:p>
      <w:pPr>
        <w:pStyle w:val="Heading2"/>
        <w:spacing w:before="240" w:after="80"/>
      </w:pPr>
      <w:r>
        <w:t>Image credits</w:t>
      </w:r>
    </w:p>
    <w:p>
      <w:pPr>
        <w:spacing w:after="40"/>
      </w:pPr>
      <w:r>
        <w:rPr>
          <w:sz w:val="16"/>
        </w:rPr>
        <w:t>Page 1 county map: Hawthorn Intelligence, drawn from U.S. Census Bureau 2024 county boundaries (data/geo/counties_2024.topojson in the Hawthorn platform), in the style of David Benbennick's public-domain Wikimedia Commons county maps.</w:t>
      </w:r>
    </w:p>
    <w:sectPr w:rsidR="005946EE" w:rsidRPr="003F776A" w:rsidSect="00E11A44">
      <w:footerReference w:type="even" r:id="rId149"/>
      <w:footerReference w:type="default" r:id="rId15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1BE7D9" w14:textId="77777777" w:rsidR="00366813" w:rsidRDefault="00366813" w:rsidP="00E11A44">
      <w:r>
        <w:separator/>
      </w:r>
    </w:p>
  </w:endnote>
  <w:endnote w:type="continuationSeparator" w:id="0">
    <w:p w14:paraId="7F1D3C3F" w14:textId="77777777" w:rsidR="00366813" w:rsidRDefault="00366813" w:rsidP="00E11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10910205"/>
      <w:docPartObj>
        <w:docPartGallery w:val="Page Numbers (Bottom of Page)"/>
        <w:docPartUnique/>
      </w:docPartObj>
    </w:sdtPr>
    <w:sdtEndPr>
      <w:rPr>
        <w:rStyle w:val="PageNumber"/>
      </w:rPr>
    </w:sdtEndPr>
    <w:sdtContent>
      <w:p w14:paraId="45C0DE88" w14:textId="30757198" w:rsidR="00C04B27" w:rsidRDefault="00C04B27" w:rsidP="00FA41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FF2772" w14:textId="77777777" w:rsidR="00C04B27" w:rsidRDefault="00C04B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54050151"/>
      <w:docPartObj>
        <w:docPartGallery w:val="Page Numbers (Bottom of Page)"/>
        <w:docPartUnique/>
      </w:docPartObj>
    </w:sdtPr>
    <w:sdtEndPr>
      <w:rPr>
        <w:rStyle w:val="PageNumber"/>
      </w:rPr>
    </w:sdtEndPr>
    <w:sdtContent>
      <w:p w14:paraId="058F8DB0" w14:textId="66776AEF" w:rsidR="00C04B27" w:rsidRDefault="00C04B27" w:rsidP="00FA41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6D13B8" w14:textId="3FF3F7B7" w:rsidR="0081428A" w:rsidRDefault="00C04B27" w:rsidP="00C04B27">
    <w:pPr>
      <w:pStyle w:val="Footer"/>
      <w:ind w:right="360"/>
    </w:pPr>
    <w:r w:rsidRPr="000971D7">
      <w:rPr>
        <w:noProof/>
        <w:highlight w:val="yellow"/>
      </w:rPr>
      <w:drawing>
        <wp:anchor distT="0" distB="0" distL="114300" distR="114300" simplePos="0" relativeHeight="251658240" behindDoc="0" locked="0" layoutInCell="1" allowOverlap="1" wp14:anchorId="0D730020" wp14:editId="0FD87A89">
          <wp:simplePos x="0" y="0"/>
          <wp:positionH relativeFrom="margin">
            <wp:posOffset>0</wp:posOffset>
          </wp:positionH>
          <wp:positionV relativeFrom="margin">
            <wp:posOffset>8923020</wp:posOffset>
          </wp:positionV>
          <wp:extent cx="899795" cy="179705"/>
          <wp:effectExtent l="0" t="0" r="1905" b="0"/>
          <wp:wrapSquare wrapText="bothSides"/>
          <wp:docPr id="29" name="Picture 7" descr="A green text on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A green text on a black background&#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795" cy="17970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52A3C9" w14:textId="77777777" w:rsidR="00366813" w:rsidRDefault="00366813" w:rsidP="00E11A44">
      <w:r>
        <w:separator/>
      </w:r>
    </w:p>
  </w:footnote>
  <w:footnote w:type="continuationSeparator" w:id="0">
    <w:p w14:paraId="3EE11083" w14:textId="77777777" w:rsidR="00366813" w:rsidRDefault="00366813" w:rsidP="00E11A44">
      <w:r>
        <w:continuationSeparator/>
      </w:r>
    </w:p>
  </w:footnote>
  <w:footnote w:id="1">
    <w:p>
      <w:pPr>
        <w:pStyle w:val="FootnoteText"/>
      </w:pPr>
      <w:r>
        <w:rPr>
          <w:rStyle w:val="FootnoteReference"/>
          <w:rFonts w:ascii="Georgia" w:hAnsi="Georgia"/>
          <w:sz w:val="16"/>
          <w:szCs w:val="16"/>
        </w:rPr>
        <w:footnoteRef/>
      </w:r>
      <w:r>
        <w:rPr>
          <w:rFonts w:ascii="Georgia" w:hAnsi="Georgia"/>
          <w:sz w:val="16"/>
          <w:szCs w:val="16"/>
        </w:rPr>
        <w:t xml:space="preserve"> With a likely range of 0.31 to 0.39 (10th to 90th percentile of 200 bootstrap refits), against a national base rate of 0.24.</w:t>
      </w:r>
    </w:p>
  </w:footnote>
  <w:footnote w:id="2">
    <w:p>
      <w:pPr>
        <w:pStyle w:val="FootnoteText"/>
      </w:pPr>
      <w:r>
        <w:rPr>
          <w:rStyle w:val="FootnoteReference"/>
          <w:rFonts w:ascii="Georgia" w:hAnsi="Georgia"/>
          <w:sz w:val="16"/>
          <w:szCs w:val="16"/>
        </w:rPr>
        <w:footnoteRef/>
      </w:r>
      <w:r>
        <w:rPr>
          <w:rFonts w:ascii="Georgia" w:hAnsi="Georgia"/>
          <w:sz w:val="16"/>
          <w:szCs w:val="16"/>
        </w:rPr>
        <w:t xml:space="preserve"> Model validation: cross-validated AUC (area under the ROC curve: the chance a restricted county outscores an unrestricted one) 0.78 (0.81 when whole states are held out), Brier (mean squared error of the scores) score 0.145 against a 0.181 no-skill baseline (skill 0.20), expected calibration error 0.016 (0.010 on the gate's equal-width bins), across 3,144 counties; it passes the platform's pre-registered calibration gate. Median scores for restricted and unrestricted counties sit 21 points apart (0.34 and 0.14). This is a provisional fit made for this report; the platform's own county model is still being built.</w:t>
      </w:r>
    </w:p>
  </w:footnote>
  <w:footnote w:id="3">
    <w:p>
      <w:pPr>
        <w:pStyle w:val="FootnoteText"/>
      </w:pPr>
      <w:r>
        <w:rPr>
          <w:rStyle w:val="FootnoteReference"/>
          <w:rFonts w:ascii="Georgia" w:hAnsi="Georgia"/>
          <w:sz w:val="16"/>
          <w:szCs w:val="16"/>
        </w:rPr>
        <w:footnoteRef/>
      </w:r>
      <w:r>
        <w:rPr>
          <w:rFonts w:ascii="Georgia" w:hAnsi="Georgia"/>
          <w:sz w:val="16"/>
          <w:szCs w:val="16"/>
        </w:rPr>
        <w:t xml:space="preserve"> Deciles computed from all 3,144 scored counties (the 50 states and DC) as of October 16, 2026. A severe restriction is one scoring 3 or 4 on the platform's severity scale. Harris's own label rests on Pasadena's 2024 moratorium, which the platform listed as extended and in force; the city's records show it lapsed in April 2025, and the platform now holds it back. The platform added Article XII on October 16 and scores it 3, reading the 1,500-foot spacing between battery sites as its setback; Pasadena repealed Article XII effective January 19, 2026 and kept that spacing in its fire code, which the platform does not yet record. The label does not enter Harris's own out-of-fold score.</w:t>
      </w:r>
    </w:p>
  </w:footnote>
  <w:footnote w:id="4">
    <w:p>
      <w:pPr>
        <w:pStyle w:val="FootnoteText"/>
      </w:pPr>
      <w:r>
        <w:rPr>
          <w:rStyle w:val="FootnoteReference"/>
          <w:rFonts w:ascii="Georgia" w:hAnsi="Georgia"/>
          <w:sz w:val="16"/>
          <w:szCs w:val="16"/>
        </w:rPr>
        <w:footnoteRef/>
      </w:r>
      <w:r>
        <w:rPr>
          <w:rFonts w:ascii="Georgia" w:hAnsi="Georgia"/>
          <w:sz w:val="16"/>
          <w:szCs w:val="16"/>
        </w:rPr>
        <w:t xml:space="preserve"> Percentiles are mid-rank: the share of counties below Harris plus half of ties. The margin row ranks Democratic lean. Opposition records include the Pasadena storage code (since replaced by fire code limits) and the three contested projects this review found, all added to the platform's data on October 16; all other counties' records are as published. Demographic rows show the model inputs (ACS 2020-2024). Operating solar counts every EIA-860M plant that lists solar among its technologies, so Harris's 136 MW includes the battery half of the Liberty hybrid; solar alone is about 72 MW. Interconnection requests cover all statuses (about 7.1 GW was active at the end of 2025).</w:t>
      </w:r>
    </w:p>
  </w:footnote>
  <w:footnote w:id="5">
    <w:p>
      <w:pPr>
        <w:pStyle w:val="FootnoteText"/>
      </w:pPr>
      <w:r>
        <w:rPr>
          <w:rStyle w:val="FootnoteReference"/>
          <w:rFonts w:ascii="Georgia" w:hAnsi="Georgia"/>
          <w:sz w:val="16"/>
          <w:szCs w:val="16"/>
        </w:rPr>
        <w:footnoteRef/>
      </w:r>
      <w:r>
        <w:rPr>
          <w:rFonts w:ascii="Georgia" w:hAnsi="Georgia"/>
          <w:sz w:val="16"/>
          <w:szCs w:val="16"/>
        </w:rPr>
        <w:t xml:space="preserve"> Lift is the median cross-validated coefficient times Harris's standardized, transformed value, summed to 0.69 log-odds above an average county. Share of movement is each trait's absolute lift as a share of the total. Averages are on the model's log scale.</w:t>
      </w:r>
    </w:p>
  </w:footnote>
  <w:footnote w:id="6">
    <w:p>
      <w:pPr>
        <w:pStyle w:val="FootnoteText"/>
      </w:pPr>
      <w:r>
        <w:rPr>
          <w:rStyle w:val="FootnoteReference"/>
          <w:rFonts w:ascii="Georgia" w:hAnsi="Georgia"/>
          <w:sz w:val="16"/>
          <w:szCs w:val="16"/>
        </w:rPr>
        <w:footnoteRef/>
      </w:r>
      <w:r>
        <w:rPr>
          <w:rFonts w:ascii="Georgia" w:hAnsi="Georgia"/>
          <w:sz w:val="16"/>
          <w:szCs w:val="16"/>
        </w:rPr>
        <w:t xml:space="preserve"> The peers are Tarrant, Dallas and Bexar (TX), Miami-Dade, Broward, Hillsborough and Orange (FL), and Sacramento, Los Angeles and Orange (CA); Orange (CA) scores highest at 0.91.</w:t>
      </w:r>
    </w:p>
  </w:footnote>
  <w:footnote w:id="7">
    <w:p>
      <w:pPr>
        <w:pStyle w:val="FootnoteText"/>
      </w:pPr>
      <w:r>
        <w:rPr>
          <w:rStyle w:val="FootnoteReference"/>
          <w:rFonts w:ascii="Georgia" w:hAnsi="Georgia"/>
          <w:sz w:val="16"/>
          <w:szCs w:val="16"/>
        </w:rPr>
        <w:footnoteRef/>
      </w:r>
      <w:r>
        <w:rPr>
          <w:rFonts w:ascii="Georgia" w:hAnsi="Georgia"/>
          <w:sz w:val="16"/>
          <w:szCs w:val="16"/>
        </w:rPr>
        <w:t xml:space="preserve"> Scores describe county profiles, not restriction status. Waller's severe record is the City of Waller's 2010 limit on small wind systems; Katy's denial of the 500 MW Ochoa project (2024, withdrawn 2026) is on a Waller County site and not yet in the platform. League City and Texas City in Galveston County have adopted storage rules that are not yet in the platform. Interconnection requests are from LBNL Queued Up (data through 2025); population is the ACS 2020-2024 model input.</w:t>
      </w:r>
    </w:p>
  </w:footnote>
  <w:footnote w:id="8">
    <w:p>
      <w:pPr>
        <w:pStyle w:val="FootnoteText"/>
      </w:pPr>
      <w:r>
        <w:rPr>
          <w:rStyle w:val="FootnoteReference"/>
          <w:rFonts w:ascii="Georgia" w:hAnsi="Georgia"/>
          <w:sz w:val="16"/>
          <w:szCs w:val="16"/>
        </w:rPr>
        <w:footnoteRef/>
      </w:r>
      <w:r>
        <w:rPr>
          <w:rFonts w:ascii="Georgia" w:hAnsi="Georgia"/>
          <w:sz w:val="16"/>
          <w:szCs w:val="16"/>
        </w:rPr>
        <w:t xml:space="preserve"> Distribution across 3,222 counties and county equivalents in the platform's published data as of October 13, 2026.</w:t>
      </w:r>
    </w:p>
  </w:footnote>
  <w:footnote w:id="9">
    <w:p>
      <w:pPr>
        <w:pStyle w:val="FootnoteText"/>
      </w:pPr>
      <w:r>
        <w:rPr>
          <w:rStyle w:val="FootnoteReference"/>
          <w:rFonts w:ascii="Georgia" w:hAnsi="Georgia"/>
          <w:sz w:val="16"/>
          <w:szCs w:val="16"/>
        </w:rPr>
        <w:footnoteRef/>
      </w:r>
      <w:r>
        <w:rPr>
          <w:rFonts w:ascii="Georgia" w:hAnsi="Georgia"/>
          <w:sz w:val="16"/>
          <w:szCs w:val="16"/>
        </w:rPr>
        <w:t xml:space="preserve"> Tiers for the Baytown and Tomball projects are assigned from the public record cited under Project outcomes; the council's minutes of November 13, 2025 (S17) record the Claire vote as 4-3.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27473"/>
    <w:multiLevelType w:val="hybridMultilevel"/>
    <w:tmpl w:val="87FC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5F0280"/>
    <w:multiLevelType w:val="hybridMultilevel"/>
    <w:tmpl w:val="D69EF024"/>
    <w:lvl w:ilvl="0" w:tplc="636EED78">
      <w:numFmt w:val="bullet"/>
      <w:lvlText w:val="-"/>
      <w:lvlJc w:val="left"/>
      <w:pPr>
        <w:ind w:left="720" w:hanging="360"/>
      </w:pPr>
      <w:rPr>
        <w:rFonts w:ascii="Georgia" w:eastAsiaTheme="minorHAnsi" w:hAnsi="Georgia"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C751A"/>
    <w:multiLevelType w:val="hybridMultilevel"/>
    <w:tmpl w:val="94949552"/>
    <w:lvl w:ilvl="0" w:tplc="636EED78">
      <w:numFmt w:val="bullet"/>
      <w:lvlText w:val="-"/>
      <w:lvlJc w:val="left"/>
      <w:pPr>
        <w:ind w:left="720" w:hanging="360"/>
      </w:pPr>
      <w:rPr>
        <w:rFonts w:ascii="Georgia" w:eastAsiaTheme="minorHAnsi" w:hAnsi="Georgia"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07E84"/>
    <w:multiLevelType w:val="multilevel"/>
    <w:tmpl w:val="E0E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24721"/>
    <w:multiLevelType w:val="hybridMultilevel"/>
    <w:tmpl w:val="100CDE60"/>
    <w:lvl w:ilvl="0" w:tplc="A606D5D2">
      <w:start w:val="1"/>
      <w:numFmt w:val="bullet"/>
      <w:lvlText w:val="•"/>
      <w:lvlJc w:val="left"/>
      <w:pPr>
        <w:ind w:left="360" w:hanging="240"/>
      </w:pPr>
    </w:lvl>
    <w:lvl w:ilvl="1" w:tplc="6AB65CCE">
      <w:numFmt w:val="decimal"/>
      <w:lvlText w:val=""/>
      <w:lvlJc w:val="left"/>
    </w:lvl>
    <w:lvl w:ilvl="2" w:tplc="C9E0209E">
      <w:numFmt w:val="decimal"/>
      <w:lvlText w:val=""/>
      <w:lvlJc w:val="left"/>
    </w:lvl>
    <w:lvl w:ilvl="3" w:tplc="930EF30A">
      <w:numFmt w:val="decimal"/>
      <w:lvlText w:val=""/>
      <w:lvlJc w:val="left"/>
    </w:lvl>
    <w:lvl w:ilvl="4" w:tplc="8F6EE14E">
      <w:numFmt w:val="decimal"/>
      <w:lvlText w:val=""/>
      <w:lvlJc w:val="left"/>
    </w:lvl>
    <w:lvl w:ilvl="5" w:tplc="F93E6B34">
      <w:numFmt w:val="decimal"/>
      <w:lvlText w:val=""/>
      <w:lvlJc w:val="left"/>
    </w:lvl>
    <w:lvl w:ilvl="6" w:tplc="2BA8233C">
      <w:numFmt w:val="decimal"/>
      <w:lvlText w:val=""/>
      <w:lvlJc w:val="left"/>
    </w:lvl>
    <w:lvl w:ilvl="7" w:tplc="2C60DF98">
      <w:numFmt w:val="decimal"/>
      <w:lvlText w:val=""/>
      <w:lvlJc w:val="left"/>
    </w:lvl>
    <w:lvl w:ilvl="8" w:tplc="693A50F4">
      <w:numFmt w:val="decimal"/>
      <w:lvlText w:val=""/>
      <w:lvlJc w:val="left"/>
    </w:lvl>
  </w:abstractNum>
  <w:abstractNum w:abstractNumId="5" w15:restartNumberingAfterBreak="0">
    <w:nsid w:val="490D349E"/>
    <w:multiLevelType w:val="hybridMultilevel"/>
    <w:tmpl w:val="815E53C0"/>
    <w:lvl w:ilvl="0" w:tplc="636EED78">
      <w:numFmt w:val="bullet"/>
      <w:lvlText w:val="-"/>
      <w:lvlJc w:val="left"/>
      <w:pPr>
        <w:ind w:left="720" w:hanging="360"/>
      </w:pPr>
      <w:rPr>
        <w:rFonts w:ascii="Georgia" w:eastAsiaTheme="minorHAnsi" w:hAnsi="Georgia"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B20698"/>
    <w:multiLevelType w:val="hybridMultilevel"/>
    <w:tmpl w:val="6060B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676F54"/>
    <w:multiLevelType w:val="hybridMultilevel"/>
    <w:tmpl w:val="87962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6B7DAA"/>
    <w:multiLevelType w:val="hybridMultilevel"/>
    <w:tmpl w:val="55C4A09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6C996983"/>
    <w:multiLevelType w:val="hybridMultilevel"/>
    <w:tmpl w:val="3ACA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B830B2"/>
    <w:multiLevelType w:val="hybridMultilevel"/>
    <w:tmpl w:val="7E46C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1374107">
    <w:abstractNumId w:val="1"/>
  </w:num>
  <w:num w:numId="2" w16cid:durableId="1245800776">
    <w:abstractNumId w:val="5"/>
  </w:num>
  <w:num w:numId="3" w16cid:durableId="923958287">
    <w:abstractNumId w:val="2"/>
  </w:num>
  <w:num w:numId="4" w16cid:durableId="1241794666">
    <w:abstractNumId w:val="4"/>
    <w:lvlOverride w:ilvl="0">
      <w:startOverride w:val="1"/>
    </w:lvlOverride>
  </w:num>
  <w:num w:numId="5" w16cid:durableId="458647231">
    <w:abstractNumId w:val="10"/>
  </w:num>
  <w:num w:numId="6" w16cid:durableId="376003952">
    <w:abstractNumId w:val="7"/>
  </w:num>
  <w:num w:numId="7" w16cid:durableId="1015500443">
    <w:abstractNumId w:val="8"/>
  </w:num>
  <w:num w:numId="8" w16cid:durableId="1826436875">
    <w:abstractNumId w:val="9"/>
  </w:num>
  <w:num w:numId="9" w16cid:durableId="970406196">
    <w:abstractNumId w:val="6"/>
  </w:num>
  <w:num w:numId="10" w16cid:durableId="1817408200">
    <w:abstractNumId w:val="3"/>
  </w:num>
  <w:num w:numId="11" w16cid:durableId="1432436436">
    <w:abstractNumId w:val="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A71"/>
    <w:rsid w:val="000012E9"/>
    <w:rsid w:val="00002F26"/>
    <w:rsid w:val="00052238"/>
    <w:rsid w:val="00085F75"/>
    <w:rsid w:val="00090CAE"/>
    <w:rsid w:val="00096BB9"/>
    <w:rsid w:val="000A7153"/>
    <w:rsid w:val="000B12E5"/>
    <w:rsid w:val="000B441C"/>
    <w:rsid w:val="000C7D8E"/>
    <w:rsid w:val="000D7BE7"/>
    <w:rsid w:val="000F4CD3"/>
    <w:rsid w:val="00113839"/>
    <w:rsid w:val="001230C8"/>
    <w:rsid w:val="00135834"/>
    <w:rsid w:val="00151761"/>
    <w:rsid w:val="001609FA"/>
    <w:rsid w:val="0016389A"/>
    <w:rsid w:val="00171E89"/>
    <w:rsid w:val="0017333B"/>
    <w:rsid w:val="0017639D"/>
    <w:rsid w:val="0019490A"/>
    <w:rsid w:val="001B7BFF"/>
    <w:rsid w:val="001B7EE7"/>
    <w:rsid w:val="001D1E49"/>
    <w:rsid w:val="001D2E23"/>
    <w:rsid w:val="001D2F2A"/>
    <w:rsid w:val="001D70C3"/>
    <w:rsid w:val="001E07E3"/>
    <w:rsid w:val="001E4437"/>
    <w:rsid w:val="001F2412"/>
    <w:rsid w:val="00222018"/>
    <w:rsid w:val="0022433B"/>
    <w:rsid w:val="00230BBC"/>
    <w:rsid w:val="00232302"/>
    <w:rsid w:val="0023752F"/>
    <w:rsid w:val="00244403"/>
    <w:rsid w:val="00254C3D"/>
    <w:rsid w:val="00256E9E"/>
    <w:rsid w:val="00281113"/>
    <w:rsid w:val="002879A6"/>
    <w:rsid w:val="00297C73"/>
    <w:rsid w:val="002B17A6"/>
    <w:rsid w:val="002B59FB"/>
    <w:rsid w:val="002D282F"/>
    <w:rsid w:val="002F273C"/>
    <w:rsid w:val="003024A6"/>
    <w:rsid w:val="00305772"/>
    <w:rsid w:val="003149DB"/>
    <w:rsid w:val="00315204"/>
    <w:rsid w:val="00325C31"/>
    <w:rsid w:val="00351312"/>
    <w:rsid w:val="003536FA"/>
    <w:rsid w:val="00353B25"/>
    <w:rsid w:val="00360C26"/>
    <w:rsid w:val="00366813"/>
    <w:rsid w:val="00372230"/>
    <w:rsid w:val="0037774E"/>
    <w:rsid w:val="0038285C"/>
    <w:rsid w:val="00386D6F"/>
    <w:rsid w:val="003A414B"/>
    <w:rsid w:val="003A4C6E"/>
    <w:rsid w:val="003A79D4"/>
    <w:rsid w:val="003C2F3A"/>
    <w:rsid w:val="003E54D8"/>
    <w:rsid w:val="003E65D3"/>
    <w:rsid w:val="003F0268"/>
    <w:rsid w:val="003F63DD"/>
    <w:rsid w:val="003F7219"/>
    <w:rsid w:val="003F776A"/>
    <w:rsid w:val="004032BA"/>
    <w:rsid w:val="00421137"/>
    <w:rsid w:val="00427D3C"/>
    <w:rsid w:val="00436EC3"/>
    <w:rsid w:val="00437D46"/>
    <w:rsid w:val="00441F82"/>
    <w:rsid w:val="00444B01"/>
    <w:rsid w:val="0045202E"/>
    <w:rsid w:val="00485909"/>
    <w:rsid w:val="004A0AB0"/>
    <w:rsid w:val="004B4DDA"/>
    <w:rsid w:val="004D00A2"/>
    <w:rsid w:val="004D71AE"/>
    <w:rsid w:val="004F7D95"/>
    <w:rsid w:val="0050213D"/>
    <w:rsid w:val="00502D03"/>
    <w:rsid w:val="0051487E"/>
    <w:rsid w:val="00524567"/>
    <w:rsid w:val="00535A3A"/>
    <w:rsid w:val="00536359"/>
    <w:rsid w:val="00562B06"/>
    <w:rsid w:val="00566E7E"/>
    <w:rsid w:val="005946EE"/>
    <w:rsid w:val="0059707B"/>
    <w:rsid w:val="005A64AA"/>
    <w:rsid w:val="005E607B"/>
    <w:rsid w:val="005F1947"/>
    <w:rsid w:val="005F254D"/>
    <w:rsid w:val="005F5CC8"/>
    <w:rsid w:val="00600BA3"/>
    <w:rsid w:val="00603721"/>
    <w:rsid w:val="00606BAB"/>
    <w:rsid w:val="006153E0"/>
    <w:rsid w:val="00631444"/>
    <w:rsid w:val="00654EB7"/>
    <w:rsid w:val="0067378A"/>
    <w:rsid w:val="00673F23"/>
    <w:rsid w:val="00681325"/>
    <w:rsid w:val="00682077"/>
    <w:rsid w:val="0068292B"/>
    <w:rsid w:val="00682E3A"/>
    <w:rsid w:val="006905B6"/>
    <w:rsid w:val="006A46A4"/>
    <w:rsid w:val="006B175D"/>
    <w:rsid w:val="006C2016"/>
    <w:rsid w:val="006C7750"/>
    <w:rsid w:val="006D0599"/>
    <w:rsid w:val="006D09F1"/>
    <w:rsid w:val="006D4F6F"/>
    <w:rsid w:val="006E5581"/>
    <w:rsid w:val="006F1DB8"/>
    <w:rsid w:val="007009B1"/>
    <w:rsid w:val="0070408E"/>
    <w:rsid w:val="007368F1"/>
    <w:rsid w:val="00741AD8"/>
    <w:rsid w:val="00762DBE"/>
    <w:rsid w:val="0076316F"/>
    <w:rsid w:val="00764B87"/>
    <w:rsid w:val="00774CBA"/>
    <w:rsid w:val="0077666F"/>
    <w:rsid w:val="00781A16"/>
    <w:rsid w:val="00782FBC"/>
    <w:rsid w:val="00782FC5"/>
    <w:rsid w:val="007907BB"/>
    <w:rsid w:val="007918FA"/>
    <w:rsid w:val="007A4695"/>
    <w:rsid w:val="007C0C31"/>
    <w:rsid w:val="007D1DB2"/>
    <w:rsid w:val="007E0B30"/>
    <w:rsid w:val="007E70F5"/>
    <w:rsid w:val="007F4D65"/>
    <w:rsid w:val="007F79B2"/>
    <w:rsid w:val="00804A65"/>
    <w:rsid w:val="0081084B"/>
    <w:rsid w:val="00810B1E"/>
    <w:rsid w:val="0081191E"/>
    <w:rsid w:val="0081428A"/>
    <w:rsid w:val="00855F85"/>
    <w:rsid w:val="00857BCA"/>
    <w:rsid w:val="0086257C"/>
    <w:rsid w:val="008B301E"/>
    <w:rsid w:val="008B51A6"/>
    <w:rsid w:val="008C06CC"/>
    <w:rsid w:val="008C1C1D"/>
    <w:rsid w:val="008C1F31"/>
    <w:rsid w:val="008D5C9C"/>
    <w:rsid w:val="008E4058"/>
    <w:rsid w:val="008F5562"/>
    <w:rsid w:val="0092327A"/>
    <w:rsid w:val="00927688"/>
    <w:rsid w:val="009322D0"/>
    <w:rsid w:val="009322E5"/>
    <w:rsid w:val="00933D58"/>
    <w:rsid w:val="00934070"/>
    <w:rsid w:val="00943251"/>
    <w:rsid w:val="00946EDE"/>
    <w:rsid w:val="0094796A"/>
    <w:rsid w:val="00973ECB"/>
    <w:rsid w:val="00977CF3"/>
    <w:rsid w:val="00995CF6"/>
    <w:rsid w:val="009B36E0"/>
    <w:rsid w:val="009B768F"/>
    <w:rsid w:val="009C0FA9"/>
    <w:rsid w:val="009D6343"/>
    <w:rsid w:val="009E40AB"/>
    <w:rsid w:val="009F060D"/>
    <w:rsid w:val="009F3E72"/>
    <w:rsid w:val="00A20284"/>
    <w:rsid w:val="00A2048C"/>
    <w:rsid w:val="00A26C4B"/>
    <w:rsid w:val="00A32B01"/>
    <w:rsid w:val="00A40E58"/>
    <w:rsid w:val="00A478B1"/>
    <w:rsid w:val="00A5124A"/>
    <w:rsid w:val="00A51947"/>
    <w:rsid w:val="00A659D2"/>
    <w:rsid w:val="00A717D9"/>
    <w:rsid w:val="00AC6429"/>
    <w:rsid w:val="00AC6DB0"/>
    <w:rsid w:val="00AC79EE"/>
    <w:rsid w:val="00AE3F1E"/>
    <w:rsid w:val="00AF7CD5"/>
    <w:rsid w:val="00B01277"/>
    <w:rsid w:val="00B16AAC"/>
    <w:rsid w:val="00B35035"/>
    <w:rsid w:val="00B35633"/>
    <w:rsid w:val="00B41355"/>
    <w:rsid w:val="00B43043"/>
    <w:rsid w:val="00B5658B"/>
    <w:rsid w:val="00B71D88"/>
    <w:rsid w:val="00B76A19"/>
    <w:rsid w:val="00B80367"/>
    <w:rsid w:val="00B828C1"/>
    <w:rsid w:val="00B84FF7"/>
    <w:rsid w:val="00B8777C"/>
    <w:rsid w:val="00B901F6"/>
    <w:rsid w:val="00B92891"/>
    <w:rsid w:val="00BA6CCD"/>
    <w:rsid w:val="00BB1D70"/>
    <w:rsid w:val="00BC457E"/>
    <w:rsid w:val="00BC4682"/>
    <w:rsid w:val="00C04B27"/>
    <w:rsid w:val="00C30E19"/>
    <w:rsid w:val="00C3419A"/>
    <w:rsid w:val="00C43374"/>
    <w:rsid w:val="00C46EB1"/>
    <w:rsid w:val="00C55A5B"/>
    <w:rsid w:val="00C6564F"/>
    <w:rsid w:val="00C70FD9"/>
    <w:rsid w:val="00C8078C"/>
    <w:rsid w:val="00C80FD4"/>
    <w:rsid w:val="00C85479"/>
    <w:rsid w:val="00C87DD1"/>
    <w:rsid w:val="00C90703"/>
    <w:rsid w:val="00C916B3"/>
    <w:rsid w:val="00C92288"/>
    <w:rsid w:val="00C92881"/>
    <w:rsid w:val="00CA3656"/>
    <w:rsid w:val="00CA7AD7"/>
    <w:rsid w:val="00CB197C"/>
    <w:rsid w:val="00CB5A71"/>
    <w:rsid w:val="00CC661E"/>
    <w:rsid w:val="00CD29AB"/>
    <w:rsid w:val="00CE07F4"/>
    <w:rsid w:val="00CF3151"/>
    <w:rsid w:val="00CF49F8"/>
    <w:rsid w:val="00CF718E"/>
    <w:rsid w:val="00D01257"/>
    <w:rsid w:val="00D053BB"/>
    <w:rsid w:val="00D06907"/>
    <w:rsid w:val="00D1663B"/>
    <w:rsid w:val="00D319FB"/>
    <w:rsid w:val="00D36DF2"/>
    <w:rsid w:val="00D604AC"/>
    <w:rsid w:val="00D72797"/>
    <w:rsid w:val="00D755BB"/>
    <w:rsid w:val="00D759AE"/>
    <w:rsid w:val="00D80AA0"/>
    <w:rsid w:val="00D93498"/>
    <w:rsid w:val="00DA2F6A"/>
    <w:rsid w:val="00DC071F"/>
    <w:rsid w:val="00DC2D18"/>
    <w:rsid w:val="00DC3405"/>
    <w:rsid w:val="00DC41BC"/>
    <w:rsid w:val="00DD559E"/>
    <w:rsid w:val="00DE7F9A"/>
    <w:rsid w:val="00DF69A2"/>
    <w:rsid w:val="00E01CF9"/>
    <w:rsid w:val="00E11A44"/>
    <w:rsid w:val="00E17935"/>
    <w:rsid w:val="00E53061"/>
    <w:rsid w:val="00E606C4"/>
    <w:rsid w:val="00E63B5E"/>
    <w:rsid w:val="00E75C0B"/>
    <w:rsid w:val="00E869A2"/>
    <w:rsid w:val="00EB0F28"/>
    <w:rsid w:val="00EB227A"/>
    <w:rsid w:val="00EC2376"/>
    <w:rsid w:val="00EC440A"/>
    <w:rsid w:val="00F0773E"/>
    <w:rsid w:val="00F13948"/>
    <w:rsid w:val="00F1419F"/>
    <w:rsid w:val="00F34435"/>
    <w:rsid w:val="00F42C89"/>
    <w:rsid w:val="00F46547"/>
    <w:rsid w:val="00F5109A"/>
    <w:rsid w:val="00F579FB"/>
    <w:rsid w:val="00F6581C"/>
    <w:rsid w:val="00F75545"/>
    <w:rsid w:val="00FA2A8A"/>
    <w:rsid w:val="00FA411E"/>
    <w:rsid w:val="00FA7C31"/>
    <w:rsid w:val="00FB1202"/>
    <w:rsid w:val="00FB393A"/>
    <w:rsid w:val="00FB5246"/>
    <w:rsid w:val="00FB5E6E"/>
    <w:rsid w:val="00FC34EA"/>
    <w:rsid w:val="00FD24B0"/>
    <w:rsid w:val="00FD39C1"/>
    <w:rsid w:val="00FD40BF"/>
    <w:rsid w:val="00FD792F"/>
    <w:rsid w:val="00FE42D6"/>
    <w:rsid w:val="2FE551D2"/>
    <w:rsid w:val="5394C88E"/>
    <w:rsid w:val="6E9AA6B9"/>
    <w:rsid w:val="7E704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6F812"/>
  <w15:chartTrackingRefBased/>
  <w15:docId w15:val="{942C1725-115D-7B44-83C7-A1B54832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HAnsi" w:hAnsi="Georgia" w:cs="Times New Roman (Body CS)"/>
        <w:color w:val="196B24" w:themeColor="accent3"/>
        <w:kern w:val="2"/>
        <w:sz w:val="44"/>
        <w:szCs w:val="3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6FA"/>
    <w:rPr>
      <w:color w:val="auto"/>
      <w:sz w:val="24"/>
      <w:szCs w:val="24"/>
    </w:rPr>
  </w:style>
  <w:style w:type="paragraph" w:styleId="Heading1">
    <w:name w:val="heading 1"/>
    <w:basedOn w:val="Normal"/>
    <w:next w:val="Normal"/>
    <w:link w:val="Heading1Char"/>
    <w:uiPriority w:val="9"/>
    <w:qFormat/>
    <w:rsid w:val="003536FA"/>
    <w:pPr>
      <w:keepNext/>
      <w:keepLines/>
      <w:spacing w:before="240"/>
      <w:outlineLvl w:val="0"/>
    </w:pPr>
    <w:rPr>
      <w:rFonts w:eastAsiaTheme="majorEastAsia" w:cstheme="majorBidi"/>
      <w:color w:val="124F1A" w:themeColor="accent3" w:themeShade="BF"/>
      <w:sz w:val="36"/>
      <w:szCs w:val="36"/>
    </w:rPr>
  </w:style>
  <w:style w:type="paragraph" w:styleId="Heading2">
    <w:name w:val="heading 2"/>
    <w:basedOn w:val="Normal"/>
    <w:next w:val="Normal"/>
    <w:link w:val="Heading2Char"/>
    <w:uiPriority w:val="9"/>
    <w:unhideWhenUsed/>
    <w:qFormat/>
    <w:rsid w:val="003536FA"/>
    <w:pPr>
      <w:keepNext/>
      <w:keepLines/>
      <w:spacing w:before="40"/>
      <w:outlineLvl w:val="1"/>
    </w:pPr>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rsid w:val="003536FA"/>
    <w:pPr>
      <w:keepNext/>
      <w:keepLines/>
      <w:spacing w:before="40"/>
      <w:outlineLvl w:val="2"/>
    </w:pPr>
    <w:rPr>
      <w:rFonts w:eastAsiaTheme="majorEastAsia" w:cstheme="majorBidi"/>
      <w:b/>
      <w:bCs/>
      <w:color w:val="BF4E14" w:themeColor="accent2" w:themeShade="BF"/>
      <w:sz w:val="26"/>
      <w:szCs w:val="26"/>
    </w:rPr>
  </w:style>
  <w:style w:type="paragraph" w:styleId="Heading4">
    <w:name w:val="heading 4"/>
    <w:basedOn w:val="Normal"/>
    <w:next w:val="Normal"/>
    <w:link w:val="Heading4Char"/>
    <w:uiPriority w:val="9"/>
    <w:unhideWhenUsed/>
    <w:qFormat/>
    <w:rsid w:val="003536FA"/>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1A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1A1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1A1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1A1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1A1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6FA"/>
    <w:rPr>
      <w:rFonts w:eastAsiaTheme="majorEastAsia" w:cstheme="majorBidi"/>
      <w:color w:val="124F1A" w:themeColor="accent3" w:themeShade="BF"/>
      <w:sz w:val="36"/>
      <w:szCs w:val="36"/>
    </w:rPr>
  </w:style>
  <w:style w:type="character" w:customStyle="1" w:styleId="Heading2Char">
    <w:name w:val="Heading 2 Char"/>
    <w:basedOn w:val="DefaultParagraphFont"/>
    <w:link w:val="Heading2"/>
    <w:uiPriority w:val="9"/>
    <w:rsid w:val="003536FA"/>
    <w:rPr>
      <w:rFonts w:eastAsiaTheme="majorEastAsia" w:cstheme="majorBidi"/>
      <w:color w:val="0F4761" w:themeColor="accent1" w:themeShade="BF"/>
      <w:sz w:val="28"/>
      <w:szCs w:val="28"/>
    </w:rPr>
  </w:style>
  <w:style w:type="character" w:customStyle="1" w:styleId="Heading3Char">
    <w:name w:val="Heading 3 Char"/>
    <w:basedOn w:val="DefaultParagraphFont"/>
    <w:link w:val="Heading3"/>
    <w:uiPriority w:val="9"/>
    <w:rsid w:val="003536FA"/>
    <w:rPr>
      <w:rFonts w:eastAsiaTheme="majorEastAsia" w:cstheme="majorBidi"/>
      <w:b/>
      <w:bCs/>
      <w:color w:val="BF4E14" w:themeColor="accent2" w:themeShade="BF"/>
      <w:sz w:val="26"/>
      <w:szCs w:val="26"/>
    </w:rPr>
  </w:style>
  <w:style w:type="character" w:customStyle="1" w:styleId="Heading4Char">
    <w:name w:val="Heading 4 Char"/>
    <w:basedOn w:val="DefaultParagraphFont"/>
    <w:link w:val="Heading4"/>
    <w:uiPriority w:val="9"/>
    <w:rsid w:val="003536FA"/>
    <w:rPr>
      <w:rFonts w:asciiTheme="majorHAnsi" w:eastAsiaTheme="majorEastAsia" w:hAnsiTheme="maj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sid w:val="00781A16"/>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781A16"/>
    <w:rPr>
      <w:rFonts w:asciiTheme="minorHAnsi" w:eastAsiaTheme="majorEastAsia" w:hAnsiTheme="minorHAnsi"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781A16"/>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781A16"/>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781A16"/>
    <w:rPr>
      <w:rFonts w:asciiTheme="minorHAnsi" w:eastAsiaTheme="majorEastAsia" w:hAnsiTheme="minorHAnsi" w:cstheme="majorBidi"/>
      <w:color w:val="272727" w:themeColor="text1" w:themeTint="D8"/>
      <w:sz w:val="24"/>
      <w:szCs w:val="24"/>
    </w:rPr>
  </w:style>
  <w:style w:type="paragraph" w:styleId="Title">
    <w:name w:val="Title"/>
    <w:basedOn w:val="Normal"/>
    <w:next w:val="Normal"/>
    <w:link w:val="TitleChar"/>
    <w:uiPriority w:val="10"/>
    <w:qFormat/>
    <w:rsid w:val="00781A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A1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781A1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A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1A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1A16"/>
    <w:rPr>
      <w:i/>
      <w:iCs/>
      <w:color w:val="404040" w:themeColor="text1" w:themeTint="BF"/>
      <w:sz w:val="24"/>
      <w:szCs w:val="24"/>
    </w:rPr>
  </w:style>
  <w:style w:type="paragraph" w:styleId="ListParagraph">
    <w:name w:val="List Paragraph"/>
    <w:basedOn w:val="Normal"/>
    <w:qFormat/>
    <w:rsid w:val="00781A16"/>
    <w:pPr>
      <w:ind w:left="720"/>
      <w:contextualSpacing/>
    </w:pPr>
  </w:style>
  <w:style w:type="character" w:styleId="IntenseEmphasis">
    <w:name w:val="Intense Emphasis"/>
    <w:basedOn w:val="DefaultParagraphFont"/>
    <w:uiPriority w:val="21"/>
    <w:qFormat/>
    <w:rsid w:val="00781A16"/>
    <w:rPr>
      <w:i/>
      <w:iCs/>
      <w:color w:val="0F4761" w:themeColor="accent1" w:themeShade="BF"/>
    </w:rPr>
  </w:style>
  <w:style w:type="paragraph" w:styleId="IntenseQuote">
    <w:name w:val="Intense Quote"/>
    <w:basedOn w:val="Normal"/>
    <w:next w:val="Normal"/>
    <w:link w:val="IntenseQuoteChar"/>
    <w:uiPriority w:val="30"/>
    <w:qFormat/>
    <w:rsid w:val="00781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A16"/>
    <w:rPr>
      <w:i/>
      <w:iCs/>
      <w:color w:val="0F4761" w:themeColor="accent1" w:themeShade="BF"/>
      <w:sz w:val="24"/>
      <w:szCs w:val="24"/>
    </w:rPr>
  </w:style>
  <w:style w:type="character" w:styleId="IntenseReference">
    <w:name w:val="Intense Reference"/>
    <w:basedOn w:val="DefaultParagraphFont"/>
    <w:uiPriority w:val="32"/>
    <w:qFormat/>
    <w:rsid w:val="00781A16"/>
    <w:rPr>
      <w:b/>
      <w:bCs/>
      <w:smallCaps/>
      <w:color w:val="0F4761" w:themeColor="accent1" w:themeShade="BF"/>
      <w:spacing w:val="5"/>
    </w:rPr>
  </w:style>
  <w:style w:type="character" w:styleId="Hyperlink">
    <w:name w:val="Hyperlink"/>
    <w:uiPriority w:val="99"/>
    <w:unhideWhenUsed/>
    <w:rsid w:val="00781A16"/>
    <w:rPr>
      <w:color w:val="0563C1"/>
      <w:u w:val="single"/>
    </w:rPr>
  </w:style>
  <w:style w:type="paragraph" w:styleId="NoSpacing">
    <w:name w:val="No Spacing"/>
    <w:uiPriority w:val="1"/>
    <w:qFormat/>
    <w:rsid w:val="00973ECB"/>
    <w:rPr>
      <w:color w:val="auto"/>
      <w:sz w:val="24"/>
      <w:szCs w:val="24"/>
    </w:rPr>
  </w:style>
  <w:style w:type="paragraph" w:styleId="FootnoteText">
    <w:name w:val="footnote text"/>
    <w:basedOn w:val="Normal"/>
    <w:link w:val="FootnoteTextChar"/>
    <w:uiPriority w:val="99"/>
    <w:semiHidden/>
    <w:unhideWhenUsed/>
    <w:rsid w:val="00E11A44"/>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E11A44"/>
    <w:rPr>
      <w:rFonts w:ascii="Arial" w:eastAsia="Arial" w:hAnsi="Arial" w:cs="Arial"/>
      <w:color w:val="auto"/>
      <w:kern w:val="0"/>
      <w:sz w:val="20"/>
      <w:szCs w:val="20"/>
      <w14:ligatures w14:val="none"/>
    </w:rPr>
  </w:style>
  <w:style w:type="character" w:styleId="FootnoteReference">
    <w:name w:val="footnote reference"/>
    <w:basedOn w:val="DefaultParagraphFont"/>
    <w:uiPriority w:val="99"/>
    <w:semiHidden/>
    <w:unhideWhenUsed/>
    <w:rsid w:val="00E11A44"/>
    <w:rPr>
      <w:vertAlign w:val="superscript"/>
    </w:rPr>
  </w:style>
  <w:style w:type="paragraph" w:styleId="Header">
    <w:name w:val="header"/>
    <w:basedOn w:val="Normal"/>
    <w:link w:val="HeaderChar"/>
    <w:uiPriority w:val="99"/>
    <w:unhideWhenUsed/>
    <w:rsid w:val="007009B1"/>
    <w:pPr>
      <w:tabs>
        <w:tab w:val="center" w:pos="4680"/>
        <w:tab w:val="right" w:pos="9360"/>
      </w:tabs>
    </w:pPr>
  </w:style>
  <w:style w:type="character" w:customStyle="1" w:styleId="HeaderChar">
    <w:name w:val="Header Char"/>
    <w:basedOn w:val="DefaultParagraphFont"/>
    <w:link w:val="Header"/>
    <w:uiPriority w:val="99"/>
    <w:rsid w:val="007009B1"/>
    <w:rPr>
      <w:color w:val="auto"/>
      <w:sz w:val="24"/>
      <w:szCs w:val="24"/>
    </w:rPr>
  </w:style>
  <w:style w:type="paragraph" w:styleId="Footer">
    <w:name w:val="footer"/>
    <w:basedOn w:val="Normal"/>
    <w:link w:val="FooterChar"/>
    <w:uiPriority w:val="99"/>
    <w:unhideWhenUsed/>
    <w:rsid w:val="007009B1"/>
    <w:pPr>
      <w:tabs>
        <w:tab w:val="center" w:pos="4680"/>
        <w:tab w:val="right" w:pos="9360"/>
      </w:tabs>
    </w:pPr>
  </w:style>
  <w:style w:type="character" w:customStyle="1" w:styleId="FooterChar">
    <w:name w:val="Footer Char"/>
    <w:basedOn w:val="DefaultParagraphFont"/>
    <w:link w:val="Footer"/>
    <w:uiPriority w:val="99"/>
    <w:rsid w:val="007009B1"/>
    <w:rPr>
      <w:color w:val="auto"/>
      <w:sz w:val="24"/>
      <w:szCs w:val="24"/>
    </w:rPr>
  </w:style>
  <w:style w:type="character" w:styleId="PageNumber">
    <w:name w:val="page number"/>
    <w:basedOn w:val="DefaultParagraphFont"/>
    <w:uiPriority w:val="99"/>
    <w:semiHidden/>
    <w:unhideWhenUsed/>
    <w:rsid w:val="00C04B27"/>
  </w:style>
  <w:style w:type="character" w:styleId="FollowedHyperlink">
    <w:name w:val="FollowedHyperlink"/>
    <w:basedOn w:val="DefaultParagraphFont"/>
    <w:uiPriority w:val="99"/>
    <w:semiHidden/>
    <w:unhideWhenUsed/>
    <w:rsid w:val="00DC2D18"/>
    <w:rPr>
      <w:color w:val="96607D" w:themeColor="followedHyperlink"/>
      <w:u w:val="singl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color w:val="auto"/>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D5C9C"/>
    <w:rPr>
      <w:b/>
      <w:bCs/>
    </w:rPr>
  </w:style>
  <w:style w:type="character" w:customStyle="1" w:styleId="CommentSubjectChar">
    <w:name w:val="Comment Subject Char"/>
    <w:basedOn w:val="CommentTextChar"/>
    <w:link w:val="CommentSubject"/>
    <w:uiPriority w:val="99"/>
    <w:semiHidden/>
    <w:rsid w:val="008D5C9C"/>
    <w:rPr>
      <w:b/>
      <w:bCs/>
      <w:color w:val="auto"/>
      <w:sz w:val="20"/>
      <w:szCs w:val="20"/>
    </w:rPr>
  </w:style>
  <w:style w:type="paragraph" w:styleId="Revision">
    <w:name w:val="Revision"/>
    <w:hidden/>
    <w:uiPriority w:val="99"/>
    <w:semiHidden/>
    <w:rsid w:val="008D5C9C"/>
    <w:rPr>
      <w:color w:val="auto"/>
      <w:sz w:val="24"/>
      <w:szCs w:val="24"/>
    </w:rPr>
  </w:style>
  <w:style w:type="character" w:styleId="UnresolvedMention">
    <w:name w:val="Unresolved Mention"/>
    <w:basedOn w:val="DefaultParagraphFont"/>
    <w:uiPriority w:val="99"/>
    <w:semiHidden/>
    <w:unhideWhenUsed/>
    <w:rsid w:val="000B441C"/>
    <w:rPr>
      <w:color w:val="605E5C"/>
      <w:shd w:val="clear" w:color="auto" w:fill="E1DFDD"/>
    </w:rPr>
  </w:style>
  <w:style w:type="table" w:styleId="PlainTable5">
    <w:name w:val="Plain Table 5"/>
    <w:basedOn w:val="TableNormal"/>
    <w:uiPriority w:val="45"/>
    <w:rsid w:val="006905B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49" Type="http://schemas.openxmlformats.org/officeDocument/2006/relationships/footer" Target="footer1.xml"/><Relationship Id="rId5" Type="http://schemas.openxmlformats.org/officeDocument/2006/relationships/webSettings" Target="webSettings.xml"/><Relationship Id="rId15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1"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3" Type="http://schemas.openxmlformats.org/officeDocument/2006/relationships/styles" Target="styles.xml"/><Relationship Id="rId153" Type="http://schemas.openxmlformats.org/officeDocument/2006/relationships/theme" Target="theme/theme1.xml"/><Relationship Id="rId4" Type="http://schemas.openxmlformats.org/officeDocument/2006/relationships/settings" Target="settings.xml"/><Relationship Id="rId8" Type="http://schemas.openxmlformats.org/officeDocument/2006/relationships/image" Target="media/image6.png"/><Relationship Id="rId9" Type="http://schemas.openxmlformats.org/officeDocument/2006/relationships/hyperlink" Target="https://www2.census.gov/programs-surveys/popest/datasets/2020-2025/counties/totals/co-est2025-alldata.csv" TargetMode="External"/><Relationship Id="rId10" Type="http://schemas.openxmlformats.org/officeDocument/2006/relationships/hyperlink" Target="https://electionlab.mit.edu/data" TargetMode="External"/><Relationship Id="rId11" Type="http://schemas.openxmlformats.org/officeDocument/2006/relationships/hyperlink" Target="https://www.eia.gov/electricity/data/eia860m/" TargetMode="External"/><Relationship Id="rId12" Type="http://schemas.openxmlformats.org/officeDocument/2006/relationships/hyperlink" Target="https://quicksandcheck.com/texas/harris-county/" TargetMode="External"/><Relationship Id="rId13" Type="http://schemas.openxmlformats.org/officeDocument/2006/relationships/hyperlink" Target="https://www.rigzone.com/news/centerpoint_targets_8_gw_of_data_center_load_in_3_years-26-apr-2026-183533-article/" TargetMode="External"/><Relationship Id="rId14" Type="http://schemas.openxmlformats.org/officeDocument/2006/relationships/hyperlink" Target="https://www.pasadenatx.gov/AgendaCenter/ViewFile/Minutes/_04012025-574" TargetMode="External"/><Relationship Id="rId15" Type="http://schemas.openxmlformats.org/officeDocument/2006/relationships/hyperlink" Target="https://hcfchub.net/ova_dep/energy-storage-systems/" TargetMode="External"/><Relationship Id="rId16" Type="http://schemas.openxmlformats.org/officeDocument/2006/relationships/hyperlink" Target="https://texasgop.org/resolution-to-protect-texas-counties-from-the-rapid-expansion-of-battery-energy-storage-systems-bess/" TargetMode="External"/><Relationship Id="rId17" Type="http://schemas.openxmlformats.org/officeDocument/2006/relationships/hyperlink" Target="https://www.utilitydive.com/news/centerpoint-energy-14-gw-texas-batch-zero-large-load-earnings/826329/" TargetMode="External"/><Relationship Id="rId18" Type="http://schemas.openxmlformats.org/officeDocument/2006/relationships/hyperlink" Target="https://www.utilitydive.com/news/texas-regulators-trim-approve-27b-centerpoint-system-resiliency-plan/758476/" TargetMode="External"/><Relationship Id="rId19" Type="http://schemas.openxmlformats.org/officeDocument/2006/relationships/hyperlink" Target="https://communityimpact.com/bay-area/environment/harris-county-launches-affordable-clean-energy-program/" TargetMode="External"/><Relationship Id="rId20" Type="http://schemas.openxmlformats.org/officeDocument/2006/relationships/hyperlink" Target="https://communityimpact.com/tomball-magnolia/government/tomball-city-council-denies-conditional-use-permit-for-battery-storage-system/" TargetMode="External"/><Relationship Id="rId21" Type="http://schemas.openxmlformats.org/officeDocument/2006/relationships/hyperlink" Target="https://www.pasadenatx.gov/AgendaCenter/ViewFile/Minutes/_10082024-533" TargetMode="External"/><Relationship Id="rId22" Type="http://schemas.openxmlformats.org/officeDocument/2006/relationships/hyperlink" Target="https://www.pasadenatx.gov/AgendaCenter/ViewFile/Minutes/_01072025-553" TargetMode="External"/><Relationship Id="rId23" Type="http://schemas.openxmlformats.org/officeDocument/2006/relationships/hyperlink" Target="https://www.pasadenatx.gov/AgendaCenter/ViewFile/Agenda/_11042025-636" TargetMode="External"/><Relationship Id="rId24" Type="http://schemas.openxmlformats.org/officeDocument/2006/relationships/hyperlink" Target="https://baytown.org/CivicAlerts.asp?AID=1231" TargetMode="External"/><Relationship Id="rId25" Type="http://schemas.openxmlformats.org/officeDocument/2006/relationships/hyperlink" Target="https://baytown.org/CivicAlerts.asp?AID=1362" TargetMode="External"/><Relationship Id="rId26" Type="http://schemas.openxmlformats.org/officeDocument/2006/relationships/hyperlink" Target="https://capitol.texas.gov/tlodocs/89R/handouts/C4502026042310001/63fa389c-78a1-45e9-9914-c39bb46ecf2c.PDF" TargetMode="External"/><Relationship Id="rId27" Type="http://schemas.openxmlformats.org/officeDocument/2006/relationships/hyperlink" Target="https://capitol.texas.gov/tlodocs/89R/billtext/html/HB03824F.htm" TargetMode="External"/><Relationship Id="rId28" Type="http://schemas.openxmlformats.org/officeDocument/2006/relationships/hyperlink" Target="https://www.tdi.texas.gov/rules/index.html" TargetMode="External"/><Relationship Id="rId29" Type="http://schemas.openxmlformats.org/officeDocument/2006/relationships/hyperlink" Target="https://destinyhosted.com/baytodocs/2026/PZ/20260120_3736/3742_2026%2001%2020%20P%26Z%20PACKET.pdf" TargetMode="External"/><Relationship Id="rId30" Type="http://schemas.openxmlformats.org/officeDocument/2006/relationships/hyperlink" Target="https://destinyhosted.com/baytodocs/2025/CC%20Regular/20250814_3662/3668_2025%2008%2014%20JOINT%20CC%20MDD%20AGENDA%20PACKET.pdf" TargetMode="External"/><Relationship Id="rId31" Type="http://schemas.openxmlformats.org/officeDocument/2006/relationships/hyperlink" Target="https://www.boernestar.com/article/9257,county-makes-move-to-help-in-fight-against-battery-storage-systems" TargetMode="External"/><Relationship Id="rId32" Type="http://schemas.openxmlformats.org/officeDocument/2006/relationships/hyperlink" Target="https://www.uh.edu/hobby/harris2026/county2026.pdf" TargetMode="External"/><Relationship Id="rId33" Type="http://schemas.openxmlformats.org/officeDocument/2006/relationships/hyperlink" Target="https://capitol.texas.gov/BillLookup/History.aspx?LegSess=89R&amp;Bill=SB819" TargetMode="External"/><Relationship Id="rId34" Type="http://schemas.openxmlformats.org/officeDocument/2006/relationships/hyperlink" Target="https://poweralliance.org/2026/04/23/advanced-power-alliance-testifies-before-texas-house-committee-on-state-affairs-2/" TargetMode="External"/><Relationship Id="rId35" Type="http://schemas.openxmlformats.org/officeDocument/2006/relationships/hyperlink" Target="https://www.pasadenatx.gov/AgendaCenter/ViewFile/Minutes/_10012024-531" TargetMode="External"/><Relationship Id="rId36" Type="http://schemas.openxmlformats.org/officeDocument/2006/relationships/hyperlink" Target="https://www.pasadenatx.gov/AgendaCenter/ViewFile/Agenda/_01062025-552" TargetMode="External"/><Relationship Id="rId37" Type="http://schemas.openxmlformats.org/officeDocument/2006/relationships/hyperlink" Target="https://www.pasadenatx.gov/AgendaCenter/ViewFile/Agenda/_03182025-571" TargetMode="External"/><Relationship Id="rId38" Type="http://schemas.openxmlformats.org/officeDocument/2006/relationships/hyperlink" Target="https://www.pasadenatx.gov/AgendaCenter/ViewFile/Agenda/_10202026-735" TargetMode="External"/><Relationship Id="rId39" Type="http://schemas.openxmlformats.org/officeDocument/2006/relationships/hyperlink" Target="https://www.pasadenatx.gov/AgendaCenter/ViewFile/Agenda/_10072025-629" TargetMode="External"/><Relationship Id="rId40" Type="http://schemas.openxmlformats.org/officeDocument/2006/relationships/hyperlink" Target="https://www.pasadenatx.gov/607/Plan-Review" TargetMode="External"/><Relationship Id="rId41" Type="http://schemas.openxmlformats.org/officeDocument/2006/relationships/hyperlink" Target="https://destinyhosted.com/baytodocs/2025/CC%20Regular/20250911_3675/3681_2025%2009%2011%20CC%20AGENDA%20PACKET.pdf" TargetMode="External"/><Relationship Id="rId42" Type="http://schemas.openxmlformats.org/officeDocument/2006/relationships/hyperlink" Target="https://destinyhosted.com/baytodocs/2025/CC%20Regular/20251211_3703/3709_2025%2012%2011%20CC%20PACKET.pdf" TargetMode="External"/><Relationship Id="rId43" Type="http://schemas.openxmlformats.org/officeDocument/2006/relationships/hyperlink" Target="https://www.baytown.org/CivicAlerts.aspx?AID=808" TargetMode="External"/><Relationship Id="rId44" Type="http://schemas.openxmlformats.org/officeDocument/2006/relationships/hyperlink" Target="https://capitol.texas.gov/tlodocs/89R/analysis/html/HB03809S.htm" TargetMode="External"/><Relationship Id="rId45" Type="http://schemas.openxmlformats.org/officeDocument/2006/relationships/hyperlink" Target="https://capitol.texas.gov/tlodocs/89R/analysis/html/SB00006F.htm" TargetMode="External"/><Relationship Id="rId46" Type="http://schemas.openxmlformats.org/officeDocument/2006/relationships/hyperlink" Target="https://www.bracewell.com/news-events/centerpoint-expects-14-gw-of-demand-added-to-grid-by-2031-thanks-to-new-ercot-process/" TargetMode="External"/><Relationship Id="rId47" Type="http://schemas.openxmlformats.org/officeDocument/2006/relationships/hyperlink" Target="https://communityimpact.com/houston/katy-north/government/2024/10/15/katy-city-council-denies-permit-for-energy-storage-facility-amid-community-pushback/" TargetMode="External"/><Relationship Id="rId48" Type="http://schemas.openxmlformats.org/officeDocument/2006/relationships/hyperlink" Target="https://www.click2houston.com/news/local/2025/12/08/katy-battery-plant-decision-delayed-ercot-says-citys-denial-affects-grid-authority/" TargetMode="External"/><Relationship Id="rId49" Type="http://schemas.openxmlformats.org/officeDocument/2006/relationships/hyperlink" Target="https://coveringkaty.com/news/katy/ochoa-energy-storage-withdraws-application-to-build-battery-/" TargetMode="External"/><Relationship Id="rId50" Type="http://schemas.openxmlformats.org/officeDocument/2006/relationships/hyperlink" Target="https://communityimpact.com/bay-area/development/proposed-battery-storage-facility-in-league-city-faces-resident-backlash/" TargetMode="External"/><Relationship Id="rId51" Type="http://schemas.openxmlformats.org/officeDocument/2006/relationships/hyperlink" Target="https://www.leaguecitytx.gov/DocumentCenter/View/44947/4A-Staff-Report---BESS-Ordinance" TargetMode="External"/><Relationship Id="rId52" Type="http://schemas.openxmlformats.org/officeDocument/2006/relationships/hyperlink" Target="https://destinyhosted.com/baytodocs/2025/CC%20Regular/20251118_3700/3706_2025%2011%2013%20CC%20AGENDA%20PACKET.pdf" TargetMode="External"/><Relationship Id="rId53" Type="http://schemas.openxmlformats.org/officeDocument/2006/relationships/hyperlink" Target="https://destinyhosted.com/baytodocs/2023/CC%20Regular/20231026_3178/24390_2023_10_12_CC_Minutes.pdf" TargetMode="External"/><Relationship Id="rId54" Type="http://schemas.openxmlformats.org/officeDocument/2006/relationships/hyperlink" Target="https://online.encodeplus.com/regs/baytown-tx-uldc/doc-viewer.aspx?secid=56"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3F24F-BA9A-A14D-AF97-B48AA56D9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Jefferson Template.dotx</Template>
  <TotalTime>1</TotalTime>
  <Pages>14</Pages>
  <Words>8903</Words>
  <Characters>50753</Characters>
  <Application>Microsoft Office Word</Application>
  <DocSecurity>0</DocSecurity>
  <Lines>422</Lines>
  <Paragraphs>119</Paragraphs>
  <ScaleCrop>false</ScaleCrop>
  <Company/>
  <LinksUpToDate>false</LinksUpToDate>
  <CharactersWithSpaces>59537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Harris County, Texas</dc:title>
  <dc:subject/>
  <dc:creator>Hawthorn Intelligence</dc:creator>
  <cp:keywords/>
  <dc:description/>
  <cp:lastModifiedBy>Hawthorn Intelligence</cp:lastModifiedBy>
  <cp:revision>2</cp:revision>
  <dcterms:created xsi:type="dcterms:W3CDTF">2026-10-06T23:40:00Z</dcterms:created>
  <dcterms:modified xsi:type="dcterms:W3CDTF">2026-10-06T23:40:00Z</dcterms:modified>
</cp:coreProperties>
</file>