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360" w:after="120"/>
      </w:pPr>
      <w:r>
        <w:rPr>
          <w:b/>
        </w:rPr>
        <w:t>Case Study</w:t>
      </w:r>
      <w:r>
        <w:t>: Linn County, Iowa</w:t>
      </w:r>
    </w:p>
    <w:p>
      <w:pPr>
        <w:spacing w:after="200"/>
      </w:pPr>
      <w:r>
        <w:rPr>
          <w:b/>
        </w:rPr>
        <w:t>Hawthorn Intelligence</w:t>
      </w:r>
    </w:p>
    <w:p>
      <w:pPr>
        <w:spacing w:after="200"/>
      </w:pPr>
      <w:r>
        <w:drawing>
          <wp:anchor distT="0" distB="0" distL="114300" distR="114300" simplePos="0" relativeHeight="251660290" behindDoc="0" locked="0" layoutInCell="1" allowOverlap="1" wp14:anchorId="237B77BB" wp14:editId="52ACF41C">
            <wp:simplePos x="0" y="0"/>
            <wp:positionH relativeFrom="column">
              <wp:posOffset>3474720</wp:posOffset>
            </wp:positionH>
            <wp:positionV relativeFrom="paragraph">
              <wp:posOffset>134804</wp:posOffset>
            </wp:positionV>
            <wp:extent cx="2926080" cy="1917192"/>
            <wp:effectExtent l="0" t="0" r="0" b="5080"/>
            <wp:wrapSquare wrapText="bothSides"/>
            <wp:docPr id="2044851896" name="Picture 2" descr="Case Study: Linn County, Iowa locat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Study: Linn County, Iowa locator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6080" cy="1917192"/>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Data as of October 16, 2026</w:t>
      </w:r>
    </w:p>
    <w:p>
      <w:pPr>
        <w:pStyle w:val="Heading2"/>
        <w:spacing w:before="240" w:after="80"/>
      </w:pPr>
      <w:r>
        <w:t>Key Takeaways</w:t>
      </w:r>
    </w:p>
    <w:p>
      <w:pPr>
        <w:pStyle w:val="ListParagraph"/>
        <w:numPr>
          <w:ilvl w:val="0"/>
          <w:numId w:val="11"/>
        </w:numPr>
        <w:spacing w:after="80"/>
      </w:pPr>
      <w:r>
        <w:rPr>
          <w:b/>
        </w:rPr>
        <w:t>Regulated but open</w:t>
      </w:r>
      <w:r>
        <w:t>: Linn approved its two big solar fights (Coggon, 100 MW, and Duane Arnold Solar I and II, 200 MW plus storage) on 2-1 votes, and the county won both resident lawsuits. It paused solar rezonings for a year in 2022 and 2023, then adopted one of Iowa's more detailed solar ordinances with a scoring system.</w:t>
      </w:r>
    </w:p>
    <w:p>
      <w:pPr>
        <w:pStyle w:val="ListParagraph"/>
        <w:numPr>
          <w:ilvl w:val="0"/>
          <w:numId w:val="11"/>
        </w:numPr>
        <w:spacing w:after="80"/>
      </w:pPr>
      <w:r>
        <w:rPr>
          <w:b/>
        </w:rPr>
        <w:t>The heat has moved to data centers</w:t>
      </w:r>
      <w:r>
        <w:t>: Google's plans near the Duane Arnold nuclear plant drove a February 2026 data-center ordinance, a July 2026 data-center moratorium passed 2-1, and a fight over expanding the three-member board. Solar and storage near the plant now sit inside that debate.</w:t>
      </w:r>
    </w:p>
    <w:p>
      <w:pPr>
        <w:pStyle w:val="ListParagraph"/>
        <w:numPr>
          <w:ilvl w:val="0"/>
          <w:numId w:val="11"/>
        </w:numPr>
        <w:spacing w:after="80"/>
      </w:pPr>
      <w:r>
        <w:rPr>
          <w:b/>
        </w:rPr>
        <w:t>Above the national average county:</w:t>
      </w:r>
      <w:r>
        <w:t xml:space="preserve"> Hawthorn Intelligence ranks Linn in the 80</w:t>
      </w:r>
      <w:r>
        <w:rPr>
          <w:vertAlign w:val="superscript"/>
        </w:rPr>
        <w:t>th</w:t>
      </w:r>
      <w:r>
        <w:t xml:space="preserve"> percentile (</w:t>
      </w:r>
      <w:r>
        <w:rPr>
          <w:i/>
        </w:rPr>
        <w:t>e.g.,</w:t>
      </w:r>
      <w:r>
        <w:t xml:space="preserve"> 80% of U.S. counties are graded less risky) for resemblance to a county with severe renewable restrictions, but only 40</w:t>
      </w:r>
      <w:r>
        <w:rPr>
          <w:vertAlign w:val="superscript"/>
        </w:rPr>
        <w:t>th</w:t>
      </w:r>
      <w:r>
        <w:t xml:space="preserve"> of 99 in Iowa, where restriction is common. Two of its six neighbors have severe restrictions on record, and a third has paused battery storage.</w:t>
      </w:r>
    </w:p>
    <w:p>
      <w:pPr>
        <w:pStyle w:val="ListParagraph"/>
        <w:numPr>
          <w:ilvl w:val="0"/>
          <w:numId w:val="11"/>
        </w:numPr>
        <w:spacing w:after="80"/>
      </w:pPr>
      <w:r>
        <w:rPr>
          <w:b/>
        </w:rPr>
        <w:t>Near-term risks</w:t>
      </w:r>
      <w:r>
        <w:t xml:space="preserve"> hinge on NextEra's Duane Arnold Solar IV (220 MW solar plus up to 180 MW storage), the November 3 supervisor race, the Cerro Gordo County lawsuit over the state's power to override county bans, and the 2027 Iowa legislative session.</w:t>
      </w:r>
    </w:p>
    <w:p>
      <w:pPr>
        <w:pStyle w:val="Heading2"/>
        <w:spacing w:before="240" w:after="80"/>
      </w:pPr>
      <w:r>
        <w:t>Summary</w:t>
      </w:r>
    </w:p>
    <w:p>
      <w:pPr>
        <w:spacing w:after="200"/>
      </w:pPr>
      <w:r>
        <w:t>Linn County, IA is open to solar and storage, but under some of the most detailed county rules in Iowa and with a politically divided three-member board. Its two contested solar approvals in 2022 each passed 2-1, each drew a resident lawsuit, and each lawsuit failed. The county then paused new solar rezonings for nearly a year and wrote a new ordinance, adopted unanimously in September 2023, with setbacks, screening and a scorecard that penalizes building on high-quality farmland.</w:t>
      </w:r>
    </w:p>
    <w:p>
      <w:pPr>
        <w:spacing w:after="200"/>
      </w:pPr>
      <w:r>
        <w:t>Hawthorn Intelligence assigns Linn a County Restriction Score of 0.39, about one and a half times the national base rate of 0.24, placing it in the eighth national decile (one tenth of U.S. counties, ranked by score) and the 80</w:t>
      </w:r>
      <w:r>
        <w:rPr>
          <w:vertAlign w:val="superscript"/>
        </w:rPr>
        <w:t>th</w:t>
      </w:r>
      <w:r>
        <w:t xml:space="preserve"> percentile among U.S. counties. Within Iowa, however, it ranks only 40</w:t>
      </w:r>
      <w:r>
        <w:rPr>
          <w:vertAlign w:val="superscript"/>
        </w:rPr>
        <w:t>th</w:t>
      </w:r>
      <w:r>
        <w:t xml:space="preserve"> of 99 counties, because Iowa counties restrict often; Marshall (0.70), Madison (0.70) and Worth (0.69) score highest, and the state median is 0.33. The score is a calibrated measure of resemblance to counties that have enacted severe restrictions, not a project-specific forecast. Linn's record is Verified: the platform has checked its 2023 solar ordinance against the instrument itself. Its score is driven by its population, its restricting neighbors and its interconnection queue, rather than by partisanship.</w:t>
      </w:r>
    </w:p>
    <w:p>
      <w:pPr>
        <w:spacing w:after="200"/>
      </w:pPr>
      <w:r>
        <w:t>Contextually, Linn illustrates how a county can accept large solar while tightening its terms. Since 2022 it has approved about 300 MW of utility-scale solar, adopted a solar moratorium and then a scored ordinance, rewritten its wind rules after turbine failures in a neighboring county, and required storage to go through a renewable-energy rezoning. Since late 2025 the planned restart of the Duane Arnold nuclear plant, and Google's data-center plans tied to it, have reset local politics: the board approved a data-center ordinance in February 2026, then a moratorium on large data-center rezonings on a 2-1 vote in July.</w:t>
      </w:r>
    </w:p>
    <w:p>
      <w:pPr>
        <w:spacing w:after="200"/>
      </w:pPr>
      <w:r>
        <w:t>On the surface, the county offers developers a strong set of benefits: the Duane Arnold substation and 345 kV lines left by the nuclear plant's 2020 shutdown, with about 1.3 GW of solar and storage still active in the regional grid operator's queue at the end of 2025, and growing load from data centers in Cedar Rapids and Palo. Nevertheless, farmland and neighbors have been the decisive friction. Residents have contested projects over property values, drainage tile, rural character and battery fire risk.</w:t>
      </w:r>
    </w:p>
    <w:p>
      <w:pPr>
        <w:spacing w:after="200"/>
      </w:pPr>
      <w:r>
        <w:t>For developers, investors, and policymakers, Linn is a disciplined permitting environment rather than a closed one. Projects that score well on the county's checklist and avoid prime farmland have a path; projects that need new zoning near homes face 2-1 politics and possible litigation. Near-term risk turns on Duane Arnold Solar IV, the District 2 supervisor race, the Cerro Gordo case testing whether the Iowa Utilities Commission can certify a project over a county ban, and the 2027 session, where statewide siting standards are expected to return.</w:t>
      </w:r>
    </w:p>
    <w:p>
      <w:pPr>
        <w:pStyle w:val="Heading1"/>
        <w:spacing w:before="360" w:after="120"/>
      </w:pPr>
      <w:r>
        <w:t>Hawthorn Intelligence</w:t>
      </w:r>
    </w:p>
    <w:p>
      <w:pPr>
        <w:pStyle w:val="Heading2"/>
        <w:spacing w:before="240" w:after="80"/>
      </w:pPr>
      <w:r>
        <w:t>Summary</w:t>
      </w:r>
    </w:p>
    <w:p>
      <w:pPr>
        <w:spacing w:after="200"/>
      </w:pPr>
      <w:r>
        <w:t>Linn County, home to about 232,000 people around Cedar Rapids, approved two contested utility-scale solar projects in 2022, defended both in court, and then adopted a solar moratorium and a scored solar ordinance. Its politics now center on data centers and the restart of the Duane Arnold nuclear plant. Linn carries a Hawthorn County Restriction Score of 0.39, placing it in decile 8 of 10 and the 80</w:t>
      </w:r>
      <w:r>
        <w:rPr>
          <w:vertAlign w:val="superscript"/>
        </w:rPr>
        <w:t>th</w:t>
      </w:r>
      <w:r>
        <w:t xml:space="preserve"> percentile of U.S. counties for resemblance to counties that have enacted severe renewable restrictions, with a Verified evidence record.</w:t>
      </w:r>
    </w:p>
    <w:p>
      <w:pPr>
        <w:pStyle w:val="Heading2"/>
        <w:spacing w:before="240" w:after="80"/>
      </w:pPr>
      <w:r>
        <w:t>Hawthorn Intelligence Ratings</w:t>
      </w:r>
    </w:p>
    <w:tbl>
      <w:tblPr>
        <w:tblStyle w:val="PlainTable5"/>
        <w:tblW w:w="10080" w:type="dxa"/>
        <w:tblLayout w:type="fixed"/>
        <w:tblLook w:val="04A0" w:firstRow="1" w:lastRow="0" w:firstColumn="1" w:lastColumn="0" w:noHBand="0" w:noVBand="1"/>
      </w:tblPr>
      <w:tblGrid>
        <w:gridCol w:w="2700"/>
        <w:gridCol w:w="2500"/>
        <w:gridCol w:w="4880"/>
      </w:tblGrid>
      <w:tr>
        <w:trPr>
          <w:cantSplit/>
          <w:tblHeader/>
        </w:trPr>
        <w:tc>
          <w:tcPr>
            <w:tcW w:w="2700" w:type="dxa"/>
            <w:tcMar>
              <w:top w:w="30" w:type="dxa"/>
              <w:left w:w="80" w:type="dxa"/>
              <w:bottom w:w="30" w:type="dxa"/>
              <w:right w:w="80" w:type="dxa"/>
            </w:tcMar>
          </w:tcPr>
          <w:p>
            <w:pPr>
              <w:keepNext/>
              <w:spacing w:after="0"/>
            </w:pPr>
            <w:r>
              <w:rPr>
                <w:b/>
                <w:sz w:val="20"/>
              </w:rPr>
              <w:t>Hawthorn rating</w:t>
            </w:r>
          </w:p>
        </w:tc>
        <w:tc>
          <w:tcPr>
            <w:tcW w:w="2500" w:type="dxa"/>
            <w:tcMar>
              <w:top w:w="30" w:type="dxa"/>
              <w:left w:w="80" w:type="dxa"/>
              <w:bottom w:w="30" w:type="dxa"/>
              <w:right w:w="80" w:type="dxa"/>
            </w:tcMar>
          </w:tcPr>
          <w:p>
            <w:pPr>
              <w:keepNext/>
              <w:spacing w:after="0"/>
            </w:pPr>
            <w:r>
              <w:rPr>
                <w:b/>
                <w:sz w:val="20"/>
              </w:rPr>
              <w:t>Linn County</w:t>
            </w:r>
          </w:p>
        </w:tc>
        <w:tc>
          <w:tcPr>
            <w:tcW w:w="4880" w:type="dxa"/>
            <w:tcMar>
              <w:top w:w="30" w:type="dxa"/>
              <w:left w:w="80" w:type="dxa"/>
              <w:bottom w:w="30" w:type="dxa"/>
              <w:right w:w="80" w:type="dxa"/>
            </w:tcMar>
          </w:tcPr>
          <w:p>
            <w:pPr>
              <w:keepNext/>
              <w:spacing w:after="0"/>
            </w:pPr>
            <w:r>
              <w:rPr>
                <w:b/>
                <w:sz w:val="20"/>
              </w:rPr>
              <w:t>Explanation</w:t>
            </w:r>
          </w:p>
        </w:tc>
      </w:tr>
      <w:tr>
        <w:trPr>
          <w:cantSplit/>
        </w:trPr>
        <w:tc>
          <w:tcPr>
            <w:tcW w:w="2700" w:type="dxa"/>
            <w:tcMar>
              <w:top w:w="30" w:type="dxa"/>
              <w:left w:w="80" w:type="dxa"/>
              <w:bottom w:w="30" w:type="dxa"/>
              <w:right w:w="80" w:type="dxa"/>
            </w:tcMar>
          </w:tcPr>
          <w:p>
            <w:pPr>
              <w:keepNext/>
              <w:spacing w:after="0"/>
            </w:pPr>
            <w:r>
              <w:rPr>
                <w:sz w:val="20"/>
              </w:rPr>
              <w:t>County Restriction Score</w:t>
            </w:r>
          </w:p>
        </w:tc>
        <w:tc>
          <w:tcPr>
            <w:tcW w:w="2500" w:type="dxa"/>
            <w:tcMar>
              <w:top w:w="30" w:type="dxa"/>
              <w:left w:w="80" w:type="dxa"/>
              <w:bottom w:w="30" w:type="dxa"/>
              <w:right w:w="80" w:type="dxa"/>
            </w:tcMar>
          </w:tcPr>
          <w:p>
            <w:pPr>
              <w:keepNext/>
              <w:spacing w:after="0"/>
            </w:pPr>
            <w:r>
              <w:rPr>
                <w:b/>
                <w:sz w:val="20"/>
              </w:rPr>
              <w:t>0.39 (likely range 0.36 to 0.40)</w:t>
            </w:r>
          </w:p>
        </w:tc>
        <w:tc>
          <w:tcPr>
            <w:tcW w:w="4880" w:type="dxa"/>
            <w:tcMar>
              <w:top w:w="30" w:type="dxa"/>
              <w:left w:w="80" w:type="dxa"/>
              <w:bottom w:w="30" w:type="dxa"/>
              <w:right w:w="80" w:type="dxa"/>
            </w:tcMar>
          </w:tcPr>
          <w:p>
            <w:pPr>
              <w:keepNext/>
              <w:spacing w:after="0"/>
            </w:pPr>
            <w:r>
              <w:rPr>
                <w:sz w:val="20"/>
              </w:rPr>
              <w:t>Resemblance to counties with a severe wind, solar or storage restriction on record, on a 0 to 1 scale; national base rate 0.24</w:t>
            </w:r>
          </w:p>
        </w:tc>
      </w:tr>
      <w:tr>
        <w:trPr>
          <w:cantSplit/>
        </w:trPr>
        <w:tc>
          <w:tcPr>
            <w:tcW w:w="2700" w:type="dxa"/>
            <w:tcMar>
              <w:top w:w="30" w:type="dxa"/>
              <w:left w:w="80" w:type="dxa"/>
              <w:bottom w:w="30" w:type="dxa"/>
              <w:right w:w="80" w:type="dxa"/>
            </w:tcMar>
          </w:tcPr>
          <w:p>
            <w:pPr>
              <w:keepNext/>
              <w:spacing w:after="0"/>
            </w:pPr>
            <w:r>
              <w:rPr>
                <w:sz w:val="20"/>
              </w:rPr>
              <w:t>Score decile</w:t>
            </w:r>
          </w:p>
        </w:tc>
        <w:tc>
          <w:tcPr>
            <w:tcW w:w="2500" w:type="dxa"/>
            <w:tcMar>
              <w:top w:w="30" w:type="dxa"/>
              <w:left w:w="80" w:type="dxa"/>
              <w:bottom w:w="30" w:type="dxa"/>
              <w:right w:w="80" w:type="dxa"/>
            </w:tcMar>
          </w:tcPr>
          <w:p>
            <w:pPr>
              <w:keepNext/>
              <w:spacing w:after="0"/>
            </w:pPr>
            <w:r>
              <w:rPr>
                <w:b/>
                <w:sz w:val="20"/>
              </w:rPr>
              <w:t>8 of 10</w:t>
            </w:r>
          </w:p>
        </w:tc>
        <w:tc>
          <w:tcPr>
            <w:tcW w:w="4880" w:type="dxa"/>
            <w:tcMar>
              <w:top w:w="30" w:type="dxa"/>
              <w:left w:w="80" w:type="dxa"/>
              <w:bottom w:w="30" w:type="dxa"/>
              <w:right w:w="80" w:type="dxa"/>
            </w:tcMar>
          </w:tcPr>
          <w:p>
            <w:pPr>
              <w:keepNext/>
              <w:spacing w:after="0"/>
            </w:pPr>
            <w:r>
              <w:rPr>
                <w:sz w:val="20"/>
              </w:rPr>
              <w:t>Eighth tenth of 3,144 U.S. counties (scores 0.280 to 0.386); 33.4 percent of decile 8 counties have a severe restriction</w:t>
            </w:r>
          </w:p>
        </w:tc>
      </w:tr>
      <w:tr>
        <w:trPr>
          <w:cantSplit/>
        </w:trPr>
        <w:tc>
          <w:tcPr>
            <w:tcW w:w="2700" w:type="dxa"/>
            <w:tcMar>
              <w:top w:w="30" w:type="dxa"/>
              <w:left w:w="80" w:type="dxa"/>
              <w:bottom w:w="30" w:type="dxa"/>
              <w:right w:w="80" w:type="dxa"/>
            </w:tcMar>
          </w:tcPr>
          <w:p>
            <w:pPr>
              <w:keepNext/>
              <w:spacing w:after="0"/>
            </w:pPr>
            <w:r>
              <w:rPr>
                <w:sz w:val="20"/>
              </w:rPr>
              <w:t>National and Iowa standing</w:t>
            </w:r>
          </w:p>
        </w:tc>
        <w:tc>
          <w:tcPr>
            <w:tcW w:w="2500" w:type="dxa"/>
            <w:tcMar>
              <w:top w:w="30" w:type="dxa"/>
              <w:left w:w="80" w:type="dxa"/>
              <w:bottom w:w="30" w:type="dxa"/>
              <w:right w:w="80" w:type="dxa"/>
            </w:tcMar>
          </w:tcPr>
          <w:p>
            <w:pPr>
              <w:keepNext/>
              <w:spacing w:after="0"/>
            </w:pPr>
            <w:r>
              <w:rPr>
                <w:b/>
                <w:sz w:val="20"/>
              </w:rPr>
              <w:t>80</w:t>
            </w:r>
            <w:r>
              <w:rPr>
                <w:b/>
                <w:sz w:val="20"/>
                <w:vertAlign w:val="superscript"/>
              </w:rPr>
              <w:t>th</w:t>
            </w:r>
            <w:r>
              <w:rPr>
                <w:b/>
                <w:sz w:val="20"/>
              </w:rPr>
              <w:t xml:space="preserve"> percentile; 40</w:t>
            </w:r>
            <w:r>
              <w:rPr>
                <w:b/>
                <w:sz w:val="20"/>
                <w:vertAlign w:val="superscript"/>
              </w:rPr>
              <w:t>th</w:t>
            </w:r>
            <w:r>
              <w:rPr>
                <w:b/>
                <w:sz w:val="20"/>
              </w:rPr>
              <w:t xml:space="preserve"> of 99</w:t>
            </w:r>
          </w:p>
        </w:tc>
        <w:tc>
          <w:tcPr>
            <w:tcW w:w="4880" w:type="dxa"/>
            <w:tcMar>
              <w:top w:w="30" w:type="dxa"/>
              <w:left w:w="80" w:type="dxa"/>
              <w:bottom w:w="30" w:type="dxa"/>
              <w:right w:w="80" w:type="dxa"/>
            </w:tcMar>
          </w:tcPr>
          <w:p>
            <w:pPr>
              <w:keepNext/>
              <w:spacing w:after="0"/>
            </w:pPr>
            <w:r>
              <w:rPr>
                <w:sz w:val="20"/>
              </w:rPr>
              <w:t>Share of U.S. counties scoring below Linn; rank among Iowa counties</w:t>
            </w:r>
          </w:p>
        </w:tc>
      </w:tr>
      <w:tr>
        <w:trPr>
          <w:cantSplit/>
        </w:trPr>
        <w:tc>
          <w:tcPr>
            <w:tcW w:w="2700" w:type="dxa"/>
            <w:tcMar>
              <w:top w:w="30" w:type="dxa"/>
              <w:left w:w="80" w:type="dxa"/>
              <w:bottom w:w="30" w:type="dxa"/>
              <w:right w:w="80" w:type="dxa"/>
            </w:tcMar>
          </w:tcPr>
          <w:p>
            <w:pPr>
              <w:keepNext/>
              <w:spacing w:after="0"/>
            </w:pPr>
            <w:r>
              <w:rPr>
                <w:sz w:val="20"/>
              </w:rPr>
              <w:t>Evidence status</w:t>
            </w:r>
          </w:p>
        </w:tc>
        <w:tc>
          <w:tcPr>
            <w:tcW w:w="2500" w:type="dxa"/>
            <w:tcMar>
              <w:top w:w="30" w:type="dxa"/>
              <w:left w:w="80" w:type="dxa"/>
              <w:bottom w:w="30" w:type="dxa"/>
              <w:right w:w="80" w:type="dxa"/>
            </w:tcMar>
          </w:tcPr>
          <w:p>
            <w:pPr>
              <w:keepNext/>
              <w:spacing w:after="0"/>
            </w:pPr>
            <w:r>
              <w:rPr>
                <w:b/>
                <w:sz w:val="20"/>
              </w:rPr>
              <w:t>Verified</w:t>
            </w:r>
          </w:p>
        </w:tc>
        <w:tc>
          <w:tcPr>
            <w:tcW w:w="4880" w:type="dxa"/>
            <w:tcMar>
              <w:top w:w="30" w:type="dxa"/>
              <w:left w:w="80" w:type="dxa"/>
              <w:bottom w:w="30" w:type="dxa"/>
              <w:right w:w="80" w:type="dxa"/>
            </w:tcMar>
          </w:tcPr>
          <w:p>
            <w:pPr>
              <w:keepNext/>
              <w:spacing w:after="0"/>
            </w:pPr>
            <w:r>
              <w:rPr>
                <w:sz w:val="20"/>
              </w:rPr>
              <w:t>The 2023 solar ordinance checked against the instrument; no severe restriction on record</w:t>
            </w:r>
          </w:p>
        </w:tc>
      </w:tr>
      <w:tr>
        <w:trPr>
          <w:cantSplit/>
        </w:trPr>
        <w:tc>
          <w:tcPr>
            <w:tcW w:w="2700" w:type="dxa"/>
            <w:tcMar>
              <w:top w:w="30" w:type="dxa"/>
              <w:left w:w="80" w:type="dxa"/>
              <w:bottom w:w="30" w:type="dxa"/>
              <w:right w:w="80" w:type="dxa"/>
            </w:tcMar>
          </w:tcPr>
          <w:p>
            <w:pPr>
              <w:keepNext/>
              <w:spacing w:after="0"/>
            </w:pPr>
            <w:r>
              <w:rPr>
                <w:sz w:val="20"/>
              </w:rPr>
              <w:t>Project outcome tiers</w:t>
            </w:r>
          </w:p>
        </w:tc>
        <w:tc>
          <w:tcPr>
            <w:tcW w:w="2500" w:type="dxa"/>
            <w:tcMar>
              <w:top w:w="30" w:type="dxa"/>
              <w:left w:w="80" w:type="dxa"/>
              <w:bottom w:w="30" w:type="dxa"/>
              <w:right w:w="80" w:type="dxa"/>
            </w:tcMar>
          </w:tcPr>
          <w:p>
            <w:pPr>
              <w:keepNext/>
              <w:spacing w:after="0"/>
            </w:pPr>
            <w:r>
              <w:rPr>
                <w:b/>
                <w:sz w:val="20"/>
              </w:rPr>
              <w:t>0 blocked; 2 advanced; 1 pending</w:t>
            </w:r>
          </w:p>
        </w:tc>
        <w:tc>
          <w:tcPr>
            <w:tcW w:w="4880" w:type="dxa"/>
            <w:tcMar>
              <w:top w:w="30" w:type="dxa"/>
              <w:left w:w="80" w:type="dxa"/>
              <w:bottom w:w="30" w:type="dxa"/>
              <w:right w:w="80" w:type="dxa"/>
            </w:tcMar>
          </w:tcPr>
          <w:p>
            <w:pPr>
              <w:keepNext/>
              <w:spacing w:after="0"/>
            </w:pPr>
            <w:r>
              <w:rPr>
                <w:sz w:val="20"/>
              </w:rPr>
              <w:t>Coggon and Duane Arnold Solar I and II approved and upheld; Duane Arnold Solar IV pending</w:t>
            </w:r>
          </w:p>
        </w:tc>
      </w:tr>
      <w:tr>
        <w:trPr>
          <w:cantSplit/>
        </w:trPr>
        <w:tc>
          <w:tcPr>
            <w:tcW w:w="2700" w:type="dxa"/>
            <w:tcMar>
              <w:top w:w="30" w:type="dxa"/>
              <w:left w:w="80" w:type="dxa"/>
              <w:bottom w:w="30" w:type="dxa"/>
              <w:right w:w="80" w:type="dxa"/>
            </w:tcMar>
          </w:tcPr>
          <w:p>
            <w:pPr>
              <w:spacing w:after="0"/>
            </w:pPr>
            <w:r>
              <w:rPr>
                <w:sz w:val="20"/>
              </w:rPr>
              <w:t>Opposition intensity</w:t>
            </w:r>
          </w:p>
        </w:tc>
        <w:tc>
          <w:tcPr>
            <w:tcW w:w="2500" w:type="dxa"/>
            <w:tcMar>
              <w:top w:w="30" w:type="dxa"/>
              <w:left w:w="80" w:type="dxa"/>
              <w:bottom w:w="30" w:type="dxa"/>
              <w:right w:w="80" w:type="dxa"/>
            </w:tcMar>
          </w:tcPr>
          <w:p>
            <w:pPr>
              <w:spacing w:after="0"/>
            </w:pPr>
            <w:r>
              <w:rPr>
                <w:b/>
                <w:sz w:val="20"/>
              </w:rPr>
              <w:t>93</w:t>
            </w:r>
            <w:r>
              <w:rPr>
                <w:b/>
                <w:sz w:val="20"/>
                <w:vertAlign w:val="superscript"/>
              </w:rPr>
              <w:t>rd</w:t>
            </w:r>
            <w:r>
              <w:rPr>
                <w:b/>
                <w:sz w:val="20"/>
              </w:rPr>
              <w:t xml:space="preserve"> percentile (records); 65</w:t>
            </w:r>
            <w:r>
              <w:rPr>
                <w:b/>
                <w:sz w:val="20"/>
                <w:vertAlign w:val="superscript"/>
              </w:rPr>
              <w:t>th</w:t>
            </w:r>
            <w:r>
              <w:rPr>
                <w:b/>
                <w:sz w:val="20"/>
              </w:rPr>
              <w:t xml:space="preserve"> (per 100,000 residents)</w:t>
            </w:r>
          </w:p>
        </w:tc>
        <w:tc>
          <w:tcPr>
            <w:tcW w:w="4880" w:type="dxa"/>
            <w:tcMar>
              <w:top w:w="30" w:type="dxa"/>
              <w:left w:w="80" w:type="dxa"/>
              <w:bottom w:w="30" w:type="dxa"/>
              <w:right w:w="80" w:type="dxa"/>
            </w:tcMar>
          </w:tcPr>
          <w:p>
            <w:pPr>
              <w:spacing w:after="0"/>
            </w:pPr>
            <w:r>
              <w:rPr>
                <w:sz w:val="20"/>
              </w:rPr>
              <w:t>Recorded restrictions and contested projects against all U.S. counties</w:t>
            </w:r>
          </w:p>
        </w:tc>
      </w:tr>
    </w:tbl>
    <w:p>
      <w:pPr>
        <w:spacing w:after="40"/>
      </w:pPr>
    </w:p>
    <w:p>
      <w:pPr>
        <w:spacing w:after="200"/>
      </w:pPr>
      <w:r>
        <w:t>Ratings as of October 16, 2026. The County Restriction Score is a calibrated, cross-validated resemblance measure, not a forecast for any specific project. Scales are defined in "How to Read Hawthorn Intelligence Reports" below.</w:t>
      </w:r>
    </w:p>
    <w:p>
      <w:pPr>
        <w:pStyle w:val="Heading2"/>
        <w:spacing w:before="240" w:after="80"/>
      </w:pPr>
      <w:r>
        <w:t>At a glance</w:t>
      </w:r>
    </w:p>
    <w:p>
      <w:pPr>
        <w:pStyle w:val="ListParagraph"/>
        <w:numPr>
          <w:ilvl w:val="0"/>
          <w:numId w:val="9"/>
        </w:numPr>
        <w:spacing w:after="80"/>
      </w:pPr>
      <w:hyperlink r:id="rId9" w:history="1">
        <w:r>
          <w:rPr>
            <w:rStyle w:val="Hyperlink"/>
          </w:rPr>
          <w:t xml:space="preserve">Population</w:t>
        </w:r>
      </w:hyperlink>
      <w:r>
        <w:t xml:space="preserve"> 232,028 (July 2025 estimate) on 717 square miles</w:t>
      </w:r>
    </w:p>
    <w:p>
      <w:pPr>
        <w:pStyle w:val="ListParagraph"/>
        <w:numPr>
          <w:ilvl w:val="0"/>
          <w:numId w:val="9"/>
        </w:numPr>
        <w:spacing w:after="80"/>
      </w:pPr>
      <w:r>
        <w:t>Median household income $77,649; 34.7 percent of adults 25 and older hold a bachelor's degree (ACS 2020-2024)</w:t>
      </w:r>
    </w:p>
    <w:p>
      <w:pPr>
        <w:pStyle w:val="ListParagraph"/>
        <w:numPr>
          <w:ilvl w:val="0"/>
          <w:numId w:val="9"/>
        </w:numPr>
        <w:spacing w:after="80"/>
      </w:pPr>
      <w:hyperlink r:id="rId10" w:history="1">
        <w:r>
          <w:rPr>
            <w:rStyle w:val="Hyperlink"/>
          </w:rPr>
          <w:t xml:space="preserve">2024</w:t>
        </w:r>
      </w:hyperlink>
      <w:r>
        <w:t xml:space="preserve"> Presidential Vote: Harris 53.6 percent, Trump 43.8 percent</w:t>
      </w:r>
    </w:p>
    <w:p>
      <w:pPr>
        <w:pStyle w:val="ListParagraph"/>
        <w:numPr>
          <w:ilvl w:val="1"/>
          <w:numId w:val="9"/>
        </w:numPr>
        <w:spacing w:after="80"/>
      </w:pPr>
      <w:r>
        <w:t>Partisan trend: the Democratic margin went from 9.0 points in 2016 to 13.4 in 2020, then narrowed to 9.8 in 2024</w:t>
      </w:r>
    </w:p>
    <w:p>
      <w:pPr>
        <w:pStyle w:val="ListParagraph"/>
        <w:numPr>
          <w:ilvl w:val="0"/>
          <w:numId w:val="9"/>
        </w:numPr>
        <w:spacing w:after="80"/>
      </w:pPr>
      <w:r>
        <w:t>Operating solar: about 205 MW, including Duane Arnold Solar I and II near Palo (</w:t>
      </w:r>
      <w:hyperlink r:id="rId11" w:history="1">
        <w:r>
          <w:rPr>
            <w:rStyle w:val="Hyperlink"/>
          </w:rPr>
          <w:t xml:space="preserve">EIA-860M</w:t>
        </w:r>
      </w:hyperlink>
      <w:r>
        <w:t>); Coggon Solar (100 MW) under construction</w:t>
      </w:r>
    </w:p>
    <w:p>
      <w:pPr>
        <w:pStyle w:val="ListParagraph"/>
        <w:numPr>
          <w:ilvl w:val="0"/>
          <w:numId w:val="9"/>
        </w:numPr>
        <w:spacing w:after="80"/>
      </w:pPr>
      <w:r>
        <w:t xml:space="preserve">Major nearby power asset: the Duane Arnold Energy Center near Palo, closed in 2020; NextEra is restarting it for Google, with </w:t>
      </w:r>
      <w:hyperlink r:id="rId12" w:history="1">
        <w:r>
          <w:rPr>
            <w:rStyle w:val="Hyperlink"/>
          </w:rPr>
          <w:t xml:space="preserve">restart targeted for early 2029</w:t>
        </w:r>
      </w:hyperlink>
    </w:p>
    <w:p>
      <w:pPr>
        <w:pStyle w:val="ListParagraph"/>
        <w:numPr>
          <w:ilvl w:val="0"/>
          <w:numId w:val="9"/>
        </w:numPr>
        <w:spacing w:after="80"/>
      </w:pPr>
      <w:r>
        <w:t>Interconnection queue: seven active solar and storage requests totaling 1,305 MW in MISO at the end of 2025 (LBNL Queued Up)</w:t>
      </w:r>
    </w:p>
    <w:p>
      <w:pPr>
        <w:pStyle w:val="ListParagraph"/>
        <w:numPr>
          <w:ilvl w:val="0"/>
          <w:numId w:val="9"/>
        </w:numPr>
        <w:spacing w:after="80"/>
      </w:pPr>
      <w:r>
        <w:t xml:space="preserve">Enacted restriction: yes, a </w:t>
      </w:r>
      <w:hyperlink r:id="rId13" w:history="1">
        <w:r>
          <w:rPr>
            <w:rStyle w:val="Hyperlink"/>
          </w:rPr>
          <w:t xml:space="preserve">2023 solar ordinance</w:t>
        </w:r>
      </w:hyperlink>
      <w:r>
        <w:t xml:space="preserve"> that replaced a 2022 to 2023 moratorium; none scores as severe</w:t>
      </w:r>
    </w:p>
    <w:p>
      <w:pPr>
        <w:pStyle w:val="Heading1"/>
        <w:spacing w:before="360" w:after="120"/>
      </w:pPr>
      <w:r>
        <w:t>A county that approved, then tightened</w:t>
      </w:r>
    </w:p>
    <w:p>
      <w:pPr>
        <w:spacing w:after="200"/>
      </w:pPr>
      <w:r>
        <w:t>Linn's modern solar story began in 2021, when NextEra floated a 3,500-acre, three-array solar plan around the shuttered Duane Arnold nuclear plant and a resident petition against "industrial scale solar on agricultural and residential rural land" gathered 2,913 signatures. In January 2022 the Board of Supervisors approved its first utility-scale project, Coggon Solar, 2-1. A few weeks later the same board rejected a six-month solar moratorium by the same margin, with Supervisor Louie Zumbach, the board's Republican, on the losing side both times.</w:t>
      </w:r>
    </w:p>
    <w:p>
      <w:pPr>
        <w:spacing w:after="200"/>
      </w:pPr>
      <w:r>
        <w:t>By October 2022, after approving NextEra's Duane Arnold Solar I and II, the board changed course and adopted a three-month moratorium on rezonings to its Renewable Energy overlay district, unanimously. It extended the pause three times, to September 30, 2023, while advisory committees rewrote the rules. The new utility-scale solar ordinance passed unanimously in September 2023; a companion scorecard, which awards points for local labor and native seed mixes and deducts them for siting on high-quality farmland, passed 2-1.</w:t>
      </w:r>
    </w:p>
    <w:p>
      <w:pPr>
        <w:spacing w:after="200"/>
      </w:pPr>
      <w:r>
        <w:t>In July 2024 the board also rewrote its wind ordinance after lightning destroyed turbines near Mechanicsville in neighboring Cedar County. The new rules replaced a 1,000-foot setback from structures with twice the turbine's height and added a debris bond. No utility-scale wind project has been proposed in Linn. Battery storage of any kind must be rezoned to the Renewable Energy overlay, with setbacks of 200 feet from property lines and 500 feet from lines of properties with occupied buildings, according to the county.</w:t>
      </w:r>
    </w:p>
    <w:p>
      <w:pPr>
        <w:spacing w:after="200"/>
      </w:pPr>
      <w:r>
        <w:t>This sequence matters because it shows that Linn's officials chose rules over bans. None of the county's current instruments rises to a severe restriction on our scale, and the county has not adopted one for renewables since its solar moratorium expired.</w:t>
      </w:r>
    </w:p>
    <w:p>
      <w:pPr>
        <w:pStyle w:val="Heading2"/>
        <w:spacing w:before="240" w:after="80"/>
      </w:pPr>
      <w:r>
        <w:t>Duane Arnold Solar</w:t>
      </w:r>
    </w:p>
    <w:p>
      <w:pPr>
        <w:spacing w:after="200"/>
      </w:pPr>
      <w:r>
        <w:rPr>
          <w:b/>
        </w:rPr>
        <w:t>Duane Arnold Solar</w:t>
      </w:r>
      <w:r>
        <w:t xml:space="preserve"> is the county's most important test case. NextEra's first two phases, 50 MW and 150 MW of solar plus a 75 MW battery on about 2,637 acres north of Palo, to be owned by Alliant Energy, won rezoning on September 6, 2022, by a 2-1 vote. Supervisor Zumbach dissented, saying he regretted that the board could not require larger setbacks for neighbors who were not participating. Palo-area residents sued, alleging illegal spot zoning and the loss of prime farmland; Chief District Judge Lars Anderson dismissed all eight claims in July 2023. Solar I began generating in March 2024.</w:t>
      </w:r>
    </w:p>
    <w:p>
      <w:pPr>
        <w:spacing w:after="200"/>
      </w:pPr>
      <w:r>
        <w:t>A third phase is now in view. Duane Arnold Solar IV would add 220 MW of solar and up to 180 MW of storage on about 1,460 acres between Center Point and Toddville, with about 50 landowners and no eminent domain, according to NextEra's July 2024 public meeting. More than 20 people spoke, roughly evenly split, and a Center Point resident raised battery fire risk. The project needs both county rezoning and an Iowa Utilities Commission certificate. We found no decision on either as of October 16, 2026.</w:t>
      </w:r>
    </w:p>
    <w:p>
      <w:pPr>
        <w:spacing w:after="200"/>
      </w:pPr>
      <w:r>
        <w:t>For future projects, Duane Arnold shows that a county approval can survive court, but only after a 2-1 vote and a year of litigation. The same site's nuclear restart has since raised the stakes for land near the substation.</w:t>
      </w:r>
    </w:p>
    <w:p>
      <w:pPr>
        <w:pStyle w:val="Heading2"/>
        <w:spacing w:before="240" w:after="80"/>
      </w:pPr>
      <w:r>
        <w:t>Other projects</w:t>
      </w:r>
    </w:p>
    <w:p>
      <w:pPr>
        <w:spacing w:after="200"/>
      </w:pPr>
      <w:r>
        <w:rPr>
          <w:b/>
        </w:rPr>
        <w:t>Coggon Solar</w:t>
      </w:r>
      <w:r>
        <w:t xml:space="preserve">, Clēnera's 100 MW project for Central Iowa Power Cooperative on about 640 to 750 acres west of Coggon, was approved 2-1 on January 24, 2022, with Supervisors Stacey Walker and Ben Rogers in favor and Zumbach opposed. The board raised the setback from 50 to 300 feet and the decommissioning bond from $1 million to about $2.7 million. Neighbors uphill of the site sued over drainage tile; the Iowa Court of Appeals </w:t>
      </w:r>
      <w:hyperlink r:id="rId14" w:history="1">
        <w:r>
          <w:rPr>
            <w:rStyle w:val="Hyperlink"/>
          </w:rPr>
          <w:t xml:space="preserve">affirmed the county</w:t>
        </w:r>
      </w:hyperlink>
      <w:r>
        <w:t xml:space="preserve"> in June 2024 in </w:t>
      </w:r>
      <w:r>
        <w:rPr>
          <w:i/>
        </w:rPr>
        <w:t>Robinson v. Linn County Board of Supervisors</w:t>
      </w:r>
      <w:r>
        <w:t>, holding the rezoning "fairly debatable" and consistent with the county's plan. Federal records list it as under construction.</w:t>
      </w:r>
    </w:p>
    <w:p>
      <w:pPr>
        <w:spacing w:after="200"/>
      </w:pPr>
      <w:r>
        <w:t>Other active requests in the regional queue include 200 and 400 MW solar projects at the Duane Arnold substation, 60 MW at Mount Vernon, and 100 to 300 MW batteries at Fairfax and on the Duane Arnold to Tiffin line.</w:t>
      </w:r>
    </w:p>
    <w:p>
      <w:pPr>
        <w:pStyle w:val="Heading2"/>
        <w:spacing w:before="240" w:after="80"/>
      </w:pPr>
      <w:r>
        <w:t>Organized Opposition</w:t>
      </w:r>
    </w:p>
    <w:p>
      <w:pPr>
        <w:spacing w:after="200"/>
      </w:pPr>
      <w:r>
        <w:t>Opposition to renewables in Linn has been resident-led and project-specific rather than organized. We found no standing anti-solar group. The record includes the 2021 Change.org petition, mostly opposed speakers at NextEra's 2021 and 2024 meetings, and the two lawsuits. Concerns raised include property values, prime farmland, drainage tile, rural character, the growth of Palo, runoff and battery fire risk.</w:t>
      </w:r>
    </w:p>
    <w:p>
      <w:pPr>
        <w:spacing w:after="200"/>
      </w:pPr>
      <w:r>
        <w:t>The county's sharper conflicts now concern other energy projects. Alliant's proposed 720 MW gas plant in western Linn faces a group called Save Morgan Valley, which board chair Kirsten Running-Marquardt has echoed. The data-center moratorium of July 2026 prompted a push to expand the board from three to five members; Supervisor Brandy Zumbach Meisheid blamed "individuals and interests who stand to benefit financially from large-scale development," and Running-Marquardt said opponents were "trying to diminish my voice."</w:t>
      </w:r>
    </w:p>
    <w:p>
      <w:pPr>
        <w:spacing w:after="200"/>
      </w:pPr>
      <w:r>
        <w:t>That political environment increases uncertainty for applicants. Even a project that scores well under the county's ordinance needs two of three votes, and land near the nuclear plant is now contested by data centers as well as solar.</w:t>
      </w:r>
    </w:p>
    <w:p>
      <w:pPr>
        <w:pStyle w:val="Heading2"/>
        <w:spacing w:before="240" w:after="80"/>
      </w:pPr>
      <w:r>
        <w:t>What to watch next</w:t>
      </w:r>
    </w:p>
    <w:p>
      <w:pPr>
        <w:spacing w:after="200"/>
      </w:pPr>
      <w:r>
        <w:t>Several developments will shape Linn's near-term outlook:</w:t>
      </w:r>
    </w:p>
    <w:p>
      <w:pPr>
        <w:pStyle w:val="ListParagraph"/>
        <w:numPr>
          <w:ilvl w:val="0"/>
          <w:numId w:val="9"/>
        </w:numPr>
        <w:spacing w:after="80"/>
      </w:pPr>
      <w:r>
        <w:t>County and Iowa Utilities Commission action on Duane Arnold Solar IV.</w:t>
      </w:r>
    </w:p>
    <w:p>
      <w:pPr>
        <w:pStyle w:val="ListParagraph"/>
        <w:numPr>
          <w:ilvl w:val="0"/>
          <w:numId w:val="9"/>
        </w:numPr>
        <w:spacing w:after="80"/>
      </w:pPr>
      <w:r>
        <w:t>The November 3 District 2 race between Supervisor Sami Scheetz (D) and Rex W. Meyer (R), and any move to expand the board.</w:t>
      </w:r>
    </w:p>
    <w:p>
      <w:pPr>
        <w:pStyle w:val="ListParagraph"/>
        <w:numPr>
          <w:ilvl w:val="0"/>
          <w:numId w:val="9"/>
        </w:numPr>
        <w:spacing w:after="80"/>
      </w:pPr>
      <w:r>
        <w:t>The Cerro Gordo County lawsuit, filed July 13, 2026, challenging the Utilities Commission's certification of a solar project over a county ban.</w:t>
      </w:r>
    </w:p>
    <w:p>
      <w:pPr>
        <w:pStyle w:val="ListParagraph"/>
        <w:numPr>
          <w:ilvl w:val="0"/>
          <w:numId w:val="9"/>
        </w:numPr>
        <w:spacing w:after="80"/>
      </w:pPr>
      <w:r>
        <w:t>The 2027 Iowa legislative session, where statewide siting standards like HF 2580 are expected to return.</w:t>
      </w:r>
    </w:p>
    <w:p>
      <w:pPr>
        <w:pStyle w:val="ListParagraph"/>
        <w:numPr>
          <w:ilvl w:val="0"/>
          <w:numId w:val="9"/>
        </w:numPr>
        <w:spacing w:after="80"/>
      </w:pPr>
      <w:r>
        <w:t>The Duane Arnold nuclear restart, with a federal license decision possible around January 2028, and the data-center moratorium running to January 1, 2028.</w:t>
      </w:r>
    </w:p>
    <w:p>
      <w:pPr>
        <w:spacing w:after="200"/>
      </w:pPr>
      <w:r>
        <w:t>Linn's experience shows that a county can accept hundreds of megawatts of solar while steadily raising its bar. The county's grid access at Duane Arnold remains a valuable advantage. But applicants should assume that local acceptance will depend on more than tax revenue. Projects will need to address farmland quality, drainage, setbacks and screening for neighbors, battery safety, and their place in a data-center debate that now shapes every land-use vote near the plant.</w:t>
      </w:r>
    </w:p>
    <w:p>
      <w:pPr>
        <w:pStyle w:val="Heading1"/>
        <w:spacing w:before="360" w:after="120"/>
      </w:pPr>
      <w:r>
        <w:t>Hawthorn Intelligence Appendix</w:t>
      </w:r>
    </w:p>
    <w:p>
      <w:pPr>
        <w:spacing w:after="200"/>
      </w:pPr>
      <w:r>
        <w:rPr>
          <w:b/>
        </w:rPr>
        <w:t>Restriction score:</w:t>
      </w:r>
      <w:r>
        <w:t xml:space="preserve"> </w:t>
      </w:r>
      <w:r>
        <w:rPr>
          <w:i/>
        </w:rPr>
        <w:t>0.39/1</w:t>
      </w:r>
      <w:r>
        <w:rPr>
          <w:rStyle w:val="FootnoteReference"/>
        </w:rPr>
        <w:footnoteReference w:id="1"/>
      </w:r>
    </w:p>
    <w:p>
      <w:pPr>
        <w:spacing w:after="200"/>
      </w:pPr>
      <w:r>
        <w:t>Linn sits in the 80</w:t>
      </w:r>
      <w:r>
        <w:rPr>
          <w:vertAlign w:val="superscript"/>
        </w:rPr>
        <w:t>th</w:t>
      </w:r>
      <w:r>
        <w:t xml:space="preserve"> percentile nationally and the 60</w:t>
      </w:r>
      <w:r>
        <w:rPr>
          <w:vertAlign w:val="superscript"/>
        </w:rPr>
        <w:t>th</w:t>
      </w:r>
      <w:r>
        <w:t xml:space="preserve"> in Iowa, and in the 54</w:t>
      </w:r>
      <w:r>
        <w:rPr>
          <w:vertAlign w:val="superscript"/>
        </w:rPr>
        <w:t>th</w:t>
      </w:r>
      <w:r>
        <w:t xml:space="preserve"> percentile among the 747 counties with a severe restriction on record. The model scores five county traits (population, median household income, operating wind capacity, megawatts of wind, solar and storage requested in interconnection queues, and the share of neighboring counties with a severe restriction) and measures resemblance to counties that have restricted wind, solar or battery storage.</w:t>
      </w:r>
      <w:r>
        <w:rPr>
          <w:rStyle w:val="FootnoteReference"/>
        </w:rPr>
        <w:footnoteReference w:id="2"/>
      </w:r>
      <w:r>
        <w:t xml:space="preserve"> Within Iowa, Linn ranks 40</w:t>
      </w:r>
      <w:r>
        <w:rPr>
          <w:vertAlign w:val="superscript"/>
        </w:rPr>
        <w:t>th</w:t>
      </w:r>
      <w:r>
        <w:t xml:space="preserve"> of 99 counties, behind Marshall (0.70), Madison (0.70) and Worth (0.69); the Iowa median is 0.33.</w:t>
      </w:r>
    </w:p>
    <w:p>
      <w:pPr>
        <w:spacing w:after="200"/>
      </w:pPr>
      <w:r>
        <w:rPr>
          <w:b/>
        </w:rPr>
        <w:t>Scale</w:t>
      </w:r>
    </w:p>
    <w:p>
      <w:pPr>
        <w:spacing w:after="200"/>
      </w:pPr>
      <w:r>
        <w:t>The County Restriction Score comes from Hawthorn's county model, a regularized logistic regression selected by a pre-registered stability rule from nine candidate traits and validated with five-fold cross-validation repeated five times. Every county is scored out of fold, and a cross-fitted recalibration layer keeps scores aligned with observed rates (calibration slope 0.99). The scale sorts all 3,144 counties into ten equal deciles; the share of counties with a severe restriction climbs from 3.5 percent in the lowest decile to 65 percent in the highest. Linn sits at the top of the eighth.</w:t>
      </w:r>
    </w:p>
    <w:p>
      <w:pPr>
        <w:keepNext/>
        <w:spacing w:before="120" w:after="80"/>
      </w:pPr>
      <w:r>
        <w:rPr>
          <w:b/>
          <w:i/>
        </w:rPr>
        <w:t xml:space="preserve">Table 1 </w:t>
      </w:r>
      <w:r>
        <w:rPr>
          <w:i/>
        </w:rPr>
        <w:t>Hawthorn Intelligence Restriction Scale</w:t>
      </w:r>
      <w:r>
        <w:rPr>
          <w:rStyle w:val="FootnoteReference"/>
        </w:rPr>
        <w:footnoteReference w:id="3"/>
      </w:r>
    </w:p>
    <w:tbl>
      <w:tblPr>
        <w:tblStyle w:val="TableNormal"/>
        <w:tblW w:w="10080" w:type="dxa"/>
        <w:tblLayout w:type="fixed"/>
        <w:tblLook w:val="04A0" w:firstRow="1" w:lastRow="0" w:firstColumn="1" w:lastColumn="0" w:noHBand="0" w:noVBand="1"/>
      </w:tblPr>
      <w:tblGrid>
        <w:gridCol w:w="2000"/>
        <w:gridCol w:w="2600"/>
        <w:gridCol w:w="1600"/>
        <w:gridCol w:w="38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Score range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Counties</w:t>
            </w:r>
          </w:p>
        </w:tc>
        <w:tc>
          <w:tcPr>
            <w:tcW w:w="38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with a severe restriction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 (lowest)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0.015 to 0.063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0.063 to 0.083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0.083 to 0.105</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0.105 to 0.131</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0.131 to 0.164</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0.164 to 0.210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0.210 to 0.279</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8: Linn</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0.280 to 0.386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33.4%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0.386 to 0.546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 (highest)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0.546 to 0.930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65.1%</w:t>
            </w:r>
          </w:p>
        </w:tc>
      </w:tr>
    </w:tbl>
    <w:p>
      <w:pPr>
        <w:spacing w:after="40"/>
      </w:pPr>
    </w:p>
    <w:p>
      <w:pPr>
        <w:keepNext/>
        <w:spacing w:before="120" w:after="80"/>
      </w:pPr>
      <w:r>
        <w:rPr>
          <w:b/>
          <w:i/>
        </w:rPr>
        <w:t xml:space="preserve">Table 2 </w:t>
      </w:r>
      <w:r>
        <w:rPr>
          <w:i/>
        </w:rPr>
        <w:t>Linn against national, state and peer benchmarks</w:t>
      </w:r>
      <w:r>
        <w:rPr>
          <w:rStyle w:val="FootnoteReference"/>
        </w:rPr>
        <w:footnoteReference w:id="4"/>
      </w:r>
    </w:p>
    <w:tbl>
      <w:tblPr>
        <w:tblStyle w:val="TableNormal"/>
        <w:tblW w:w="10080" w:type="dxa"/>
        <w:tblLayout w:type="fixed"/>
        <w:tblLook w:val="04A0" w:firstRow="1" w:lastRow="0" w:firstColumn="1" w:lastColumn="0" w:noHBand="0" w:noVBand="1"/>
      </w:tblPr>
      <w:tblGrid>
        <w:gridCol w:w="3280"/>
        <w:gridCol w:w="1700"/>
        <w:gridCol w:w="1700"/>
        <w:gridCol w:w="1700"/>
        <w:gridCol w:w="1700"/>
      </w:tblGrid>
      <w:tr>
        <w:trPr>
          <w:cantSplit/>
          <w:tblHeader/>
        </w:trPr>
        <w:tc>
          <w:tcPr>
            <w:tcW w:w="32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Measure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Linn</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IA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Peer median</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 score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0.41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Opposition records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Records per 100,000 residents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0.7</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 (all years)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1,705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823</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solar,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wind,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230,004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198,188</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Residents per square mile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321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309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$77,649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$73,434</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Bachelor's degree or higher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34.7%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34.6%</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2024 presidential margin</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D+9.8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90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D+5.9</w:t>
            </w:r>
          </w:p>
        </w:tc>
      </w:tr>
    </w:tbl>
    <w:p>
      <w:pPr>
        <w:spacing w:after="40"/>
      </w:pPr>
    </w:p>
    <w:p>
      <w:pPr>
        <w:spacing w:after="200"/>
      </w:pPr>
      <w:r>
        <w:t>Benchmarked to the average U.S. county, every trait pushes Linn's score up. Its population and its restricting neighbors account for nearly 60 percent of the lift, its interconnection queue and income for most of the rest. Its partisan margin contributes nothing: the 2024 margin did not keep a stable sign across the model's cross-validation folds and was dropped.</w:t>
      </w:r>
    </w:p>
    <w:p>
      <w:pPr>
        <w:keepNext/>
        <w:spacing w:before="120" w:after="80"/>
      </w:pPr>
      <w:r>
        <w:rPr>
          <w:b/>
          <w:i/>
        </w:rPr>
        <w:t xml:space="preserve">Table 3 </w:t>
      </w:r>
      <w:r>
        <w:rPr>
          <w:i/>
        </w:rPr>
        <w:t>Contribution of each model trait to Linn's score</w:t>
      </w:r>
      <w:r>
        <w:rPr>
          <w:rStyle w:val="FootnoteReference"/>
        </w:rPr>
        <w:footnoteReference w:id="5"/>
      </w:r>
    </w:p>
    <w:tbl>
      <w:tblPr>
        <w:tblStyle w:val="TableNormal"/>
        <w:tblW w:w="10080" w:type="dxa"/>
        <w:tblLayout w:type="fixed"/>
        <w:tblLook w:val="04A0" w:firstRow="1" w:lastRow="0" w:firstColumn="1" w:lastColumn="0" w:noHBand="0" w:noVBand="1"/>
      </w:tblPr>
      <w:tblGrid>
        <w:gridCol w:w="2600"/>
        <w:gridCol w:w="2000"/>
        <w:gridCol w:w="1500"/>
        <w:gridCol w:w="900"/>
        <w:gridCol w:w="1400"/>
        <w:gridCol w:w="168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County trait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Linn (U.S. average)</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Model direction</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Trust tier</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Lift (log-odds)</w:t>
            </w:r>
          </w:p>
        </w:tc>
        <w:tc>
          <w:tcPr>
            <w:tcW w:w="16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of movement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230,004 (28,995)</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+0.24</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Neighbors with a severe restriction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33% (24%)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+0.23</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1,705 (177)</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$77,649 ($65,870)</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+0.15</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Operating wind capacity</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2.5 (1.3)</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+0.02</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w:t>
            </w:r>
          </w:p>
        </w:tc>
      </w:tr>
    </w:tbl>
    <w:p>
      <w:pPr>
        <w:spacing w:after="40"/>
      </w:pPr>
    </w:p>
    <w:p>
      <w:pPr>
        <w:spacing w:after="200"/>
      </w:pPr>
      <w:r>
        <w:t xml:space="preserve">Furthermore, Linn's record sits </w:t>
      </w:r>
      <w:r>
        <w:rPr>
          <w:i/>
        </w:rPr>
        <w:t>below</w:t>
      </w:r>
      <w:r>
        <w:t xml:space="preserve"> its expected risk. Its structural peers, </w:t>
      </w:r>
      <w:r>
        <w:rPr>
          <w:i/>
        </w:rPr>
        <w:t>e.g.,</w:t>
      </w:r>
      <w:r>
        <w:t xml:space="preserve"> other American counties matched on population, density, education and 2024 margin,</w:t>
      </w:r>
      <w:r>
        <w:rPr>
          <w:rStyle w:val="FootnoteReference"/>
        </w:rPr>
        <w:footnoteReference w:id="6"/>
      </w:r>
      <w:r>
        <w:t xml:space="preserve"> have a median score of 0.41, and four of the ten carry a recorded severe restriction. Linn has none: it has approved contested projects, defended them in court and regulated rather than banned. Its four records place it in the 93</w:t>
      </w:r>
      <w:r>
        <w:rPr>
          <w:vertAlign w:val="superscript"/>
        </w:rPr>
        <w:t>rd</w:t>
      </w:r>
      <w:r>
        <w:t xml:space="preserve"> percentile nationally by count, but per resident it sits in the 26</w:t>
      </w:r>
      <w:r>
        <w:rPr>
          <w:vertAlign w:val="superscript"/>
        </w:rPr>
        <w:t>th</w:t>
      </w:r>
      <w:r>
        <w:t xml:space="preserve"> percentile in Iowa.</w:t>
      </w:r>
    </w:p>
    <w:p>
      <w:pPr>
        <w:spacing w:after="200"/>
      </w:pPr>
      <w:r>
        <w:rPr>
          <w:b/>
        </w:rPr>
        <w:t>Comparable outcomes:</w:t>
      </w:r>
      <w:r>
        <w:t xml:space="preserve"> The platform records seven decided contested projects in Iowa; four were recorded as blocked, though only two outcomes have been confirmed by independent evidence, and both are advances. Within 60 miles, the Waterworks Prairie Park solar lease in Iowa City (2020) and wind projects in Black Hawk and Fayette counties (2018) were recorded as blocked. Linn's own two decided projects both advanced. Only 7 of 575 contested projects nationally carry a date finer than a year, so we do not report decision timelines for renewables.</w:t>
      </w:r>
    </w:p>
    <w:p>
      <w:pPr>
        <w:keepNext/>
        <w:spacing w:before="120" w:after="80"/>
      </w:pPr>
      <w:r>
        <w:rPr>
          <w:b/>
          <w:i/>
        </w:rPr>
        <w:t xml:space="preserve">Table 4 </w:t>
      </w:r>
      <w:r>
        <w:rPr>
          <w:i/>
        </w:rPr>
        <w:t>Neighboring counties</w:t>
      </w:r>
      <w:r>
        <w:rPr>
          <w:rStyle w:val="FootnoteReference"/>
        </w:rPr>
        <w:footnoteReference w:id="7"/>
      </w:r>
    </w:p>
    <w:tbl>
      <w:tblPr>
        <w:tblStyle w:val="TableNormal"/>
        <w:tblW w:w="10080" w:type="dxa"/>
        <w:tblLayout w:type="fixed"/>
        <w:tblLook w:val="04A0" w:firstRow="1" w:lastRow="0" w:firstColumn="1" w:lastColumn="0" w:noHBand="0" w:noVBand="1"/>
      </w:tblPr>
      <w:tblGrid>
        <w:gridCol w:w="2000"/>
        <w:gridCol w:w="1500"/>
        <w:gridCol w:w="1700"/>
        <w:gridCol w:w="1500"/>
        <w:gridCol w:w="1800"/>
        <w:gridCol w:w="15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Neighboring county</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Restriction score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Severe restriction on record</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Opposition records</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Interconnection requests, MW</w:t>
            </w:r>
          </w:p>
        </w:tc>
        <w:tc>
          <w:tcPr>
            <w:tcW w:w="15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Population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Benton,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0.50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870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25,724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Jones,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20,896</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Delaware,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82</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17,558</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Johnson,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349</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156,639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Cedar,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yes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18,349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Buchanan, IA</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0.13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yes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1,103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20,694</w:t>
            </w:r>
          </w:p>
        </w:tc>
      </w:tr>
    </w:tbl>
    <w:p>
      <w:pPr>
        <w:spacing w:after="40"/>
      </w:pPr>
    </w:p>
    <w:p>
      <w:pPr>
        <w:pStyle w:val="Heading2"/>
        <w:spacing w:before="240" w:after="80"/>
      </w:pPr>
      <w:r>
        <w:t>How to Read Hawthorn Intelligence Reports</w:t>
      </w:r>
    </w:p>
    <w:p>
      <w:pPr>
        <w:spacing w:after="200"/>
      </w:pPr>
      <w:r>
        <w:rPr>
          <w:b/>
        </w:rPr>
        <w:t>County Restriction Score and decile:</w:t>
      </w:r>
      <w:r>
        <w:t xml:space="preserve"> A calibrated 0 to 1 measure of how closely a county resembles counties that have enacted severe wind, solar or battery-storage restrictions (an explicit moratorium or ban, or terms likely to act as one, such as a solar setback of 1,000 feet or more), reported with its likely range and its national decile (Table 1). It is a resemblance measure over county profiles, not a forecast for any specific project, and its drivers are predictive associations, not causes.</w:t>
      </w:r>
    </w:p>
    <w:p>
      <w:pPr>
        <w:spacing w:after="200"/>
      </w:pPr>
      <w:r>
        <w:rPr>
          <w:b/>
        </w:rPr>
        <w:t>Evidence status:</w:t>
      </w:r>
      <w:r>
        <w:t xml:space="preserve"> How thoroughly a county's restriction record has been checked against the instruments themselves. It describes verification effort, not the likelihood of a restriction.</w:t>
      </w:r>
    </w:p>
    <w:p>
      <w:pPr>
        <w:keepNext/>
        <w:spacing w:before="120" w:after="80"/>
      </w:pPr>
      <w:r>
        <w:rPr>
          <w:b/>
          <w:i/>
        </w:rPr>
        <w:t xml:space="preserve">Table 5 </w:t>
      </w:r>
      <w:r>
        <w:rPr>
          <w:i/>
        </w:rPr>
        <w:t>Evidence status</w:t>
      </w:r>
      <w:r>
        <w:rPr>
          <w:rStyle w:val="FootnoteReference"/>
        </w:rPr>
        <w:footnoteReference w:id="8"/>
      </w:r>
    </w:p>
    <w:tbl>
      <w:tblPr>
        <w:tblStyle w:val="TableNormal"/>
        <w:tblW w:w="10080" w:type="dxa"/>
        <w:tblLayout w:type="fixed"/>
        <w:tblLook w:val="04A0" w:firstRow="1" w:lastRow="0" w:firstColumn="1" w:lastColumn="0" w:noHBand="0" w:noVBand="1"/>
      </w:tblPr>
      <w:tblGrid>
        <w:gridCol w:w="1900"/>
        <w:gridCol w:w="6080"/>
        <w:gridCol w:w="21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Status</w:t>
            </w:r>
          </w:p>
        </w:tc>
        <w:tc>
          <w:tcPr>
            <w:tcW w:w="60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Meaning</w:t>
            </w:r>
          </w:p>
        </w:tc>
        <w:tc>
          <w:tcPr>
            <w:tcW w:w="21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counties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Verified (Linn)</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At least one restriction checked against the instrument itself or the minutes that adopted it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 (2.2%)</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Restrictions or contested projects on record from news, trackers or compiled databases, none yet read against the instrument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1,340 (41.6%)</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Checked, none found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 reviewed search of the county's codes, minutes and news found no restriction (graded A to C by independence of sources)</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 (0.1%)</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Unexamined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record and no documented check; absence of a record is not evidence of absence</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1,808 (56.1%)</w:t>
            </w:r>
          </w:p>
        </w:tc>
      </w:tr>
    </w:tbl>
    <w:p>
      <w:pPr>
        <w:spacing w:after="40"/>
      </w:pPr>
    </w:p>
    <w:p>
      <w:pPr>
        <w:spacing w:after="200"/>
      </w:pPr>
      <w:r>
        <w:rPr>
          <w:b/>
        </w:rPr>
        <w:t>Outcome tiers:</w:t>
      </w:r>
      <w:r>
        <w:t xml:space="preserve"> Hawthorn Intelligence records project results with activity-descriptive tiers. Only terminal dispositions count as decided; a vote that has not produced a final disposition stays pending.</w:t>
      </w:r>
    </w:p>
    <w:p>
      <w:pPr>
        <w:keepNext/>
        <w:spacing w:before="120" w:after="80"/>
      </w:pPr>
      <w:r>
        <w:rPr>
          <w:b/>
          <w:i/>
        </w:rPr>
        <w:t xml:space="preserve">Table 6 </w:t>
      </w:r>
      <w:r>
        <w:rPr>
          <w:i/>
        </w:rPr>
        <w:t>Outcome tiers</w:t>
      </w:r>
    </w:p>
    <w:tbl>
      <w:tblPr>
        <w:tblStyle w:val="TableNormal"/>
        <w:tblW w:w="10080" w:type="dxa"/>
        <w:tblLayout w:type="fixed"/>
        <w:tblLook w:val="04A0" w:firstRow="1" w:lastRow="0" w:firstColumn="1" w:lastColumn="0" w:noHBand="0" w:noVBand="1"/>
      </w:tblPr>
      <w:tblGrid>
        <w:gridCol w:w="2400"/>
        <w:gridCol w:w="4200"/>
        <w:gridCol w:w="348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Outcome tier</w:t>
            </w:r>
          </w:p>
        </w:tc>
        <w:tc>
          <w:tcPr>
            <w:tcW w:w="42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Definition</w:t>
            </w:r>
          </w:p>
        </w:tc>
        <w:tc>
          <w:tcPr>
            <w:tcW w:w="34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Linn projects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advanced_confirmed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the project may proceed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Coggon Solar (January 2022; upheld June 2024); Duane Arnold Solar I and II (September 2022; suit dismissed July 2023)</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restricted_conditional</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carrying binding conditions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Both approvals carried setback, screening and bond conditions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blocked_confirmed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stop: denied or withdrawn</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pending</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terminal disposition yet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Duane Arnold Solar IV (220 MW solar, up to 180 MW storage)</w:t>
            </w:r>
          </w:p>
        </w:tc>
      </w:tr>
    </w:tbl>
    <w:p>
      <w:pPr>
        <w:spacing w:after="40"/>
      </w:pPr>
    </w:p>
    <w:p>
      <w:pPr>
        <w:spacing w:after="200"/>
      </w:pPr>
      <w:r>
        <w:rPr>
          <w:b/>
        </w:rPr>
        <w:t>Trust tiers:</w:t>
      </w:r>
      <w:r>
        <w:t xml:space="preserve"> Model traits are tiered by exposure to detection bias. Tier 1 traits (operating wind capacity and interconnection requests, both from federal and grid-operator records) carry the least exposure. Tier 2 (neighbors' restrictions) inherits whatever the restriction record misses. Tier 3 traits (population and income) also track news coverage and are read with more caution (Table 3).</w:t>
      </w:r>
    </w:p>
    <w:p>
      <w:pPr>
        <w:pStyle w:val="Heading2"/>
        <w:spacing w:before="240" w:after="80"/>
      </w:pPr>
      <w:r>
        <w:t>Why developers are looking at Linn</w:t>
      </w:r>
    </w:p>
    <w:p>
      <w:pPr>
        <w:spacing w:after="200"/>
      </w:pPr>
      <w:r>
        <w:rPr>
          <w:b/>
        </w:rPr>
        <w:t>Power access:</w:t>
      </w:r>
      <w:r>
        <w:t xml:space="preserve"> The Duane Arnold Energy Center, about 615 MW, closed after the 2020 derecho and left behind a substation and 345 kV and 161 kV lines that developers have queued against ever since. NextEra is now restarting the plant for Google under a 25-year agreement; in September 2026 the Department of Energy </w:t>
      </w:r>
      <w:hyperlink r:id="rId15" w:history="1">
        <w:r>
          <w:rPr>
            <w:rStyle w:val="Hyperlink"/>
          </w:rPr>
          <w:t xml:space="preserve">closed a loan</w:t>
        </w:r>
      </w:hyperlink>
      <w:r>
        <w:t xml:space="preserve"> of up to $1.9 billion for the restart, and the county rezoned the 393-acre plant site for nuclear use on January 14, 2026. Google and QTS are building data centers in southwest Cedar Rapids, and Palo is weighing a Google campus by annexation.</w:t>
      </w:r>
    </w:p>
    <w:p>
      <w:pPr>
        <w:spacing w:after="200"/>
      </w:pPr>
      <w:r>
        <w:rPr>
          <w:b/>
        </w:rPr>
        <w:t>Land use</w:t>
      </w:r>
      <w:r>
        <w:t xml:space="preserve"> tends to be the friction point. Linn's rural land is productive row-crop ground, and the county's 2023 scorecard deducts points for siting on high-quality soils. Both 2022 lawsuits turned on farmland and land-use consistency, and NextEra's 2021 plan drew a petition demanding that "industrial scale solar" go on industrial land. Near the plant, solar now competes with data centers and the nuclear restart for the same land and interconnection.</w:t>
      </w:r>
    </w:p>
    <w:p>
      <w:pPr>
        <w:pStyle w:val="Heading2"/>
        <w:spacing w:before="240" w:after="80"/>
      </w:pPr>
      <w:r>
        <w:t>Restriction timeline</w:t>
      </w:r>
    </w:p>
    <w:p>
      <w:pPr>
        <w:pStyle w:val="ListParagraph"/>
        <w:numPr>
          <w:ilvl w:val="0"/>
          <w:numId w:val="9"/>
        </w:numPr>
        <w:spacing w:after="80"/>
      </w:pPr>
      <w:r>
        <w:t>January 24, 2022: Board approves Coggon Solar rezoning, 2-1 (Walker and Rogers yes; Zumbach no).</w:t>
      </w:r>
    </w:p>
    <w:p>
      <w:pPr>
        <w:pStyle w:val="ListParagraph"/>
        <w:numPr>
          <w:ilvl w:val="0"/>
          <w:numId w:val="9"/>
        </w:numPr>
        <w:spacing w:after="80"/>
      </w:pPr>
      <w:r>
        <w:t xml:space="preserve">February 7, 2022: A proposed six-month solar moratorium </w:t>
      </w:r>
      <w:hyperlink r:id="rId16" w:history="1">
        <w:r>
          <w:rPr>
            <w:rStyle w:val="Hyperlink"/>
          </w:rPr>
          <w:t xml:space="preserve">fails</w:t>
        </w:r>
      </w:hyperlink>
      <w:r>
        <w:t>, 2-1.</w:t>
      </w:r>
    </w:p>
    <w:p>
      <w:pPr>
        <w:pStyle w:val="ListParagraph"/>
        <w:numPr>
          <w:ilvl w:val="0"/>
          <w:numId w:val="9"/>
        </w:numPr>
        <w:spacing w:after="80"/>
      </w:pPr>
      <w:r>
        <w:t>September 6, 2022: Board approves Duane Arnold Solar I and II rezonings, 2-1 (Zumbach no).</w:t>
      </w:r>
    </w:p>
    <w:p>
      <w:pPr>
        <w:pStyle w:val="ListParagraph"/>
        <w:numPr>
          <w:ilvl w:val="0"/>
          <w:numId w:val="9"/>
        </w:numPr>
        <w:spacing w:after="80"/>
      </w:pPr>
      <w:r>
        <w:t>October 12, 2022: Board unanimously adopts a three-month moratorium on rezonings to the Renewable Energy overlay district.</w:t>
      </w:r>
    </w:p>
    <w:p>
      <w:pPr>
        <w:pStyle w:val="ListParagraph"/>
        <w:numPr>
          <w:ilvl w:val="0"/>
          <w:numId w:val="9"/>
        </w:numPr>
        <w:spacing w:after="80"/>
      </w:pPr>
      <w:r>
        <w:t xml:space="preserve">November 23, 2022, March 2023 and June 2023: Board </w:t>
      </w:r>
      <w:hyperlink r:id="rId17" w:history="1">
        <w:r>
          <w:rPr>
            <w:rStyle w:val="Hyperlink"/>
          </w:rPr>
          <w:t xml:space="preserve">extends</w:t>
        </w:r>
      </w:hyperlink>
      <w:r>
        <w:t xml:space="preserve"> the moratorium, finally to September 30, 2023.</w:t>
      </w:r>
    </w:p>
    <w:p>
      <w:pPr>
        <w:pStyle w:val="ListParagraph"/>
        <w:numPr>
          <w:ilvl w:val="0"/>
          <w:numId w:val="9"/>
        </w:numPr>
        <w:spacing w:after="80"/>
      </w:pPr>
      <w:r>
        <w:t xml:space="preserve">September 2023: Board </w:t>
      </w:r>
      <w:hyperlink r:id="rId18" w:history="1">
        <w:r>
          <w:rPr>
            <w:rStyle w:val="Hyperlink"/>
          </w:rPr>
          <w:t xml:space="preserve">adopts</w:t>
        </w:r>
      </w:hyperlink>
      <w:r>
        <w:t xml:space="preserve"> the revised utility-scale solar ordinance unanimously and the solar scorecard 2-1.</w:t>
      </w:r>
    </w:p>
    <w:p>
      <w:pPr>
        <w:pStyle w:val="ListParagraph"/>
        <w:numPr>
          <w:ilvl w:val="0"/>
          <w:numId w:val="9"/>
        </w:numPr>
        <w:spacing w:after="80"/>
      </w:pPr>
      <w:r>
        <w:t xml:space="preserve">July 31, 2024: Board </w:t>
      </w:r>
      <w:hyperlink r:id="rId19" w:history="1">
        <w:r>
          <w:rPr>
            <w:rStyle w:val="Hyperlink"/>
          </w:rPr>
          <w:t xml:space="preserve">adopts</w:t>
        </w:r>
      </w:hyperlink>
      <w:r>
        <w:t xml:space="preserve"> a rewritten wind ordinance, 2-0: setback of twice turbine height, 55 dBA noise limit, debris bond.</w:t>
      </w:r>
    </w:p>
    <w:p>
      <w:pPr>
        <w:pStyle w:val="ListParagraph"/>
        <w:numPr>
          <w:ilvl w:val="0"/>
          <w:numId w:val="9"/>
        </w:numPr>
        <w:spacing w:after="80"/>
      </w:pPr>
      <w:r>
        <w:t>January 14, 2026: Board rezones the Duane Arnold plant site for nuclear generation, unanimously.</w:t>
      </w:r>
    </w:p>
    <w:p>
      <w:pPr>
        <w:pStyle w:val="ListParagraph"/>
        <w:numPr>
          <w:ilvl w:val="0"/>
          <w:numId w:val="9"/>
        </w:numPr>
        <w:spacing w:after="80"/>
      </w:pPr>
      <w:r>
        <w:t xml:space="preserve">July 1, 2026: Board </w:t>
      </w:r>
      <w:hyperlink r:id="rId20" w:history="1">
        <w:r>
          <w:rPr>
            <w:rStyle w:val="Hyperlink"/>
          </w:rPr>
          <w:t xml:space="preserve">adopts</w:t>
        </w:r>
      </w:hyperlink>
      <w:r>
        <w:t xml:space="preserve"> an 18-month moratorium on rezonings to its large data-center district, 2-1 (Scheetz no); a proposed exemption for data centers tied to nuclear or solar is struck unanimously.</w:t>
      </w:r>
    </w:p>
    <w:p>
      <w:pPr>
        <w:spacing w:after="200"/>
      </w:pPr>
      <w:r>
        <w:rPr>
          <w:b/>
        </w:rPr>
        <w:t>How the 2023 ordinance was written:</w:t>
      </w:r>
      <w:r>
        <w:t xml:space="preserve"> Two county advisory committees drafted the revisions during the moratorium and </w:t>
      </w:r>
      <w:hyperlink r:id="rId21" w:history="1">
        <w:r>
          <w:rPr>
            <w:rStyle w:val="Hyperlink"/>
          </w:rPr>
          <w:t xml:space="preserve">sought public feedback</w:t>
        </w:r>
      </w:hyperlink>
      <w:r>
        <w:t xml:space="preserve"> in April 2023. At first reading, Supervisor Rogers objected to the grading and farmland-quality provisions of the scorecard, and Supervisor Running-Marquardt compared it to Iowa's farmland assessment system. Amendments added points for local labor and cut points for medium- and high-quality farmland before the scorecard passed 2-1. Board chair Zumbach said he hoped the ordinance would "make utility-scale solar more palatable for those living near it."</w:t>
      </w:r>
    </w:p>
    <w:p>
      <w:pPr>
        <w:pStyle w:val="Heading2"/>
        <w:spacing w:before="240" w:after="80"/>
      </w:pPr>
      <w:r>
        <w:t>Project outcomes</w:t>
      </w:r>
    </w:p>
    <w:p>
      <w:pPr>
        <w:pStyle w:val="ListParagraph"/>
        <w:numPr>
          <w:ilvl w:val="0"/>
          <w:numId w:val="12"/>
        </w:numPr>
        <w:spacing w:after="80"/>
      </w:pPr>
      <w:r>
        <w:rPr>
          <w:b/>
        </w:rPr>
        <w:t>Duane Arnold Solar I and II</w:t>
      </w:r>
      <w:r>
        <w:t xml:space="preserve"> (NextEra Energy Resources; Alliant Energy as future owner): 50 MW and 150 MW of solar plus a 75 MW battery on about 2,637 acres near Palo, about 1,130 acres of panels. Rezoned September 6, 2022, 2-1; the Iowa Utilities Board issued generating certificates in November 2022. Residents' suit alleging spot zoning and loss of prime farmland </w:t>
      </w:r>
      <w:hyperlink r:id="rId22" w:history="1">
        <w:r>
          <w:rPr>
            <w:rStyle w:val="Hyperlink"/>
          </w:rPr>
          <w:t xml:space="preserve">dismissed</w:t>
        </w:r>
      </w:hyperlink>
      <w:r>
        <w:t xml:space="preserve"> July 20, 2023. Solar I has generated since March 2024; federal records list 50 and 150 MW units near the site in operation.</w:t>
      </w:r>
    </w:p>
    <w:p>
      <w:pPr>
        <w:pStyle w:val="ListParagraph"/>
        <w:numPr>
          <w:ilvl w:val="0"/>
          <w:numId w:val="12"/>
        </w:numPr>
        <w:spacing w:after="80"/>
      </w:pPr>
      <w:r>
        <w:rPr>
          <w:b/>
        </w:rPr>
        <w:t>Coggon Solar</w:t>
      </w:r>
      <w:r>
        <w:t xml:space="preserve"> (Clēnera; Central Iowa Power Cooperative as buyer): 100 MW, about $150 million, on 640 to 750 acres west of Coggon. Approved 2-1 on January 24, 2022 with a 300-foot setback and a $2.7 million decommissioning bond; upheld by the Iowa Court of Appeals on June 5, 2024. Federal records list it as under construction.</w:t>
      </w:r>
    </w:p>
    <w:p>
      <w:pPr>
        <w:pStyle w:val="ListParagraph"/>
        <w:numPr>
          <w:ilvl w:val="0"/>
          <w:numId w:val="12"/>
        </w:numPr>
        <w:spacing w:after="80"/>
      </w:pPr>
      <w:r>
        <w:rPr>
          <w:b/>
        </w:rPr>
        <w:t>Duane Arnold Solar IV</w:t>
      </w:r>
      <w:r>
        <w:t xml:space="preserve"> (NextEra): 220 MW of solar and up to 180 MW of storage on about 1,460 acres between Center Point and Toddville; public meeting July 24, 2024 under Iowa Utilities Commission docket GCU-2024-0002; no county or state decision found.</w:t>
      </w:r>
    </w:p>
    <w:p>
      <w:pPr>
        <w:pStyle w:val="Heading2"/>
        <w:spacing w:before="240" w:after="80"/>
      </w:pPr>
      <w:r>
        <w:t>Opposition</w:t>
      </w:r>
    </w:p>
    <w:p>
      <w:pPr>
        <w:spacing w:after="200"/>
      </w:pPr>
      <w:r>
        <w:t>Organized groups on record: none against renewables. Save Morgan Valley opposes Alliant's proposed gas plant.</w:t>
      </w:r>
    </w:p>
    <w:p>
      <w:pPr>
        <w:spacing w:after="200"/>
      </w:pPr>
      <w:r>
        <w:t xml:space="preserve">A </w:t>
      </w:r>
      <w:hyperlink r:id="rId23" w:history="1">
        <w:r>
          <w:rPr>
            <w:rStyle w:val="Hyperlink"/>
          </w:rPr>
          <w:t xml:space="preserve">Change.org petition</w:t>
        </w:r>
      </w:hyperlink>
      <w:r>
        <w:t xml:space="preserve"> started by Center Point resident Sara Alden in April 2021 against NextEra's 3,500-acre plan gathered 2,913 signatures. Alden later raised battery fire risk at the 2024 Solar IV meeting. Most speakers at NextEra's June 2021 meeting opposed the plan.</w:t>
      </w:r>
    </w:p>
    <w:p>
      <w:pPr>
        <w:spacing w:after="200"/>
      </w:pPr>
      <w:r>
        <w:rPr>
          <w:b/>
        </w:rPr>
        <w:t>Lawsuits:</w:t>
      </w:r>
      <w:r>
        <w:t xml:space="preserve"> </w:t>
      </w:r>
      <w:r>
        <w:rPr>
          <w:i/>
        </w:rPr>
        <w:t>Robinson v. Linn County Board of Supervisors</w:t>
      </w:r>
      <w:r>
        <w:t xml:space="preserve"> (Coggon Solar; Iowa Court of Appeals No. 23-0705) ended in the county's favor on June 5, 2024, the court holding that a solar rezoning is a legislative act reviewed only for whether it is "fairly debatable." The Duane Arnold Solar suit was dismissed in district court on July 20, 2023. The courts have made no finding against either project.</w:t>
      </w:r>
    </w:p>
    <w:p>
      <w:pPr>
        <w:pStyle w:val="Heading2"/>
        <w:spacing w:before="240" w:after="80"/>
      </w:pPr>
      <w:r>
        <w:t>Local Context</w:t>
      </w:r>
    </w:p>
    <w:p>
      <w:pPr>
        <w:spacing w:after="200"/>
      </w:pPr>
      <w:r>
        <w:t xml:space="preserve">The board has three members. Kirsten Running-Marquardt (D, District 1, chair) is unopposed on November 3. Sami Scheetz (D, District 2), a former state representative appointed in April 2025 after Ben Rogers resigned, faces Rex W. Meyer (R), a retired civil engineer whose campaign, according to a </w:t>
      </w:r>
      <w:hyperlink r:id="rId24" w:history="1">
        <w:r>
          <w:rPr>
            <w:rStyle w:val="Hyperlink"/>
          </w:rPr>
          <w:t xml:space="preserve">candidate tracker</w:t>
        </w:r>
      </w:hyperlink>
      <w:r>
        <w:t>, emphasizes county oversight of data centers, power plants and CO2 pipelines. Brandy Zumbach Meisheid (R, District 3), who succeeded her father Louie Zumbach in 2025, serves through 2028. Running-Marquardt has said, "I am still committed to renewable energy here in Linn County." Scheetz opposed the data-center moratorium, saying it would suspend the county's new ordinance "before we have ever tested it."</w:t>
      </w:r>
    </w:p>
    <w:p>
      <w:pPr>
        <w:spacing w:after="200"/>
      </w:pPr>
      <w:r>
        <w:t xml:space="preserve">The </w:t>
      </w:r>
      <w:hyperlink r:id="rId25" w:history="1">
        <w:r>
          <w:rPr>
            <w:rStyle w:val="Hyperlink"/>
          </w:rPr>
          <w:t xml:space="preserve">official candidate list</w:t>
        </w:r>
      </w:hyperlink>
      <w:r>
        <w:t xml:space="preserve"> shows only those two races. A July 2026 </w:t>
      </w:r>
      <w:hyperlink r:id="rId26" w:history="1">
        <w:r>
          <w:rPr>
            <w:rStyle w:val="Hyperlink"/>
          </w:rPr>
          <w:t xml:space="preserve">push</w:t>
        </w:r>
      </w:hyperlink>
      <w:r>
        <w:t xml:space="preserve"> to expand the board to five members followed the moratorium vote; we could not confirm whether it reached the ballot.</w:t>
      </w:r>
    </w:p>
    <w:p>
      <w:pPr>
        <w:pStyle w:val="Heading2"/>
        <w:spacing w:before="240" w:after="80"/>
      </w:pPr>
      <w:r>
        <w:t>State Context</w:t>
      </w:r>
    </w:p>
    <w:p>
      <w:pPr>
        <w:spacing w:after="200"/>
      </w:pPr>
      <w:r>
        <w:t xml:space="preserve">Iowa has no state law setting wind or solar setbacks, and its 2026 attempt failed. HSB 692, renumbered HF 2580, would have capped county wind setbacks at three times turbine height, set a floor on local sound limits, allowed counties only one six-month moratorium, barred bans based on soil quality and barred eminent domain for renewable facilities. Clean-energy groups supported it and the Iowa Farm Bureau opposed it; it </w:t>
      </w:r>
      <w:hyperlink r:id="rId27" w:history="1">
        <w:r>
          <w:rPr>
            <w:rStyle w:val="Hyperlink"/>
          </w:rPr>
          <w:t xml:space="preserve">advanced</w:t>
        </w:r>
      </w:hyperlink>
      <w:r>
        <w:t xml:space="preserve"> through House committees in February but did not pass. Analysts </w:t>
      </w:r>
      <w:hyperlink r:id="rId28" w:history="1">
        <w:r>
          <w:rPr>
            <w:rStyle w:val="Hyperlink"/>
          </w:rPr>
          <w:t xml:space="preserve">expect</w:t>
        </w:r>
      </w:hyperlink>
      <w:r>
        <w:t xml:space="preserve"> 2027 to bring the most siting bills yet.</w:t>
      </w:r>
    </w:p>
    <w:p>
      <w:pPr>
        <w:spacing w:after="200"/>
      </w:pPr>
      <w:r>
        <w:t xml:space="preserve">The sharper state lever is already in law. Any plant of 25 MW or more, or storage of 25 MWh or more, needs a certificate from the Iowa Utilities Commission, and Iowa Code 476A.5 lets the Commission certify a project even where county zoning would forbid it. In April 2026 the Commission certified Ranger Power's River City Energy project in Cerro Gordo County despite a county ordinance banning utility-scale solar, wind and storage on farmland; the county </w:t>
      </w:r>
      <w:hyperlink r:id="rId29" w:history="1">
        <w:r>
          <w:rPr>
            <w:rStyle w:val="Hyperlink"/>
          </w:rPr>
          <w:t xml:space="preserve">sued</w:t>
        </w:r>
      </w:hyperlink>
      <w:r>
        <w:t xml:space="preserve"> in Polk County District Court on July 13, 2026. Linn's own certificates have so far been conditioned on county zoning approval.</w:t>
      </w:r>
    </w:p>
    <w:p>
      <w:pPr>
        <w:pStyle w:val="Heading2"/>
        <w:spacing w:before="240" w:after="80"/>
      </w:pPr>
      <w:r>
        <w:t>What to watch</w:t>
      </w:r>
    </w:p>
    <w:p>
      <w:pPr>
        <w:pStyle w:val="ListParagraph"/>
        <w:numPr>
          <w:ilvl w:val="0"/>
          <w:numId w:val="9"/>
        </w:numPr>
        <w:spacing w:after="80"/>
      </w:pPr>
      <w:r>
        <w:t>Duane Arnold Solar IV: county rezoning and Iowa Utilities Commission docket GCU-2024-0002</w:t>
      </w:r>
    </w:p>
    <w:p>
      <w:pPr>
        <w:pStyle w:val="ListParagraph"/>
        <w:numPr>
          <w:ilvl w:val="0"/>
          <w:numId w:val="9"/>
        </w:numPr>
        <w:spacing w:after="80"/>
      </w:pPr>
      <w:r>
        <w:t>November 3, 2026: District 2 supervisor race (Scheetz v. Meyer) and any board-size question</w:t>
      </w:r>
    </w:p>
    <w:p>
      <w:pPr>
        <w:pStyle w:val="ListParagraph"/>
        <w:numPr>
          <w:ilvl w:val="0"/>
          <w:numId w:val="9"/>
        </w:numPr>
        <w:spacing w:after="80"/>
      </w:pPr>
      <w:r>
        <w:t>Cerro Gordo County v. Iowa Utilities Commission, Polk County District Court</w:t>
      </w:r>
    </w:p>
    <w:p>
      <w:pPr>
        <w:pStyle w:val="ListParagraph"/>
        <w:numPr>
          <w:ilvl w:val="0"/>
          <w:numId w:val="9"/>
        </w:numPr>
        <w:spacing w:after="80"/>
      </w:pPr>
      <w:r>
        <w:t>January 2027: Iowa legislative session and statewide siting standards</w:t>
      </w:r>
    </w:p>
    <w:p>
      <w:pPr>
        <w:pStyle w:val="ListParagraph"/>
        <w:numPr>
          <w:ilvl w:val="0"/>
          <w:numId w:val="9"/>
        </w:numPr>
        <w:spacing w:after="80"/>
      </w:pPr>
      <w:r>
        <w:t>Around January 2028: possible federal license decision on the Duane Arnold restart; January 1, 2028: end of the data-center moratorium</w:t>
      </w:r>
    </w:p>
    <w:p>
      <w:pPr>
        <w:pStyle w:val="Heading2"/>
        <w:spacing w:before="240" w:after="80"/>
      </w:pPr>
      <w:r>
        <w:t>Sources</w:t>
      </w:r>
    </w:p>
    <w:p>
      <w:pPr>
        <w:spacing w:after="40"/>
      </w:pPr>
      <w:r>
        <w:rPr>
          <w:sz w:val="16"/>
        </w:rPr>
        <w:t xml:space="preserve">S1. U.S. Census Bureau, Vintage 2025 county population estimates. </w:t>
      </w:r>
      <w:hyperlink r:id="rId9" w:history="1">
        <w:r>
          <w:rPr>
            <w:rStyle w:val="Hyperlink"/>
            <w:sz w:val="16"/>
            <w:szCs w:val="16"/>
          </w:rPr>
          <w:t xml:space="preserve">https://www2.census.gov/programs-surveys/popest/datasets/2020-2025/counties/totals/co-est2025-alldata.csv</w:t>
        </w:r>
      </w:hyperlink>
    </w:p>
    <w:p>
      <w:pPr>
        <w:spacing w:after="40"/>
      </w:pPr>
      <w:r>
        <w:rPr>
          <w:sz w:val="16"/>
        </w:rPr>
        <w:t>S2. U.S. Census Bureau, American Community Survey 2020-2024 5-year estimates, via pricephillips/renewable-opposition county_covariates.csv.</w:t>
      </w:r>
    </w:p>
    <w:p>
      <w:pPr>
        <w:spacing w:after="40"/>
      </w:pPr>
      <w:r>
        <w:rPr>
          <w:sz w:val="16"/>
        </w:rPr>
        <w:t xml:space="preserve">S3. MIT Election Data and Science Lab, County Presidential Election Returns 2000-2024, doi:10.7910/DVN/VOQCHQ. </w:t>
      </w:r>
      <w:hyperlink r:id="rId10" w:history="1">
        <w:r>
          <w:rPr>
            <w:rStyle w:val="Hyperlink"/>
            <w:sz w:val="16"/>
            <w:szCs w:val="16"/>
          </w:rPr>
          <w:t xml:space="preserve">https://electionlab.mit.edu/data</w:t>
        </w:r>
      </w:hyperlink>
    </w:p>
    <w:p>
      <w:pPr>
        <w:spacing w:after="40"/>
      </w:pPr>
      <w:r>
        <w:rPr>
          <w:sz w:val="16"/>
        </w:rPr>
        <w:t xml:space="preserve">S4. U.S. Energy Information Administration, Preliminary Monthly Electric Generator Inventory (EIA-860M), August 2026. </w:t>
      </w:r>
      <w:hyperlink r:id="rId11" w:history="1">
        <w:r>
          <w:rPr>
            <w:rStyle w:val="Hyperlink"/>
            <w:sz w:val="16"/>
            <w:szCs w:val="16"/>
          </w:rPr>
          <w:t xml:space="preserve">https://www.eia.gov/electricity/data/eia860m/</w:t>
        </w:r>
      </w:hyperlink>
    </w:p>
    <w:p>
      <w:pPr>
        <w:spacing w:after="40"/>
      </w:pPr>
      <w:r>
        <w:rPr>
          <w:sz w:val="16"/>
        </w:rPr>
        <w:t>S5. Lawrence Berkeley National Laboratory, Queued Up, 2026 edition (data through 2025), via pricephillips/renewable-opposition queue_projects.csv.</w:t>
      </w:r>
    </w:p>
    <w:p>
      <w:pPr>
        <w:spacing w:after="40"/>
      </w:pPr>
      <w:r>
        <w:rPr>
          <w:sz w:val="16"/>
        </w:rPr>
        <w:t xml:space="preserve">S6. Linn County, Utility-scale solar siting ordinance (as published by Clean Energy Districts of Iowa), 2023. </w:t>
      </w:r>
      <w:hyperlink r:id="rId13" w:history="1">
        <w:r>
          <w:rPr>
            <w:rStyle w:val="Hyperlink"/>
            <w:sz w:val="16"/>
            <w:szCs w:val="16"/>
          </w:rPr>
          <w:t xml:space="preserve">https://www.cleanenergydistricts.org/wp-content/uploads/2024/03/Linn-County-Utility-Scale-Solar-Siting-Ordinance.pdf</w:t>
        </w:r>
      </w:hyperlink>
    </w:p>
    <w:p>
      <w:pPr>
        <w:spacing w:after="40"/>
      </w:pPr>
      <w:r>
        <w:rPr>
          <w:sz w:val="16"/>
        </w:rPr>
        <w:t xml:space="preserve">S7. KCRG, Linn County Board of Supervisors approves Coggon Solar Project 2-1, Jan. 25, 2022. </w:t>
      </w:r>
      <w:hyperlink r:id="rId30" w:history="1">
        <w:r>
          <w:rPr>
            <w:rStyle w:val="Hyperlink"/>
            <w:sz w:val="16"/>
            <w:szCs w:val="16"/>
          </w:rPr>
          <w:t xml:space="preserve">https://www.kcrg.com/2022/01/25/linn-county-board-supervisors-approves-coggon-solar-project-2-1/</w:t>
        </w:r>
      </w:hyperlink>
    </w:p>
    <w:p>
      <w:pPr>
        <w:spacing w:after="40"/>
      </w:pPr>
      <w:r>
        <w:rPr>
          <w:sz w:val="16"/>
        </w:rPr>
        <w:t xml:space="preserve">S8. The Gazette, Linn County supervisors vote 2-1 to approve Coggon Solar project, Jan. 2022. </w:t>
      </w:r>
      <w:hyperlink r:id="rId31" w:history="1">
        <w:r>
          <w:rPr>
            <w:rStyle w:val="Hyperlink"/>
            <w:sz w:val="16"/>
            <w:szCs w:val="16"/>
          </w:rPr>
          <w:t xml:space="preserve">https://www.thegazette.com/local-government/linn-county-supervisors-vote-2-1-to-approve-coggon-solar-project/</w:t>
        </w:r>
      </w:hyperlink>
    </w:p>
    <w:p>
      <w:pPr>
        <w:spacing w:after="40"/>
      </w:pPr>
      <w:r>
        <w:rPr>
          <w:sz w:val="16"/>
        </w:rPr>
        <w:t xml:space="preserve">S9. KCRG, Linn County votes down rezoning utility-scale solar projects ordinance 2-1, Feb. 7, 2022. </w:t>
      </w:r>
      <w:hyperlink r:id="rId16" w:history="1">
        <w:r>
          <w:rPr>
            <w:rStyle w:val="Hyperlink"/>
            <w:sz w:val="16"/>
            <w:szCs w:val="16"/>
          </w:rPr>
          <w:t xml:space="preserve">https://www.kcrg.com/2022/02/07/linn-county-votes-down-rezoning-utility-scale-solar-projects-ordinance-2-1/</w:t>
        </w:r>
      </w:hyperlink>
    </w:p>
    <w:p>
      <w:pPr>
        <w:spacing w:after="40"/>
      </w:pPr>
      <w:r>
        <w:rPr>
          <w:sz w:val="16"/>
        </w:rPr>
        <w:t xml:space="preserve">S10. Corridor Business Journal, NextEra files applications with Linn County for Duane Arnold Solar projects, Feb. 24, 2022. </w:t>
      </w:r>
      <w:hyperlink r:id="rId32" w:history="1">
        <w:r>
          <w:rPr>
            <w:rStyle w:val="Hyperlink"/>
            <w:sz w:val="16"/>
            <w:szCs w:val="16"/>
          </w:rPr>
          <w:t xml:space="preserve">https://corridorbusiness.com/nextera-files-applications-with-linn-county-for-duane-arnold-solar-projects/</w:t>
        </w:r>
      </w:hyperlink>
    </w:p>
    <w:p>
      <w:pPr>
        <w:spacing w:after="40"/>
      </w:pPr>
      <w:r>
        <w:rPr>
          <w:sz w:val="16"/>
        </w:rPr>
        <w:t xml:space="preserve">S11. Corridor Business Journal, Duane Arnold Solar rezoning proposals approved, Sept. 7, 2022. </w:t>
      </w:r>
      <w:hyperlink r:id="rId33" w:history="1">
        <w:r>
          <w:rPr>
            <w:rStyle w:val="Hyperlink"/>
            <w:sz w:val="16"/>
            <w:szCs w:val="16"/>
          </w:rPr>
          <w:t xml:space="preserve">https://corridorbusiness.com/duane-arnold-solar-rezoning-proposals-approved/</w:t>
        </w:r>
      </w:hyperlink>
    </w:p>
    <w:p>
      <w:pPr>
        <w:spacing w:after="40"/>
      </w:pPr>
      <w:r>
        <w:rPr>
          <w:sz w:val="16"/>
        </w:rPr>
        <w:t xml:space="preserve">S12. KCRG, Linn County Board of Supervisors approves rezoning for solar panel projects, Sept. 7, 2022. </w:t>
      </w:r>
      <w:hyperlink r:id="rId34" w:history="1">
        <w:r>
          <w:rPr>
            <w:rStyle w:val="Hyperlink"/>
            <w:sz w:val="16"/>
            <w:szCs w:val="16"/>
          </w:rPr>
          <w:t xml:space="preserve">https://www.kcrg.com/2022/09/07/linn-county-board-supervisors-approves-rezoning-solar-panel-projects/</w:t>
        </w:r>
      </w:hyperlink>
    </w:p>
    <w:p>
      <w:pPr>
        <w:spacing w:after="40"/>
      </w:pPr>
      <w:r>
        <w:rPr>
          <w:sz w:val="16"/>
        </w:rPr>
        <w:t xml:space="preserve">S13. Corridor Business Journal, Linn County extends renewable energy moratorium for three months, Nov. 28, 2022. </w:t>
      </w:r>
      <w:hyperlink r:id="rId17" w:history="1">
        <w:r>
          <w:rPr>
            <w:rStyle w:val="Hyperlink"/>
            <w:sz w:val="16"/>
            <w:szCs w:val="16"/>
          </w:rPr>
          <w:t xml:space="preserve">https://corridorbusiness.com/linn-county-extends-renewable-energy-moratorium-for-three-months/</w:t>
        </w:r>
      </w:hyperlink>
    </w:p>
    <w:p>
      <w:pPr>
        <w:spacing w:after="40"/>
      </w:pPr>
      <w:r>
        <w:rPr>
          <w:sz w:val="16"/>
        </w:rPr>
        <w:t xml:space="preserve">S14. Corridor Business Journal, Lawsuit against Duane Arnold Solar projects dismissed, Aug. 7, 2023. </w:t>
      </w:r>
      <w:hyperlink r:id="rId22" w:history="1">
        <w:r>
          <w:rPr>
            <w:rStyle w:val="Hyperlink"/>
            <w:sz w:val="16"/>
            <w:szCs w:val="16"/>
          </w:rPr>
          <w:t xml:space="preserve">https://corridorbusiness.com/lawsuit-against-duane-arnold-solar-projects-dismissed/</w:t>
        </w:r>
      </w:hyperlink>
    </w:p>
    <w:p>
      <w:pPr>
        <w:spacing w:after="40"/>
      </w:pPr>
      <w:r>
        <w:rPr>
          <w:sz w:val="16"/>
        </w:rPr>
        <w:t xml:space="preserve">S15. Corridor Business Journal, Revamped solar ordinance, scorecard get final approval from Linn supervisors, Sept. 20, 2023. </w:t>
      </w:r>
      <w:hyperlink r:id="rId18" w:history="1">
        <w:r>
          <w:rPr>
            <w:rStyle w:val="Hyperlink"/>
            <w:sz w:val="16"/>
            <w:szCs w:val="16"/>
          </w:rPr>
          <w:t xml:space="preserve">https://corridorbusiness.com/revamped-solar-ordinance-scorecard-get-final-approval-from-linn-supervisors/</w:t>
        </w:r>
      </w:hyperlink>
    </w:p>
    <w:p>
      <w:pPr>
        <w:spacing w:after="40"/>
      </w:pPr>
      <w:r>
        <w:rPr>
          <w:sz w:val="16"/>
        </w:rPr>
        <w:t xml:space="preserve">S16. Iowa State University Center for Agricultural Law and Taxation, Court of Appeals rules rezoning of parcel to allow solar farm is valid, July 3, 2024. </w:t>
      </w:r>
      <w:hyperlink r:id="rId14" w:history="1">
        <w:r>
          <w:rPr>
            <w:rStyle w:val="Hyperlink"/>
            <w:sz w:val="16"/>
            <w:szCs w:val="16"/>
          </w:rPr>
          <w:t xml:space="preserve">https://www.calt.iastate.edu/article/court-appeals-rules-rezoning-parcel-allow-solar-farm-valid</w:t>
        </w:r>
      </w:hyperlink>
    </w:p>
    <w:p>
      <w:pPr>
        <w:spacing w:after="40"/>
      </w:pPr>
      <w:r>
        <w:rPr>
          <w:sz w:val="16"/>
        </w:rPr>
        <w:t xml:space="preserve">S17. Corridor Business Journal, NextEra Energy outlines plans for Duane Arnold Solar IV project in Linn County, July 25, 2024. </w:t>
      </w:r>
      <w:hyperlink r:id="rId35" w:history="1">
        <w:r>
          <w:rPr>
            <w:rStyle w:val="Hyperlink"/>
            <w:sz w:val="16"/>
            <w:szCs w:val="16"/>
          </w:rPr>
          <w:t xml:space="preserve">https://corridorbusiness.com/?p=80201</w:t>
        </w:r>
      </w:hyperlink>
    </w:p>
    <w:p>
      <w:pPr>
        <w:spacing w:after="40"/>
      </w:pPr>
      <w:r>
        <w:rPr>
          <w:sz w:val="16"/>
        </w:rPr>
        <w:t xml:space="preserve">S18. Corridor Business Journal, Linn supervisors cast final vote for new wind energy ordinance, July 31, 2024. </w:t>
      </w:r>
      <w:hyperlink r:id="rId19" w:history="1">
        <w:r>
          <w:rPr>
            <w:rStyle w:val="Hyperlink"/>
            <w:sz w:val="16"/>
            <w:szCs w:val="16"/>
          </w:rPr>
          <w:t xml:space="preserve">https://corridorbusiness.com/?p=80390</w:t>
        </w:r>
      </w:hyperlink>
    </w:p>
    <w:p>
      <w:pPr>
        <w:spacing w:after="40"/>
      </w:pPr>
      <w:r>
        <w:rPr>
          <w:sz w:val="16"/>
        </w:rPr>
        <w:t xml:space="preserve">S19. Corridor Business Journal, Duane Arnold Solar coverage index. </w:t>
      </w:r>
      <w:hyperlink r:id="rId21" w:history="1">
        <w:r>
          <w:rPr>
            <w:rStyle w:val="Hyperlink"/>
            <w:sz w:val="16"/>
            <w:szCs w:val="16"/>
          </w:rPr>
          <w:t xml:space="preserve">https://corridorbusiness.com/tag/duane-arnold-solar</w:t>
        </w:r>
      </w:hyperlink>
    </w:p>
    <w:p>
      <w:pPr>
        <w:spacing w:after="40"/>
      </w:pPr>
      <w:r>
        <w:rPr>
          <w:sz w:val="16"/>
        </w:rPr>
        <w:t xml:space="preserve">S20. Change.org, Stop industrial scale solar on agricultural and residential rural land, Apr. 2021. </w:t>
      </w:r>
      <w:hyperlink r:id="rId23" w:history="1">
        <w:r>
          <w:rPr>
            <w:rStyle w:val="Hyperlink"/>
            <w:sz w:val="16"/>
            <w:szCs w:val="16"/>
          </w:rPr>
          <w:t xml:space="preserve">https://www.change.org/p/linn-county-board-of-supervisors-stop-industrial-scale-solar-on-agricultural-and-residential-rural-land</w:t>
        </w:r>
      </w:hyperlink>
    </w:p>
    <w:p>
      <w:pPr>
        <w:spacing w:after="40"/>
      </w:pPr>
      <w:r>
        <w:rPr>
          <w:sz w:val="16"/>
        </w:rPr>
        <w:t xml:space="preserve">S21. KCRG, People learn more about rezoning process for 3,500-acre solar farm proposal in Linn County, June 3, 2021. </w:t>
      </w:r>
      <w:hyperlink r:id="rId36" w:history="1">
        <w:r>
          <w:rPr>
            <w:rStyle w:val="Hyperlink"/>
            <w:sz w:val="16"/>
            <w:szCs w:val="16"/>
          </w:rPr>
          <w:t xml:space="preserve">https://www.kcrg.com/2021/06/03/people-learn-more-about-rezoning-process-for-3500-acre-solar-farm-proposal-in-linn-county</w:t>
        </w:r>
      </w:hyperlink>
    </w:p>
    <w:p>
      <w:pPr>
        <w:spacing w:after="40"/>
      </w:pPr>
      <w:r>
        <w:rPr>
          <w:sz w:val="16"/>
        </w:rPr>
        <w:t xml:space="preserve">S22. Corridor Business Journal, Linn County zoning commission votes to recommend rezoning for Duane Arnold plant site, Dec. 16, 2025. </w:t>
      </w:r>
      <w:hyperlink r:id="rId37" w:history="1">
        <w:r>
          <w:rPr>
            <w:rStyle w:val="Hyperlink"/>
            <w:sz w:val="16"/>
            <w:szCs w:val="16"/>
          </w:rPr>
          <w:t xml:space="preserve">https://corridorbusiness.com/?p=130313</w:t>
        </w:r>
      </w:hyperlink>
    </w:p>
    <w:p>
      <w:pPr>
        <w:spacing w:after="40"/>
      </w:pPr>
      <w:r>
        <w:rPr>
          <w:sz w:val="16"/>
        </w:rPr>
        <w:t xml:space="preserve">S23. KCRG, Nuclear Regulatory Commission hosts community meeting on Duane Arnold restart, Apr. 15, 2026. </w:t>
      </w:r>
      <w:hyperlink r:id="rId12" w:history="1">
        <w:r>
          <w:rPr>
            <w:rStyle w:val="Hyperlink"/>
            <w:sz w:val="16"/>
            <w:szCs w:val="16"/>
          </w:rPr>
          <w:t xml:space="preserve">https://kcrg.com/2026/04/15/nuclear-regulatory-commission-hosts-community-meeting-duane-arnold-restart/</w:t>
        </w:r>
      </w:hyperlink>
    </w:p>
    <w:p>
      <w:pPr>
        <w:spacing w:after="40"/>
      </w:pPr>
      <w:r>
        <w:rPr>
          <w:sz w:val="16"/>
        </w:rPr>
        <w:t xml:space="preserve">S24. Northeast Times, U.S. government backs Iowa nuclear restart with $1.9 billion loan tied to Google, Sept. 8, 2026. </w:t>
      </w:r>
      <w:hyperlink r:id="rId15" w:history="1">
        <w:r>
          <w:rPr>
            <w:rStyle w:val="Hyperlink"/>
            <w:sz w:val="16"/>
            <w:szCs w:val="16"/>
          </w:rPr>
          <w:t xml:space="preserve">https://northeasttimes.com/2026/09/08/u-s-government-backs-iowa-nuclear-restart-with-1-9-billion-loan-tied-to-google/</w:t>
        </w:r>
      </w:hyperlink>
    </w:p>
    <w:p>
      <w:pPr>
        <w:spacing w:after="40"/>
      </w:pPr>
      <w:r>
        <w:rPr>
          <w:sz w:val="16"/>
        </w:rPr>
        <w:t xml:space="preserve">S25. Corridor Business Journal, Linn County data center moratorium approved: how the board got to 2-1, July 2026. </w:t>
      </w:r>
      <w:hyperlink r:id="rId20" w:history="1">
        <w:r>
          <w:rPr>
            <w:rStyle w:val="Hyperlink"/>
            <w:sz w:val="16"/>
            <w:szCs w:val="16"/>
          </w:rPr>
          <w:t xml:space="preserve">https://corridorbusiness.com/?p=134105</w:t>
        </w:r>
      </w:hyperlink>
    </w:p>
    <w:p>
      <w:pPr>
        <w:spacing w:after="40"/>
      </w:pPr>
      <w:r>
        <w:rPr>
          <w:sz w:val="16"/>
        </w:rPr>
        <w:t xml:space="preserve">S26. KCRG, Despite putting ordinance in place, Linn County passes data center moratorium, July 1, 2026. </w:t>
      </w:r>
      <w:hyperlink r:id="rId38" w:history="1">
        <w:r>
          <w:rPr>
            <w:rStyle w:val="Hyperlink"/>
            <w:sz w:val="16"/>
            <w:szCs w:val="16"/>
          </w:rPr>
          <w:t xml:space="preserve">https://www.kcrg.com/2026/07/01/despite-putting-ordinance-place-linn-county-passes-data-center-moratorium/</w:t>
        </w:r>
      </w:hyperlink>
    </w:p>
    <w:p>
      <w:pPr>
        <w:spacing w:after="40"/>
      </w:pPr>
      <w:r>
        <w:rPr>
          <w:sz w:val="16"/>
        </w:rPr>
        <w:t xml:space="preserve">S27. KWWL, Data center pause sparks push to expand Linn County board, July 16, 2026. </w:t>
      </w:r>
      <w:hyperlink r:id="rId26" w:history="1">
        <w:r>
          <w:rPr>
            <w:rStyle w:val="Hyperlink"/>
            <w:sz w:val="16"/>
            <w:szCs w:val="16"/>
          </w:rPr>
          <w:t xml:space="preserve">https://www.kwwl.com/news/data-center-pause-sparks-push-to-expand-linn-county-board/article_b600ad75-5c26-47b0-a01b-ed9261fdb2ce.html</w:t>
        </w:r>
      </w:hyperlink>
    </w:p>
    <w:p>
      <w:pPr>
        <w:spacing w:after="40"/>
      </w:pPr>
      <w:r>
        <w:rPr>
          <w:sz w:val="16"/>
        </w:rPr>
        <w:t xml:space="preserve">S28. Linn County Auditor, June 2, 2026 primary election official summary. </w:t>
      </w:r>
      <w:hyperlink r:id="rId39" w:history="1">
        <w:r>
          <w:rPr>
            <w:rStyle w:val="Hyperlink"/>
            <w:sz w:val="16"/>
            <w:szCs w:val="16"/>
          </w:rPr>
          <w:t xml:space="preserve">https://gis.linncountyiowa.gov/web-data/elections/year/2026/20260602PE/sum.pdf</w:t>
        </w:r>
      </w:hyperlink>
    </w:p>
    <w:p>
      <w:pPr>
        <w:spacing w:after="40"/>
      </w:pPr>
      <w:r>
        <w:rPr>
          <w:sz w:val="16"/>
        </w:rPr>
        <w:t xml:space="preserve">S29. Linn County Auditor, November 3, 2026 general election candidate list. </w:t>
      </w:r>
      <w:hyperlink r:id="rId25" w:history="1">
        <w:r>
          <w:rPr>
            <w:rStyle w:val="Hyperlink"/>
            <w:sz w:val="16"/>
            <w:szCs w:val="16"/>
          </w:rPr>
          <w:t xml:space="preserve">https://gis.linncountyiowa.gov/web-data/elections/year/2026/20261103GE/candidates.pdf</w:t>
        </w:r>
      </w:hyperlink>
    </w:p>
    <w:p>
      <w:pPr>
        <w:spacing w:after="40"/>
      </w:pPr>
      <w:r>
        <w:rPr>
          <w:sz w:val="16"/>
        </w:rPr>
        <w:t xml:space="preserve">S30. The Ballot Brief, Linn County Board of Supervisors District 2. </w:t>
      </w:r>
      <w:hyperlink r:id="rId24" w:history="1">
        <w:r>
          <w:rPr>
            <w:rStyle w:val="Hyperlink"/>
            <w:sz w:val="16"/>
            <w:szCs w:val="16"/>
          </w:rPr>
          <w:t xml:space="preserve">https://theballotbrief.com/state/iowa/linn-county/board-of-supervisors-district-2</w:t>
        </w:r>
      </w:hyperlink>
    </w:p>
    <w:p>
      <w:pPr>
        <w:spacing w:after="40"/>
      </w:pPr>
      <w:r>
        <w:rPr>
          <w:sz w:val="16"/>
        </w:rPr>
        <w:t xml:space="preserve">S31. KCRG / Iowa Capital Dispatch, Iowa lawmakers seek to standardize county regulation of renewable energy facilities, Feb. 12, 2026. </w:t>
      </w:r>
      <w:hyperlink r:id="rId27" w:history="1">
        <w:r>
          <w:rPr>
            <w:rStyle w:val="Hyperlink"/>
            <w:sz w:val="16"/>
            <w:szCs w:val="16"/>
          </w:rPr>
          <w:t xml:space="preserve">https://www.kcrg.com/2026/02/12/iowa-lawmakers-seek-standardize-county-regulation-renewable-energy-facilities/</w:t>
        </w:r>
      </w:hyperlink>
    </w:p>
    <w:p>
      <w:pPr>
        <w:spacing w:after="40"/>
      </w:pPr>
      <w:r>
        <w:rPr>
          <w:sz w:val="16"/>
        </w:rPr>
        <w:t xml:space="preserve">S32. Iowa Capital Dispatch / Times-Republican, Researchers expect "biggest year yet" for energy siting bills in 2027, Aug. 2026. </w:t>
      </w:r>
      <w:hyperlink r:id="rId28" w:history="1">
        <w:r>
          <w:rPr>
            <w:rStyle w:val="Hyperlink"/>
            <w:sz w:val="16"/>
            <w:szCs w:val="16"/>
          </w:rPr>
          <w:t xml:space="preserve">https://www.timesrepublican.com/news/todays-news/2026/08/researchers-expect-biggest-year-yet-for-energy-siting-bills-in-2027/</w:t>
        </w:r>
      </w:hyperlink>
    </w:p>
    <w:p>
      <w:pPr>
        <w:spacing w:after="40"/>
      </w:pPr>
      <w:r>
        <w:rPr>
          <w:sz w:val="16"/>
        </w:rPr>
        <w:t xml:space="preserve">S33. KCRG, Cerro Gordo County sues state over massive solar farm development, July 25, 2026. </w:t>
      </w:r>
      <w:hyperlink r:id="rId29" w:history="1">
        <w:r>
          <w:rPr>
            <w:rStyle w:val="Hyperlink"/>
            <w:sz w:val="16"/>
            <w:szCs w:val="16"/>
          </w:rPr>
          <w:t xml:space="preserve">https://www.kcrg.com/2026/07/25/cerro-gordo-county-sues-state-over-massive-solar-farm-development/</w:t>
        </w:r>
      </w:hyperlink>
    </w:p>
    <w:p>
      <w:pPr>
        <w:spacing w:after="40"/>
      </w:pPr>
      <w:r>
        <w:rPr>
          <w:sz w:val="16"/>
        </w:rPr>
        <w:t xml:space="preserve">S34. Iowa Code chapter 476A (electric power generation and transmission). </w:t>
      </w:r>
      <w:hyperlink r:id="rId40" w:history="1">
        <w:r>
          <w:rPr>
            <w:rStyle w:val="Hyperlink"/>
            <w:sz w:val="16"/>
            <w:szCs w:val="16"/>
          </w:rPr>
          <w:t xml:space="preserve">https://www.legis.iowa.gov/docs/code/476A.pdf</w:t>
        </w:r>
      </w:hyperlink>
    </w:p>
    <w:p>
      <w:pPr>
        <w:spacing w:after="40"/>
      </w:pPr>
      <w:r>
        <w:rPr>
          <w:sz w:val="16"/>
        </w:rPr>
        <w:t xml:space="preserve">S35. Jones County Board of Supervisors, minutes, Oct. 15, 2024. </w:t>
      </w:r>
      <w:hyperlink r:id="rId41" w:history="1">
        <w:r>
          <w:rPr>
            <w:rStyle w:val="Hyperlink"/>
            <w:sz w:val="16"/>
            <w:szCs w:val="16"/>
          </w:rPr>
          <w:t xml:space="preserve">https://jonescountyiowa.gov/files/meetings/2024-10-15_minutes_12.pdf</w:t>
        </w:r>
      </w:hyperlink>
    </w:p>
    <w:p>
      <w:pPr>
        <w:spacing w:after="40"/>
      </w:pPr>
      <w:r>
        <w:rPr>
          <w:sz w:val="16"/>
        </w:rPr>
        <w:t xml:space="preserve">S36. Cedar County, Ordinance No. 65, Regulations for utility-scale solar energy systems, May 16, 2023. </w:t>
      </w:r>
      <w:hyperlink r:id="rId42" w:history="1">
        <w:r>
          <w:rPr>
            <w:rStyle w:val="Hyperlink"/>
            <w:sz w:val="16"/>
            <w:szCs w:val="16"/>
          </w:rPr>
          <w:t xml:space="preserve">https://cedarcounty.iowa.gov/files/county_ordinances/65_regulations_for_utilityscale_solar_energy_systems_usses_912.pdf</w:t>
        </w:r>
      </w:hyperlink>
    </w:p>
    <w:p>
      <w:pPr>
        <w:spacing w:after="40"/>
      </w:pPr>
      <w:r>
        <w:rPr>
          <w:sz w:val="16"/>
        </w:rPr>
        <w:t>S37. Hawthorn platform, pricephillips/renewable-opposition, commit 65df5c9 (restrictions, contested_projects, cases, county_summary, county_covariates, queue_projects, facilities, county_adjacency), and the provisional county restriction model fitted October 16, 2026 under config/county_model_registration.json.</w:t>
      </w:r>
    </w:p>
    <w:p>
      <w:pPr>
        <w:pStyle w:val="Heading2"/>
        <w:spacing w:before="240" w:after="80"/>
      </w:pPr>
      <w:r>
        <w:t>Image credits</w:t>
      </w:r>
    </w:p>
    <w:p>
      <w:pPr>
        <w:spacing w:after="40"/>
      </w:pPr>
      <w:r>
        <w:rPr>
          <w:sz w:val="16"/>
        </w:rPr>
        <w:t xml:space="preserve">Page 1 county map: David Benbennick, "Map of Iowa highlighting Linn County," Wikimedia Commons, public domain. </w:t>
      </w:r>
      <w:hyperlink r:id="rId43" w:history="1">
        <w:r>
          <w:rPr>
            <w:rStyle w:val="Hyperlink"/>
            <w:sz w:val="16"/>
            <w:szCs w:val="16"/>
          </w:rPr>
          <w:t xml:space="preserve">https://commons.wikimedia.org/wiki/File:Map_of_Iowa_highlighting_Linn_County.svg</w:t>
        </w:r>
      </w:hyperlink>
    </w:p>
    <w:sectPr w:rsidR="005946EE" w:rsidRPr="003F776A" w:rsidSect="00E11A44">
      <w:footerReference w:type="even" r:id="rId149"/>
      <w:footerReference w:type="default" r:id="rId1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BE7D9" w14:textId="77777777" w:rsidR="00366813" w:rsidRDefault="00366813" w:rsidP="00E11A44">
      <w:r>
        <w:separator/>
      </w:r>
    </w:p>
  </w:endnote>
  <w:endnote w:type="continuationSeparator" w:id="0">
    <w:p w14:paraId="7F1D3C3F" w14:textId="77777777" w:rsidR="00366813" w:rsidRDefault="00366813" w:rsidP="00E1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910205"/>
      <w:docPartObj>
        <w:docPartGallery w:val="Page Numbers (Bottom of Page)"/>
        <w:docPartUnique/>
      </w:docPartObj>
    </w:sdtPr>
    <w:sdtEndPr>
      <w:rPr>
        <w:rStyle w:val="PageNumber"/>
      </w:rPr>
    </w:sdtEndPr>
    <w:sdtContent>
      <w:p w14:paraId="45C0DE88" w14:textId="30757198"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F2772" w14:textId="77777777" w:rsidR="00C04B27" w:rsidRDefault="00C04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50151"/>
      <w:docPartObj>
        <w:docPartGallery w:val="Page Numbers (Bottom of Page)"/>
        <w:docPartUnique/>
      </w:docPartObj>
    </w:sdtPr>
    <w:sdtEndPr>
      <w:rPr>
        <w:rStyle w:val="PageNumber"/>
      </w:rPr>
    </w:sdtEndPr>
    <w:sdtContent>
      <w:p w14:paraId="058F8DB0" w14:textId="66776AEF"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D13B8" w14:textId="3FF3F7B7" w:rsidR="0081428A" w:rsidRDefault="00C04B27" w:rsidP="00C04B27">
    <w:pPr>
      <w:pStyle w:val="Footer"/>
      <w:ind w:right="360"/>
    </w:pPr>
    <w:r w:rsidRPr="000971D7">
      <w:rPr>
        <w:noProof/>
        <w:highlight w:val="yellow"/>
      </w:rPr>
      <w:drawing>
        <wp:anchor distT="0" distB="0" distL="114300" distR="114300" simplePos="0" relativeHeight="251658240" behindDoc="0" locked="0" layoutInCell="1" allowOverlap="1" wp14:anchorId="0D730020" wp14:editId="0FD87A89">
          <wp:simplePos x="0" y="0"/>
          <wp:positionH relativeFrom="margin">
            <wp:posOffset>0</wp:posOffset>
          </wp:positionH>
          <wp:positionV relativeFrom="margin">
            <wp:posOffset>8923020</wp:posOffset>
          </wp:positionV>
          <wp:extent cx="899795" cy="179705"/>
          <wp:effectExtent l="0" t="0" r="1905" b="0"/>
          <wp:wrapSquare wrapText="bothSides"/>
          <wp:docPr id="29" name="Picture 7" descr="A green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een text on a black background&#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2A3C9" w14:textId="77777777" w:rsidR="00366813" w:rsidRDefault="00366813" w:rsidP="00E11A44">
      <w:r>
        <w:separator/>
      </w:r>
    </w:p>
  </w:footnote>
  <w:footnote w:type="continuationSeparator" w:id="0">
    <w:p w14:paraId="3EE11083" w14:textId="77777777" w:rsidR="00366813" w:rsidRDefault="00366813" w:rsidP="00E11A44">
      <w:r>
        <w:continuationSeparator/>
      </w:r>
    </w:p>
  </w:footnote>
  <w:footnote w:id="1">
    <w:p>
      <w:pPr>
        <w:pStyle w:val="FootnoteText"/>
      </w:pPr>
      <w:r>
        <w:rPr>
          <w:rStyle w:val="FootnoteReference"/>
          <w:rFonts w:ascii="Georgia" w:hAnsi="Georgia"/>
          <w:sz w:val="16"/>
          <w:szCs w:val="16"/>
        </w:rPr>
        <w:footnoteRef/>
      </w:r>
      <w:r>
        <w:rPr>
          <w:rFonts w:ascii="Georgia" w:hAnsi="Georgia"/>
          <w:sz w:val="16"/>
          <w:szCs w:val="16"/>
        </w:rPr>
        <w:t xml:space="preserve"> With a likely range of 0.36 to 0.40 (10th to 90th percentile of 200 bootstrap refits), against a national base rate of 0.24.</w:t>
      </w:r>
    </w:p>
  </w:footnote>
  <w:footnote w:id="2">
    <w:p>
      <w:pPr>
        <w:pStyle w:val="FootnoteText"/>
      </w:pPr>
      <w:r>
        <w:rPr>
          <w:rStyle w:val="FootnoteReference"/>
          <w:rFonts w:ascii="Georgia" w:hAnsi="Georgia"/>
          <w:sz w:val="16"/>
          <w:szCs w:val="16"/>
        </w:rPr>
        <w:footnoteRef/>
      </w:r>
      <w:r>
        <w:rPr>
          <w:rFonts w:ascii="Georgia" w:hAnsi="Georgia"/>
          <w:sz w:val="16"/>
          <w:szCs w:val="16"/>
        </w:rPr>
        <w:t xml:space="preserve"> Model validation: cross-validated AUC (area under the ROC curve: the chance a restricted county outscores an unrestricted one) 0.78 (0.81 when whole states are held out), Brier (mean squared error of the scores) score 0.145 against a 0.181 no-skill baseline (skill 0.20), expected calibration error 0.016, across 3,144 counties; it passes the platform's pre-registered calibration gate. Median scores for restricted and unrestricted counties sit 21 points apart (0.34 and 0.14). This is a provisional fit made for this report; the platform's own county model is still being built.</w:t>
      </w:r>
    </w:p>
  </w:footnote>
  <w:footnote w:id="3">
    <w:p>
      <w:pPr>
        <w:pStyle w:val="FootnoteText"/>
      </w:pPr>
      <w:r>
        <w:rPr>
          <w:rStyle w:val="FootnoteReference"/>
          <w:rFonts w:ascii="Georgia" w:hAnsi="Georgia"/>
          <w:sz w:val="16"/>
          <w:szCs w:val="16"/>
        </w:rPr>
        <w:footnoteRef/>
      </w:r>
      <w:r>
        <w:rPr>
          <w:rFonts w:ascii="Georgia" w:hAnsi="Georgia"/>
          <w:sz w:val="16"/>
          <w:szCs w:val="16"/>
        </w:rPr>
        <w:t xml:space="preserve"> Deciles computed from all 3,144 scored counties (the 50 states and DC) as of October 16, 2026. A severe restriction is one scoring 3 or 4 on the platform's severity scale. Linn's 2022 to 2023 solar moratorium would have scored 4 while in force; it expired September 30, 2023 and is not counted.</w:t>
      </w:r>
    </w:p>
  </w:footnote>
  <w:footnote w:id="4">
    <w:p>
      <w:pPr>
        <w:pStyle w:val="FootnoteText"/>
      </w:pPr>
      <w:r>
        <w:rPr>
          <w:rStyle w:val="FootnoteReference"/>
          <w:rFonts w:ascii="Georgia" w:hAnsi="Georgia"/>
          <w:sz w:val="16"/>
          <w:szCs w:val="16"/>
        </w:rPr>
        <w:footnoteRef/>
      </w:r>
      <w:r>
        <w:rPr>
          <w:rFonts w:ascii="Georgia" w:hAnsi="Georgia"/>
          <w:sz w:val="16"/>
          <w:szCs w:val="16"/>
        </w:rPr>
        <w:t xml:space="preserve"> Percentiles are mid-rank: the share of counties below Linn plus half of ties. The margin row ranks Democratic lean. Records are as published by the platform on October 13, 2026 (two restriction instruments and two contested projects). Demographic rows show the model inputs (ACS 2020-2024).</w:t>
      </w:r>
    </w:p>
  </w:footnote>
  <w:footnote w:id="5">
    <w:p>
      <w:pPr>
        <w:pStyle w:val="FootnoteText"/>
      </w:pPr>
      <w:r>
        <w:rPr>
          <w:rStyle w:val="FootnoteReference"/>
          <w:rFonts w:ascii="Georgia" w:hAnsi="Georgia"/>
          <w:sz w:val="16"/>
          <w:szCs w:val="16"/>
        </w:rPr>
        <w:footnoteRef/>
      </w:r>
      <w:r>
        <w:rPr>
          <w:rFonts w:ascii="Georgia" w:hAnsi="Georgia"/>
          <w:sz w:val="16"/>
          <w:szCs w:val="16"/>
        </w:rPr>
        <w:t xml:space="preserve"> Lift is the median cross-validated coefficient times Linn's standardized, transformed value, summed to 0.80 log-odds above an average county. Share of movement is each trait's absolute lift as a share of the total. Averages are on the model's log scale.</w:t>
      </w:r>
    </w:p>
  </w:footnote>
  <w:footnote w:id="6">
    <w:p>
      <w:pPr>
        <w:pStyle w:val="FootnoteText"/>
      </w:pPr>
      <w:r>
        <w:rPr>
          <w:rStyle w:val="FootnoteReference"/>
          <w:rFonts w:ascii="Georgia" w:hAnsi="Georgia"/>
          <w:sz w:val="16"/>
          <w:szCs w:val="16"/>
        </w:rPr>
        <w:footnoteRef/>
      </w:r>
      <w:r>
        <w:rPr>
          <w:rFonts w:ascii="Georgia" w:hAnsi="Georgia"/>
          <w:sz w:val="16"/>
          <w:szCs w:val="16"/>
        </w:rPr>
        <w:t xml:space="preserve"> The peers are Peoria and St. Clair (IL), Pitt (NC), York (ME), Southeastern Connecticut (CT), Dauphin (PA), Shawnee (KS), St. Joseph (IN), La Crosse (WI) and Rensselaer (NY); Dauphin scores highest at 0.79.</w:t>
      </w:r>
    </w:p>
  </w:footnote>
  <w:footnote w:id="7">
    <w:p>
      <w:pPr>
        <w:pStyle w:val="FootnoteText"/>
      </w:pPr>
      <w:r>
        <w:rPr>
          <w:rStyle w:val="FootnoteReference"/>
          <w:rFonts w:ascii="Georgia" w:hAnsi="Georgia"/>
          <w:sz w:val="16"/>
          <w:szCs w:val="16"/>
        </w:rPr>
        <w:footnoteRef/>
      </w:r>
      <w:r>
        <w:rPr>
          <w:rFonts w:ascii="Georgia" w:hAnsi="Georgia"/>
          <w:sz w:val="16"/>
          <w:szCs w:val="16"/>
        </w:rPr>
        <w:t xml:space="preserve"> Scores describe county profiles, not restriction status. Cedar's severe record is its 2023 solar ordinance (1,250 feet from residences, half a mile between projects); Buchanan's is a battery-storage moratorium adopted January 2026 and extended to December 31, 2027. Jones County adopted battery-storage and data-mining moratoriums 5-0 on October 15, 2024, which are not yet in the platform. Interconnection requests are from LBNL Queued Up (data through 2025); population is the ACS 2020-2024 model input.</w:t>
      </w:r>
    </w:p>
  </w:footnote>
  <w:footnote w:id="8">
    <w:p>
      <w:pPr>
        <w:pStyle w:val="FootnoteText"/>
      </w:pPr>
      <w:r>
        <w:rPr>
          <w:rStyle w:val="FootnoteReference"/>
          <w:rFonts w:ascii="Georgia" w:hAnsi="Georgia"/>
          <w:sz w:val="16"/>
          <w:szCs w:val="16"/>
        </w:rPr>
        <w:footnoteRef/>
      </w:r>
      <w:r>
        <w:rPr>
          <w:rFonts w:ascii="Georgia" w:hAnsi="Georgia"/>
          <w:sz w:val="16"/>
          <w:szCs w:val="16"/>
        </w:rPr>
        <w:t xml:space="preserve"> Distribution across 3,222 counties and county equivalents in the platform's published data as of October 13,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27473"/>
    <w:multiLevelType w:val="hybridMultilevel"/>
    <w:tmpl w:val="87FC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F0280"/>
    <w:multiLevelType w:val="hybridMultilevel"/>
    <w:tmpl w:val="D69EF024"/>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751A"/>
    <w:multiLevelType w:val="hybridMultilevel"/>
    <w:tmpl w:val="94949552"/>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07E84"/>
    <w:multiLevelType w:val="multilevel"/>
    <w:tmpl w:val="E0E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4721"/>
    <w:multiLevelType w:val="hybridMultilevel"/>
    <w:tmpl w:val="100CDE60"/>
    <w:lvl w:ilvl="0" w:tplc="A606D5D2">
      <w:start w:val="1"/>
      <w:numFmt w:val="bullet"/>
      <w:lvlText w:val="•"/>
      <w:lvlJc w:val="left"/>
      <w:pPr>
        <w:ind w:left="360" w:hanging="240"/>
      </w:pPr>
    </w:lvl>
    <w:lvl w:ilvl="1" w:tplc="6AB65CCE">
      <w:numFmt w:val="decimal"/>
      <w:lvlText w:val=""/>
      <w:lvlJc w:val="left"/>
    </w:lvl>
    <w:lvl w:ilvl="2" w:tplc="C9E0209E">
      <w:numFmt w:val="decimal"/>
      <w:lvlText w:val=""/>
      <w:lvlJc w:val="left"/>
    </w:lvl>
    <w:lvl w:ilvl="3" w:tplc="930EF30A">
      <w:numFmt w:val="decimal"/>
      <w:lvlText w:val=""/>
      <w:lvlJc w:val="left"/>
    </w:lvl>
    <w:lvl w:ilvl="4" w:tplc="8F6EE14E">
      <w:numFmt w:val="decimal"/>
      <w:lvlText w:val=""/>
      <w:lvlJc w:val="left"/>
    </w:lvl>
    <w:lvl w:ilvl="5" w:tplc="F93E6B34">
      <w:numFmt w:val="decimal"/>
      <w:lvlText w:val=""/>
      <w:lvlJc w:val="left"/>
    </w:lvl>
    <w:lvl w:ilvl="6" w:tplc="2BA8233C">
      <w:numFmt w:val="decimal"/>
      <w:lvlText w:val=""/>
      <w:lvlJc w:val="left"/>
    </w:lvl>
    <w:lvl w:ilvl="7" w:tplc="2C60DF98">
      <w:numFmt w:val="decimal"/>
      <w:lvlText w:val=""/>
      <w:lvlJc w:val="left"/>
    </w:lvl>
    <w:lvl w:ilvl="8" w:tplc="693A50F4">
      <w:numFmt w:val="decimal"/>
      <w:lvlText w:val=""/>
      <w:lvlJc w:val="left"/>
    </w:lvl>
  </w:abstractNum>
  <w:abstractNum w:abstractNumId="5" w15:restartNumberingAfterBreak="0">
    <w:nsid w:val="490D349E"/>
    <w:multiLevelType w:val="hybridMultilevel"/>
    <w:tmpl w:val="815E53C0"/>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20698"/>
    <w:multiLevelType w:val="hybridMultilevel"/>
    <w:tmpl w:val="6060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76F54"/>
    <w:multiLevelType w:val="hybridMultilevel"/>
    <w:tmpl w:val="8796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B7DAA"/>
    <w:multiLevelType w:val="hybridMultilevel"/>
    <w:tmpl w:val="55C4A0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C996983"/>
    <w:multiLevelType w:val="hybridMultilevel"/>
    <w:tmpl w:val="3AC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830B2"/>
    <w:multiLevelType w:val="hybridMultilevel"/>
    <w:tmpl w:val="7E4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374107">
    <w:abstractNumId w:val="1"/>
  </w:num>
  <w:num w:numId="2" w16cid:durableId="1245800776">
    <w:abstractNumId w:val="5"/>
  </w:num>
  <w:num w:numId="3" w16cid:durableId="923958287">
    <w:abstractNumId w:val="2"/>
  </w:num>
  <w:num w:numId="4" w16cid:durableId="1241794666">
    <w:abstractNumId w:val="4"/>
    <w:lvlOverride w:ilvl="0">
      <w:startOverride w:val="1"/>
    </w:lvlOverride>
  </w:num>
  <w:num w:numId="5" w16cid:durableId="458647231">
    <w:abstractNumId w:val="10"/>
  </w:num>
  <w:num w:numId="6" w16cid:durableId="376003952">
    <w:abstractNumId w:val="7"/>
  </w:num>
  <w:num w:numId="7" w16cid:durableId="1015500443">
    <w:abstractNumId w:val="8"/>
  </w:num>
  <w:num w:numId="8" w16cid:durableId="1826436875">
    <w:abstractNumId w:val="9"/>
  </w:num>
  <w:num w:numId="9" w16cid:durableId="970406196">
    <w:abstractNumId w:val="6"/>
  </w:num>
  <w:num w:numId="10" w16cid:durableId="1817408200">
    <w:abstractNumId w:val="3"/>
  </w:num>
  <w:num w:numId="11" w16cid:durableId="1432436436">
    <w:abstractNumId w:val="0"/>
  </w:num>
  <w:num w:numId="12">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1"/>
    <w:rsid w:val="000012E9"/>
    <w:rsid w:val="00002F26"/>
    <w:rsid w:val="00052238"/>
    <w:rsid w:val="00085F75"/>
    <w:rsid w:val="00090CAE"/>
    <w:rsid w:val="00096BB9"/>
    <w:rsid w:val="000A7153"/>
    <w:rsid w:val="000B12E5"/>
    <w:rsid w:val="000B441C"/>
    <w:rsid w:val="000C7D8E"/>
    <w:rsid w:val="000D7BE7"/>
    <w:rsid w:val="000F4CD3"/>
    <w:rsid w:val="00113839"/>
    <w:rsid w:val="001230C8"/>
    <w:rsid w:val="00135834"/>
    <w:rsid w:val="00151761"/>
    <w:rsid w:val="001609FA"/>
    <w:rsid w:val="0016389A"/>
    <w:rsid w:val="00171E89"/>
    <w:rsid w:val="0017333B"/>
    <w:rsid w:val="0017639D"/>
    <w:rsid w:val="0019490A"/>
    <w:rsid w:val="001B7BFF"/>
    <w:rsid w:val="001B7EE7"/>
    <w:rsid w:val="001D1E49"/>
    <w:rsid w:val="001D2E23"/>
    <w:rsid w:val="001D2F2A"/>
    <w:rsid w:val="001D70C3"/>
    <w:rsid w:val="001E07E3"/>
    <w:rsid w:val="001E4437"/>
    <w:rsid w:val="001F2412"/>
    <w:rsid w:val="00222018"/>
    <w:rsid w:val="0022433B"/>
    <w:rsid w:val="00230BBC"/>
    <w:rsid w:val="00232302"/>
    <w:rsid w:val="0023752F"/>
    <w:rsid w:val="00244403"/>
    <w:rsid w:val="00254C3D"/>
    <w:rsid w:val="00256E9E"/>
    <w:rsid w:val="00281113"/>
    <w:rsid w:val="002879A6"/>
    <w:rsid w:val="00297C73"/>
    <w:rsid w:val="002B17A6"/>
    <w:rsid w:val="002B59FB"/>
    <w:rsid w:val="002D282F"/>
    <w:rsid w:val="002F273C"/>
    <w:rsid w:val="003024A6"/>
    <w:rsid w:val="00305772"/>
    <w:rsid w:val="003149DB"/>
    <w:rsid w:val="00315204"/>
    <w:rsid w:val="00325C31"/>
    <w:rsid w:val="00351312"/>
    <w:rsid w:val="003536FA"/>
    <w:rsid w:val="00353B25"/>
    <w:rsid w:val="00360C26"/>
    <w:rsid w:val="00366813"/>
    <w:rsid w:val="00372230"/>
    <w:rsid w:val="0037774E"/>
    <w:rsid w:val="0038285C"/>
    <w:rsid w:val="00386D6F"/>
    <w:rsid w:val="003A414B"/>
    <w:rsid w:val="003A4C6E"/>
    <w:rsid w:val="003A79D4"/>
    <w:rsid w:val="003C2F3A"/>
    <w:rsid w:val="003E54D8"/>
    <w:rsid w:val="003E65D3"/>
    <w:rsid w:val="003F0268"/>
    <w:rsid w:val="003F63DD"/>
    <w:rsid w:val="003F7219"/>
    <w:rsid w:val="003F776A"/>
    <w:rsid w:val="004032BA"/>
    <w:rsid w:val="00421137"/>
    <w:rsid w:val="00427D3C"/>
    <w:rsid w:val="00436EC3"/>
    <w:rsid w:val="00437D46"/>
    <w:rsid w:val="00441F82"/>
    <w:rsid w:val="00444B01"/>
    <w:rsid w:val="0045202E"/>
    <w:rsid w:val="00485909"/>
    <w:rsid w:val="004A0AB0"/>
    <w:rsid w:val="004B4DDA"/>
    <w:rsid w:val="004D00A2"/>
    <w:rsid w:val="004D71AE"/>
    <w:rsid w:val="004F7D95"/>
    <w:rsid w:val="0050213D"/>
    <w:rsid w:val="00502D03"/>
    <w:rsid w:val="0051487E"/>
    <w:rsid w:val="00524567"/>
    <w:rsid w:val="00535A3A"/>
    <w:rsid w:val="00536359"/>
    <w:rsid w:val="00562B06"/>
    <w:rsid w:val="00566E7E"/>
    <w:rsid w:val="005946EE"/>
    <w:rsid w:val="0059707B"/>
    <w:rsid w:val="005A64AA"/>
    <w:rsid w:val="005E607B"/>
    <w:rsid w:val="005F1947"/>
    <w:rsid w:val="005F254D"/>
    <w:rsid w:val="005F5CC8"/>
    <w:rsid w:val="00600BA3"/>
    <w:rsid w:val="00603721"/>
    <w:rsid w:val="00606BAB"/>
    <w:rsid w:val="006153E0"/>
    <w:rsid w:val="00631444"/>
    <w:rsid w:val="00654EB7"/>
    <w:rsid w:val="0067378A"/>
    <w:rsid w:val="00673F23"/>
    <w:rsid w:val="00681325"/>
    <w:rsid w:val="00682077"/>
    <w:rsid w:val="0068292B"/>
    <w:rsid w:val="00682E3A"/>
    <w:rsid w:val="006905B6"/>
    <w:rsid w:val="006A46A4"/>
    <w:rsid w:val="006B175D"/>
    <w:rsid w:val="006C2016"/>
    <w:rsid w:val="006C7750"/>
    <w:rsid w:val="006D0599"/>
    <w:rsid w:val="006D09F1"/>
    <w:rsid w:val="006D4F6F"/>
    <w:rsid w:val="006E5581"/>
    <w:rsid w:val="006F1DB8"/>
    <w:rsid w:val="007009B1"/>
    <w:rsid w:val="0070408E"/>
    <w:rsid w:val="007368F1"/>
    <w:rsid w:val="00741AD8"/>
    <w:rsid w:val="00762DBE"/>
    <w:rsid w:val="0076316F"/>
    <w:rsid w:val="00764B87"/>
    <w:rsid w:val="00774CBA"/>
    <w:rsid w:val="0077666F"/>
    <w:rsid w:val="00781A16"/>
    <w:rsid w:val="00782FBC"/>
    <w:rsid w:val="00782FC5"/>
    <w:rsid w:val="007907BB"/>
    <w:rsid w:val="007918FA"/>
    <w:rsid w:val="007A4695"/>
    <w:rsid w:val="007C0C31"/>
    <w:rsid w:val="007D1DB2"/>
    <w:rsid w:val="007E0B30"/>
    <w:rsid w:val="007E70F5"/>
    <w:rsid w:val="007F4D65"/>
    <w:rsid w:val="007F79B2"/>
    <w:rsid w:val="00804A65"/>
    <w:rsid w:val="0081084B"/>
    <w:rsid w:val="00810B1E"/>
    <w:rsid w:val="0081191E"/>
    <w:rsid w:val="0081428A"/>
    <w:rsid w:val="00855F85"/>
    <w:rsid w:val="00857BCA"/>
    <w:rsid w:val="0086257C"/>
    <w:rsid w:val="008B301E"/>
    <w:rsid w:val="008B51A6"/>
    <w:rsid w:val="008C06CC"/>
    <w:rsid w:val="008C1C1D"/>
    <w:rsid w:val="008C1F31"/>
    <w:rsid w:val="008D5C9C"/>
    <w:rsid w:val="008E4058"/>
    <w:rsid w:val="008F5562"/>
    <w:rsid w:val="0092327A"/>
    <w:rsid w:val="00927688"/>
    <w:rsid w:val="009322D0"/>
    <w:rsid w:val="009322E5"/>
    <w:rsid w:val="00933D58"/>
    <w:rsid w:val="00934070"/>
    <w:rsid w:val="00943251"/>
    <w:rsid w:val="00946EDE"/>
    <w:rsid w:val="0094796A"/>
    <w:rsid w:val="00973ECB"/>
    <w:rsid w:val="00977CF3"/>
    <w:rsid w:val="00995CF6"/>
    <w:rsid w:val="009B36E0"/>
    <w:rsid w:val="009B768F"/>
    <w:rsid w:val="009C0FA9"/>
    <w:rsid w:val="009D6343"/>
    <w:rsid w:val="009E40AB"/>
    <w:rsid w:val="009F060D"/>
    <w:rsid w:val="009F3E72"/>
    <w:rsid w:val="00A20284"/>
    <w:rsid w:val="00A2048C"/>
    <w:rsid w:val="00A26C4B"/>
    <w:rsid w:val="00A32B01"/>
    <w:rsid w:val="00A40E58"/>
    <w:rsid w:val="00A478B1"/>
    <w:rsid w:val="00A5124A"/>
    <w:rsid w:val="00A51947"/>
    <w:rsid w:val="00A659D2"/>
    <w:rsid w:val="00A717D9"/>
    <w:rsid w:val="00AC6429"/>
    <w:rsid w:val="00AC6DB0"/>
    <w:rsid w:val="00AC79EE"/>
    <w:rsid w:val="00AE3F1E"/>
    <w:rsid w:val="00AF7CD5"/>
    <w:rsid w:val="00B01277"/>
    <w:rsid w:val="00B16AAC"/>
    <w:rsid w:val="00B35035"/>
    <w:rsid w:val="00B35633"/>
    <w:rsid w:val="00B41355"/>
    <w:rsid w:val="00B43043"/>
    <w:rsid w:val="00B5658B"/>
    <w:rsid w:val="00B71D88"/>
    <w:rsid w:val="00B76A19"/>
    <w:rsid w:val="00B80367"/>
    <w:rsid w:val="00B828C1"/>
    <w:rsid w:val="00B84FF7"/>
    <w:rsid w:val="00B8777C"/>
    <w:rsid w:val="00B901F6"/>
    <w:rsid w:val="00B92891"/>
    <w:rsid w:val="00BA6CCD"/>
    <w:rsid w:val="00BB1D70"/>
    <w:rsid w:val="00BC457E"/>
    <w:rsid w:val="00BC4682"/>
    <w:rsid w:val="00C04B27"/>
    <w:rsid w:val="00C30E19"/>
    <w:rsid w:val="00C3419A"/>
    <w:rsid w:val="00C43374"/>
    <w:rsid w:val="00C46EB1"/>
    <w:rsid w:val="00C55A5B"/>
    <w:rsid w:val="00C6564F"/>
    <w:rsid w:val="00C70FD9"/>
    <w:rsid w:val="00C8078C"/>
    <w:rsid w:val="00C80FD4"/>
    <w:rsid w:val="00C85479"/>
    <w:rsid w:val="00C87DD1"/>
    <w:rsid w:val="00C90703"/>
    <w:rsid w:val="00C916B3"/>
    <w:rsid w:val="00C92288"/>
    <w:rsid w:val="00C92881"/>
    <w:rsid w:val="00CA3656"/>
    <w:rsid w:val="00CA7AD7"/>
    <w:rsid w:val="00CB197C"/>
    <w:rsid w:val="00CB5A71"/>
    <w:rsid w:val="00CC661E"/>
    <w:rsid w:val="00CD29AB"/>
    <w:rsid w:val="00CE07F4"/>
    <w:rsid w:val="00CF3151"/>
    <w:rsid w:val="00CF49F8"/>
    <w:rsid w:val="00CF718E"/>
    <w:rsid w:val="00D01257"/>
    <w:rsid w:val="00D053BB"/>
    <w:rsid w:val="00D06907"/>
    <w:rsid w:val="00D1663B"/>
    <w:rsid w:val="00D319FB"/>
    <w:rsid w:val="00D36DF2"/>
    <w:rsid w:val="00D604AC"/>
    <w:rsid w:val="00D72797"/>
    <w:rsid w:val="00D755BB"/>
    <w:rsid w:val="00D759AE"/>
    <w:rsid w:val="00D80AA0"/>
    <w:rsid w:val="00D93498"/>
    <w:rsid w:val="00DA2F6A"/>
    <w:rsid w:val="00DC071F"/>
    <w:rsid w:val="00DC2D18"/>
    <w:rsid w:val="00DC3405"/>
    <w:rsid w:val="00DC41BC"/>
    <w:rsid w:val="00DD559E"/>
    <w:rsid w:val="00DE7F9A"/>
    <w:rsid w:val="00DF69A2"/>
    <w:rsid w:val="00E01CF9"/>
    <w:rsid w:val="00E11A44"/>
    <w:rsid w:val="00E17935"/>
    <w:rsid w:val="00E53061"/>
    <w:rsid w:val="00E606C4"/>
    <w:rsid w:val="00E63B5E"/>
    <w:rsid w:val="00E75C0B"/>
    <w:rsid w:val="00E869A2"/>
    <w:rsid w:val="00EB0F28"/>
    <w:rsid w:val="00EB227A"/>
    <w:rsid w:val="00EC2376"/>
    <w:rsid w:val="00EC440A"/>
    <w:rsid w:val="00F0773E"/>
    <w:rsid w:val="00F13948"/>
    <w:rsid w:val="00F1419F"/>
    <w:rsid w:val="00F34435"/>
    <w:rsid w:val="00F42C89"/>
    <w:rsid w:val="00F46547"/>
    <w:rsid w:val="00F5109A"/>
    <w:rsid w:val="00F579FB"/>
    <w:rsid w:val="00F6581C"/>
    <w:rsid w:val="00F75545"/>
    <w:rsid w:val="00FA2A8A"/>
    <w:rsid w:val="00FA411E"/>
    <w:rsid w:val="00FA7C31"/>
    <w:rsid w:val="00FB1202"/>
    <w:rsid w:val="00FB393A"/>
    <w:rsid w:val="00FB5246"/>
    <w:rsid w:val="00FB5E6E"/>
    <w:rsid w:val="00FC34EA"/>
    <w:rsid w:val="00FD24B0"/>
    <w:rsid w:val="00FD39C1"/>
    <w:rsid w:val="00FD40BF"/>
    <w:rsid w:val="00FD792F"/>
    <w:rsid w:val="00FE42D6"/>
    <w:rsid w:val="2FE551D2"/>
    <w:rsid w:val="5394C88E"/>
    <w:rsid w:val="6E9AA6B9"/>
    <w:rsid w:val="7E70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F812"/>
  <w15:chartTrackingRefBased/>
  <w15:docId w15:val="{942C1725-115D-7B44-83C7-A1B5483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Georgia" w:cs="Times New Roman (Body CS)"/>
        <w:color w:val="196B24" w:themeColor="accent3"/>
        <w:kern w:val="2"/>
        <w:sz w:val="44"/>
        <w:szCs w:val="3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A"/>
    <w:rPr>
      <w:color w:val="auto"/>
      <w:sz w:val="24"/>
      <w:szCs w:val="24"/>
    </w:rPr>
  </w:style>
  <w:style w:type="paragraph" w:styleId="Heading1">
    <w:name w:val="heading 1"/>
    <w:basedOn w:val="Normal"/>
    <w:next w:val="Normal"/>
    <w:link w:val="Heading1Char"/>
    <w:uiPriority w:val="9"/>
    <w:qFormat/>
    <w:rsid w:val="003536FA"/>
    <w:pPr>
      <w:keepNext/>
      <w:keepLines/>
      <w:spacing w:before="240"/>
      <w:outlineLvl w:val="0"/>
    </w:pPr>
    <w:rPr>
      <w:rFonts w:eastAsiaTheme="majorEastAsia" w:cstheme="majorBidi"/>
      <w:color w:val="124F1A" w:themeColor="accent3" w:themeShade="BF"/>
      <w:sz w:val="36"/>
      <w:szCs w:val="36"/>
    </w:rPr>
  </w:style>
  <w:style w:type="paragraph" w:styleId="Heading2">
    <w:name w:val="heading 2"/>
    <w:basedOn w:val="Normal"/>
    <w:next w:val="Normal"/>
    <w:link w:val="Heading2Char"/>
    <w:uiPriority w:val="9"/>
    <w:unhideWhenUsed/>
    <w:qFormat/>
    <w:rsid w:val="003536FA"/>
    <w:pPr>
      <w:keepNext/>
      <w:keepLines/>
      <w:spacing w:before="40"/>
      <w:outlineLvl w:val="1"/>
    </w:pPr>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3536FA"/>
    <w:pPr>
      <w:keepNext/>
      <w:keepLines/>
      <w:spacing w:before="40"/>
      <w:outlineLvl w:val="2"/>
    </w:pPr>
    <w:rPr>
      <w:rFonts w:eastAsiaTheme="majorEastAsia" w:cstheme="majorBidi"/>
      <w:b/>
      <w:bCs/>
      <w:color w:val="BF4E14" w:themeColor="accent2" w:themeShade="BF"/>
      <w:sz w:val="26"/>
      <w:szCs w:val="26"/>
    </w:rPr>
  </w:style>
  <w:style w:type="paragraph" w:styleId="Heading4">
    <w:name w:val="heading 4"/>
    <w:basedOn w:val="Normal"/>
    <w:next w:val="Normal"/>
    <w:link w:val="Heading4Char"/>
    <w:uiPriority w:val="9"/>
    <w:unhideWhenUsed/>
    <w:qFormat/>
    <w:rsid w:val="003536FA"/>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A"/>
    <w:rPr>
      <w:rFonts w:eastAsiaTheme="majorEastAsia" w:cstheme="majorBidi"/>
      <w:color w:val="124F1A" w:themeColor="accent3" w:themeShade="BF"/>
      <w:sz w:val="36"/>
      <w:szCs w:val="36"/>
    </w:rPr>
  </w:style>
  <w:style w:type="character" w:customStyle="1" w:styleId="Heading2Char">
    <w:name w:val="Heading 2 Char"/>
    <w:basedOn w:val="DefaultParagraphFont"/>
    <w:link w:val="Heading2"/>
    <w:uiPriority w:val="9"/>
    <w:rsid w:val="003536FA"/>
    <w:rPr>
      <w:rFonts w:eastAsiaTheme="majorEastAsia" w:cstheme="majorBidi"/>
      <w:color w:val="0F4761" w:themeColor="accent1" w:themeShade="BF"/>
      <w:sz w:val="28"/>
      <w:szCs w:val="28"/>
    </w:rPr>
  </w:style>
  <w:style w:type="character" w:customStyle="1" w:styleId="Heading3Char">
    <w:name w:val="Heading 3 Char"/>
    <w:basedOn w:val="DefaultParagraphFont"/>
    <w:link w:val="Heading3"/>
    <w:uiPriority w:val="9"/>
    <w:rsid w:val="003536FA"/>
    <w:rPr>
      <w:rFonts w:eastAsiaTheme="majorEastAsia" w:cstheme="majorBidi"/>
      <w:b/>
      <w:bCs/>
      <w:color w:val="BF4E14" w:themeColor="accent2" w:themeShade="BF"/>
      <w:sz w:val="26"/>
      <w:szCs w:val="26"/>
    </w:rPr>
  </w:style>
  <w:style w:type="character" w:customStyle="1" w:styleId="Heading4Char">
    <w:name w:val="Heading 4 Char"/>
    <w:basedOn w:val="DefaultParagraphFont"/>
    <w:link w:val="Heading4"/>
    <w:uiPriority w:val="9"/>
    <w:rsid w:val="003536FA"/>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781A16"/>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81A1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81A1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81A1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81A1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781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81A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A16"/>
    <w:rPr>
      <w:i/>
      <w:iCs/>
      <w:color w:val="404040" w:themeColor="text1" w:themeTint="BF"/>
      <w:sz w:val="24"/>
      <w:szCs w:val="24"/>
    </w:rPr>
  </w:style>
  <w:style w:type="paragraph" w:styleId="ListParagraph">
    <w:name w:val="List Paragraph"/>
    <w:basedOn w:val="Normal"/>
    <w:qFormat/>
    <w:rsid w:val="00781A16"/>
    <w:pPr>
      <w:ind w:left="720"/>
      <w:contextualSpacing/>
    </w:pPr>
  </w:style>
  <w:style w:type="character" w:styleId="IntenseEmphasis">
    <w:name w:val="Intense Emphasis"/>
    <w:basedOn w:val="DefaultParagraphFont"/>
    <w:uiPriority w:val="21"/>
    <w:qFormat/>
    <w:rsid w:val="00781A16"/>
    <w:rPr>
      <w:i/>
      <w:iCs/>
      <w:color w:val="0F4761" w:themeColor="accent1" w:themeShade="BF"/>
    </w:rPr>
  </w:style>
  <w:style w:type="paragraph" w:styleId="IntenseQuote">
    <w:name w:val="Intense Quote"/>
    <w:basedOn w:val="Normal"/>
    <w:next w:val="Normal"/>
    <w:link w:val="IntenseQuoteChar"/>
    <w:uiPriority w:val="30"/>
    <w:qFormat/>
    <w:rsid w:val="00781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6"/>
    <w:rPr>
      <w:i/>
      <w:iCs/>
      <w:color w:val="0F4761" w:themeColor="accent1" w:themeShade="BF"/>
      <w:sz w:val="24"/>
      <w:szCs w:val="24"/>
    </w:rPr>
  </w:style>
  <w:style w:type="character" w:styleId="IntenseReference">
    <w:name w:val="Intense Reference"/>
    <w:basedOn w:val="DefaultParagraphFont"/>
    <w:uiPriority w:val="32"/>
    <w:qFormat/>
    <w:rsid w:val="00781A16"/>
    <w:rPr>
      <w:b/>
      <w:bCs/>
      <w:smallCaps/>
      <w:color w:val="0F4761" w:themeColor="accent1" w:themeShade="BF"/>
      <w:spacing w:val="5"/>
    </w:rPr>
  </w:style>
  <w:style w:type="character" w:styleId="Hyperlink">
    <w:name w:val="Hyperlink"/>
    <w:uiPriority w:val="99"/>
    <w:unhideWhenUsed/>
    <w:rsid w:val="00781A16"/>
    <w:rPr>
      <w:color w:val="0563C1"/>
      <w:u w:val="single"/>
    </w:rPr>
  </w:style>
  <w:style w:type="paragraph" w:styleId="NoSpacing">
    <w:name w:val="No Spacing"/>
    <w:uiPriority w:val="1"/>
    <w:qFormat/>
    <w:rsid w:val="00973ECB"/>
    <w:rPr>
      <w:color w:val="auto"/>
      <w:sz w:val="24"/>
      <w:szCs w:val="24"/>
    </w:rPr>
  </w:style>
  <w:style w:type="paragraph" w:styleId="FootnoteText">
    <w:name w:val="footnote text"/>
    <w:basedOn w:val="Normal"/>
    <w:link w:val="FootnoteTextChar"/>
    <w:uiPriority w:val="99"/>
    <w:semiHidden/>
    <w:unhideWhenUsed/>
    <w:rsid w:val="00E11A44"/>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E11A44"/>
    <w:rPr>
      <w:rFonts w:ascii="Arial" w:eastAsia="Arial" w:hAnsi="Arial" w:cs="Arial"/>
      <w:color w:val="auto"/>
      <w:kern w:val="0"/>
      <w:sz w:val="20"/>
      <w:szCs w:val="20"/>
      <w14:ligatures w14:val="none"/>
    </w:rPr>
  </w:style>
  <w:style w:type="character" w:styleId="FootnoteReference">
    <w:name w:val="footnote reference"/>
    <w:basedOn w:val="DefaultParagraphFont"/>
    <w:uiPriority w:val="99"/>
    <w:semiHidden/>
    <w:unhideWhenUsed/>
    <w:rsid w:val="00E11A44"/>
    <w:rPr>
      <w:vertAlign w:val="superscript"/>
    </w:rPr>
  </w:style>
  <w:style w:type="paragraph" w:styleId="Header">
    <w:name w:val="header"/>
    <w:basedOn w:val="Normal"/>
    <w:link w:val="HeaderChar"/>
    <w:uiPriority w:val="99"/>
    <w:unhideWhenUsed/>
    <w:rsid w:val="007009B1"/>
    <w:pPr>
      <w:tabs>
        <w:tab w:val="center" w:pos="4680"/>
        <w:tab w:val="right" w:pos="9360"/>
      </w:tabs>
    </w:pPr>
  </w:style>
  <w:style w:type="character" w:customStyle="1" w:styleId="HeaderChar">
    <w:name w:val="Header Char"/>
    <w:basedOn w:val="DefaultParagraphFont"/>
    <w:link w:val="Header"/>
    <w:uiPriority w:val="99"/>
    <w:rsid w:val="007009B1"/>
    <w:rPr>
      <w:color w:val="auto"/>
      <w:sz w:val="24"/>
      <w:szCs w:val="24"/>
    </w:rPr>
  </w:style>
  <w:style w:type="paragraph" w:styleId="Footer">
    <w:name w:val="footer"/>
    <w:basedOn w:val="Normal"/>
    <w:link w:val="FooterChar"/>
    <w:uiPriority w:val="99"/>
    <w:unhideWhenUsed/>
    <w:rsid w:val="007009B1"/>
    <w:pPr>
      <w:tabs>
        <w:tab w:val="center" w:pos="4680"/>
        <w:tab w:val="right" w:pos="9360"/>
      </w:tabs>
    </w:pPr>
  </w:style>
  <w:style w:type="character" w:customStyle="1" w:styleId="FooterChar">
    <w:name w:val="Footer Char"/>
    <w:basedOn w:val="DefaultParagraphFont"/>
    <w:link w:val="Footer"/>
    <w:uiPriority w:val="99"/>
    <w:rsid w:val="007009B1"/>
    <w:rPr>
      <w:color w:val="auto"/>
      <w:sz w:val="24"/>
      <w:szCs w:val="24"/>
    </w:rPr>
  </w:style>
  <w:style w:type="character" w:styleId="PageNumber">
    <w:name w:val="page number"/>
    <w:basedOn w:val="DefaultParagraphFont"/>
    <w:uiPriority w:val="99"/>
    <w:semiHidden/>
    <w:unhideWhenUsed/>
    <w:rsid w:val="00C04B27"/>
  </w:style>
  <w:style w:type="character" w:styleId="FollowedHyperlink">
    <w:name w:val="FollowedHyperlink"/>
    <w:basedOn w:val="DefaultParagraphFont"/>
    <w:uiPriority w:val="99"/>
    <w:semiHidden/>
    <w:unhideWhenUsed/>
    <w:rsid w:val="00DC2D18"/>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color w:val="aut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5C9C"/>
    <w:rPr>
      <w:b/>
      <w:bCs/>
    </w:rPr>
  </w:style>
  <w:style w:type="character" w:customStyle="1" w:styleId="CommentSubjectChar">
    <w:name w:val="Comment Subject Char"/>
    <w:basedOn w:val="CommentTextChar"/>
    <w:link w:val="CommentSubject"/>
    <w:uiPriority w:val="99"/>
    <w:semiHidden/>
    <w:rsid w:val="008D5C9C"/>
    <w:rPr>
      <w:b/>
      <w:bCs/>
      <w:color w:val="auto"/>
      <w:sz w:val="20"/>
      <w:szCs w:val="20"/>
    </w:rPr>
  </w:style>
  <w:style w:type="paragraph" w:styleId="Revision">
    <w:name w:val="Revision"/>
    <w:hidden/>
    <w:uiPriority w:val="99"/>
    <w:semiHidden/>
    <w:rsid w:val="008D5C9C"/>
    <w:rPr>
      <w:color w:val="auto"/>
      <w:sz w:val="24"/>
      <w:szCs w:val="24"/>
    </w:rPr>
  </w:style>
  <w:style w:type="character" w:styleId="UnresolvedMention">
    <w:name w:val="Unresolved Mention"/>
    <w:basedOn w:val="DefaultParagraphFont"/>
    <w:uiPriority w:val="99"/>
    <w:semiHidden/>
    <w:unhideWhenUsed/>
    <w:rsid w:val="000B441C"/>
    <w:rPr>
      <w:color w:val="605E5C"/>
      <w:shd w:val="clear" w:color="auto" w:fill="E1DFDD"/>
    </w:rPr>
  </w:style>
  <w:style w:type="table" w:styleId="PlainTable5">
    <w:name w:val="Plain Table 5"/>
    <w:basedOn w:val="TableNormal"/>
    <w:uiPriority w:val="45"/>
    <w:rsid w:val="006905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49" Type="http://schemas.openxmlformats.org/officeDocument/2006/relationships/footer" Target="footer1.xml"/><Relationship Id="rId5" Type="http://schemas.openxmlformats.org/officeDocument/2006/relationships/webSettings" Target="webSettings.xml"/><Relationship Id="rId15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3" Type="http://schemas.openxmlformats.org/officeDocument/2006/relationships/styles" Target="styles.xml"/><Relationship Id="rId153"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6.png"/><Relationship Id="rId9" Type="http://schemas.openxmlformats.org/officeDocument/2006/relationships/hyperlink" Target="https://www2.census.gov/programs-surveys/popest/datasets/2020-2025/counties/totals/co-est2025-alldata.csv" TargetMode="External"/><Relationship Id="rId10" Type="http://schemas.openxmlformats.org/officeDocument/2006/relationships/hyperlink" Target="https://electionlab.mit.edu/data" TargetMode="External"/><Relationship Id="rId11" Type="http://schemas.openxmlformats.org/officeDocument/2006/relationships/hyperlink" Target="https://www.eia.gov/electricity/data/eia860m/" TargetMode="External"/><Relationship Id="rId12" Type="http://schemas.openxmlformats.org/officeDocument/2006/relationships/hyperlink" Target="https://kcrg.com/2026/04/15/nuclear-regulatory-commission-hosts-community-meeting-duane-arnold-restart/" TargetMode="External"/><Relationship Id="rId13" Type="http://schemas.openxmlformats.org/officeDocument/2006/relationships/hyperlink" Target="https://www.cleanenergydistricts.org/wp-content/uploads/2024/03/Linn-County-Utility-Scale-Solar-Siting-Ordinance.pdf" TargetMode="External"/><Relationship Id="rId14" Type="http://schemas.openxmlformats.org/officeDocument/2006/relationships/hyperlink" Target="https://www.calt.iastate.edu/article/court-appeals-rules-rezoning-parcel-allow-solar-farm-valid" TargetMode="External"/><Relationship Id="rId15" Type="http://schemas.openxmlformats.org/officeDocument/2006/relationships/hyperlink" Target="https://northeasttimes.com/2026/09/08/u-s-government-backs-iowa-nuclear-restart-with-1-9-billion-loan-tied-to-google/" TargetMode="External"/><Relationship Id="rId16" Type="http://schemas.openxmlformats.org/officeDocument/2006/relationships/hyperlink" Target="https://www.kcrg.com/2022/02/07/linn-county-votes-down-rezoning-utility-scale-solar-projects-ordinance-2-1/" TargetMode="External"/><Relationship Id="rId17" Type="http://schemas.openxmlformats.org/officeDocument/2006/relationships/hyperlink" Target="https://corridorbusiness.com/linn-county-extends-renewable-energy-moratorium-for-three-months/" TargetMode="External"/><Relationship Id="rId18" Type="http://schemas.openxmlformats.org/officeDocument/2006/relationships/hyperlink" Target="https://corridorbusiness.com/revamped-solar-ordinance-scorecard-get-final-approval-from-linn-supervisors/" TargetMode="External"/><Relationship Id="rId19" Type="http://schemas.openxmlformats.org/officeDocument/2006/relationships/hyperlink" Target="https://corridorbusiness.com/?p=80390" TargetMode="External"/><Relationship Id="rId20" Type="http://schemas.openxmlformats.org/officeDocument/2006/relationships/hyperlink" Target="https://corridorbusiness.com/?p=134105" TargetMode="External"/><Relationship Id="rId21" Type="http://schemas.openxmlformats.org/officeDocument/2006/relationships/hyperlink" Target="https://corridorbusiness.com/tag/duane-arnold-solar" TargetMode="External"/><Relationship Id="rId22" Type="http://schemas.openxmlformats.org/officeDocument/2006/relationships/hyperlink" Target="https://corridorbusiness.com/lawsuit-against-duane-arnold-solar-projects-dismissed/" TargetMode="External"/><Relationship Id="rId23" Type="http://schemas.openxmlformats.org/officeDocument/2006/relationships/hyperlink" Target="https://www.change.org/p/linn-county-board-of-supervisors-stop-industrial-scale-solar-on-agricultural-and-residential-rural-land" TargetMode="External"/><Relationship Id="rId24" Type="http://schemas.openxmlformats.org/officeDocument/2006/relationships/hyperlink" Target="https://theballotbrief.com/state/iowa/linn-county/board-of-supervisors-district-2" TargetMode="External"/><Relationship Id="rId25" Type="http://schemas.openxmlformats.org/officeDocument/2006/relationships/hyperlink" Target="https://gis.linncountyiowa.gov/web-data/elections/year/2026/20261103GE/candidates.pdf" TargetMode="External"/><Relationship Id="rId26" Type="http://schemas.openxmlformats.org/officeDocument/2006/relationships/hyperlink" Target="https://www.kwwl.com/news/data-center-pause-sparks-push-to-expand-linn-county-board/article_b600ad75-5c26-47b0-a01b-ed9261fdb2ce.html" TargetMode="External"/><Relationship Id="rId27" Type="http://schemas.openxmlformats.org/officeDocument/2006/relationships/hyperlink" Target="https://www.kcrg.com/2026/02/12/iowa-lawmakers-seek-standardize-county-regulation-renewable-energy-facilities/" TargetMode="External"/><Relationship Id="rId28" Type="http://schemas.openxmlformats.org/officeDocument/2006/relationships/hyperlink" Target="https://www.timesrepublican.com/news/todays-news/2026/08/researchers-expect-biggest-year-yet-for-energy-siting-bills-in-2027/" TargetMode="External"/><Relationship Id="rId29" Type="http://schemas.openxmlformats.org/officeDocument/2006/relationships/hyperlink" Target="https://www.kcrg.com/2026/07/25/cerro-gordo-county-sues-state-over-massive-solar-farm-development/" TargetMode="External"/><Relationship Id="rId30" Type="http://schemas.openxmlformats.org/officeDocument/2006/relationships/hyperlink" Target="https://www.kcrg.com/2022/01/25/linn-county-board-supervisors-approves-coggon-solar-project-2-1/" TargetMode="External"/><Relationship Id="rId31" Type="http://schemas.openxmlformats.org/officeDocument/2006/relationships/hyperlink" Target="https://www.thegazette.com/local-government/linn-county-supervisors-vote-2-1-to-approve-coggon-solar-project/" TargetMode="External"/><Relationship Id="rId32" Type="http://schemas.openxmlformats.org/officeDocument/2006/relationships/hyperlink" Target="https://corridorbusiness.com/nextera-files-applications-with-linn-county-for-duane-arnold-solar-projects/" TargetMode="External"/><Relationship Id="rId33" Type="http://schemas.openxmlformats.org/officeDocument/2006/relationships/hyperlink" Target="https://corridorbusiness.com/duane-arnold-solar-rezoning-proposals-approved/" TargetMode="External"/><Relationship Id="rId34" Type="http://schemas.openxmlformats.org/officeDocument/2006/relationships/hyperlink" Target="https://www.kcrg.com/2022/09/07/linn-county-board-supervisors-approves-rezoning-solar-panel-projects/" TargetMode="External"/><Relationship Id="rId35" Type="http://schemas.openxmlformats.org/officeDocument/2006/relationships/hyperlink" Target="https://corridorbusiness.com/?p=80201" TargetMode="External"/><Relationship Id="rId36" Type="http://schemas.openxmlformats.org/officeDocument/2006/relationships/hyperlink" Target="https://www.kcrg.com/2021/06/03/people-learn-more-about-rezoning-process-for-3500-acre-solar-farm-proposal-in-linn-county" TargetMode="External"/><Relationship Id="rId37" Type="http://schemas.openxmlformats.org/officeDocument/2006/relationships/hyperlink" Target="https://corridorbusiness.com/?p=130313" TargetMode="External"/><Relationship Id="rId38" Type="http://schemas.openxmlformats.org/officeDocument/2006/relationships/hyperlink" Target="https://www.kcrg.com/2026/07/01/despite-putting-ordinance-place-linn-county-passes-data-center-moratorium/" TargetMode="External"/><Relationship Id="rId39" Type="http://schemas.openxmlformats.org/officeDocument/2006/relationships/hyperlink" Target="https://gis.linncountyiowa.gov/web-data/elections/year/2026/20260602PE/sum.pdf" TargetMode="External"/><Relationship Id="rId40" Type="http://schemas.openxmlformats.org/officeDocument/2006/relationships/hyperlink" Target="https://www.legis.iowa.gov/docs/code/476A.pdf" TargetMode="External"/><Relationship Id="rId41" Type="http://schemas.openxmlformats.org/officeDocument/2006/relationships/hyperlink" Target="https://jonescountyiowa.gov/files/meetings/2024-10-15_minutes_12.pdf" TargetMode="External"/><Relationship Id="rId42" Type="http://schemas.openxmlformats.org/officeDocument/2006/relationships/hyperlink" Target="https://cedarcounty.iowa.gov/files/county_ordinances/65_regulations_for_utilityscale_solar_energy_systems_usses_912.pdf" TargetMode="External"/><Relationship Id="rId43" Type="http://schemas.openxmlformats.org/officeDocument/2006/relationships/hyperlink" Target="https://commons.wikimedia.org/wiki/File:Map_of_Iowa_highlighting_Linn_County.sv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icephillips_1/Library/Group%20Containers/UBF8T346G9.Office/User%20Content.localized/Templates.localized/Jeffers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3F24F-BA9A-A14D-AF97-B48AA56D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Jefferson Template.dotx</Template>
  <TotalTime>1</TotalTime>
  <Pages>14</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Linn County, Iowa</dc:title>
  <dc:subject/>
  <dc:creator>Hawthorn Intelligence</dc:creator>
  <cp:keywords/>
  <dc:description/>
  <cp:lastModifiedBy>Price Phillips</cp:lastModifiedBy>
  <cp:revision>2</cp:revision>
  <dcterms:created xsi:type="dcterms:W3CDTF">2026-10-06T23:40:00Z</dcterms:created>
  <dcterms:modified xsi:type="dcterms:W3CDTF">2026-10-06T23:40:00Z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833ca4179ddc4440e32b1503b7343a276b82409d5fae394ed954e11378a838e9</vt:lpwstr>
  </property>
</Properties>
</file>