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Winnipeg Bus Trip Reliability Implementation Plan</w:t>
      </w:r>
    </w:p>
    <w:p>
      <w:pPr>
        <w:pStyle w:val="Subtitle"/>
      </w:pPr>
      <w:r>
        <w:t>Pass up risk and early and late departure estimates</w:t>
      </w:r>
    </w:p>
    <w:p>
      <w:r>
        <w:t>Updated September 25 2026</w:t>
      </w:r>
    </w:p>
    <w:p>
      <w:r>
        <w:t>Add historical reliability information to each boarding in the trip planner: the chance of a reported full-bus pass-up, the chance of an early or late departure, and the typical departure offset from schedule. Show the evidence and uncertainty so users can choose trips and decide when to reach their stop.</w:t>
      </w:r>
    </w:p>
    <w:p>
      <w:r>
        <w:t>Build departure timing first because measured departure outcomes already exist. Develop pass-up estimates in parallel, but publish percentages only where stop matching and service coverage are validated. Keep both measures separate from an overall trip-success probability.</w:t>
      </w:r>
    </w:p>
    <w:p>
      <w:pPr>
        <w:pStyle w:val="Heading2"/>
      </w:pPr>
      <w:r>
        <w:t>Evidence already available</w:t>
      </w:r>
    </w:p>
    <w:tbl>
      <w:tblPr>
        <w:tblW w:type="auto" w:w="0"/>
        <w:tblLayout w:type="fixed"/>
        <w:tblLook w:firstColumn="1" w:firstRow="1" w:lastColumn="0" w:lastRow="0" w:noHBand="0" w:noVBand="1" w:val="04A0"/>
      </w:tblPr>
      <w:tblGrid>
        <w:gridCol w:w="1872"/>
        <w:gridCol w:w="3672"/>
        <w:gridCol w:w="4248"/>
      </w:tblGrid>
      <w:tr>
        <w:trPr>
          <w:cantSplit/>
          <w:tblHeader/>
        </w:trPr>
        <w:tc>
          <w:tcPr>
            <w:tcW w:type="dxa" w:w="1872"/>
            <w:shd w:fill="E5EBF0"/>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pPr>
            <w:r>
              <w:rPr>
                <w:b/>
                <w:sz w:val="20"/>
              </w:rPr>
              <w:t>Source</w:t>
            </w:r>
          </w:p>
        </w:tc>
        <w:tc>
          <w:tcPr>
            <w:tcW w:type="dxa" w:w="3672"/>
            <w:shd w:fill="E5EBF0"/>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pPr>
            <w:r>
              <w:rPr>
                <w:b/>
                <w:sz w:val="20"/>
              </w:rPr>
              <w:t>Verified scope</w:t>
            </w:r>
          </w:p>
        </w:tc>
        <w:tc>
          <w:tcPr>
            <w:tcW w:type="dxa" w:w="4248"/>
            <w:shd w:fill="E5EBF0"/>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pPr>
            <w:r>
              <w:rPr>
                <w:b/>
                <w:sz w:val="20"/>
              </w:rPr>
              <w:t>Implication</w:t>
            </w:r>
          </w:p>
        </w:tc>
      </w:tr>
      <w:tr>
        <w:trPr>
          <w:cantSplit/>
        </w:trPr>
        <w:tc>
          <w:tcPr>
            <w:tcW w:type="dxa" w:w="1872"/>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pPr>
            <w:r>
              <w:rPr>
                <w:b w:val="0"/>
                <w:sz w:val="20"/>
              </w:rPr>
              <w:t>Pass-up CSV</w:t>
            </w:r>
          </w:p>
        </w:tc>
        <w:tc>
          <w:tcPr>
            <w:tcW w:type="dxa" w:w="3672"/>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pPr>
            <w:r>
              <w:rPr>
                <w:b w:val="0"/>
                <w:sz w:val="20"/>
              </w:rPr>
              <w:t>199,249 reports from Dec 2009 to Sep 24 2026</w:t>
            </w:r>
          </w:p>
        </w:tc>
        <w:tc>
          <w:tcPr>
            <w:tcW w:type="dxa" w:w="4248"/>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pPr>
            <w:r>
              <w:rPr>
                <w:b w:val="0"/>
                <w:sz w:val="20"/>
              </w:rPr>
              <w:t>188,258 full-bus and 10,991 wheelchair-user reports</w:t>
            </w:r>
          </w:p>
        </w:tc>
      </w:tr>
      <w:tr>
        <w:trPr>
          <w:cantSplit/>
        </w:trPr>
        <w:tc>
          <w:tcPr>
            <w:tcW w:type="dxa" w:w="1872"/>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pPr>
            <w:r>
              <w:rPr>
                <w:b w:val="0"/>
                <w:sz w:val="20"/>
              </w:rPr>
              <w:t>Pass-up locations</w:t>
            </w:r>
          </w:p>
        </w:tc>
        <w:tc>
          <w:tcPr>
            <w:tcW w:type="dxa" w:w="3672"/>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pPr>
            <w:r>
              <w:rPr>
                <w:b w:val="0"/>
                <w:sz w:val="20"/>
              </w:rPr>
              <w:t>Coordinates but no stop or trip IDs</w:t>
            </w:r>
          </w:p>
        </w:tc>
        <w:tc>
          <w:tcPr>
            <w:tcW w:type="dxa" w:w="4248"/>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pPr>
            <w:r>
              <w:rPr>
                <w:b w:val="0"/>
                <w:sz w:val="20"/>
              </w:rPr>
              <w:t>5,418 missing routes and 169 invalid or missing coordinates</w:t>
            </w:r>
          </w:p>
        </w:tc>
      </w:tr>
      <w:tr>
        <w:trPr>
          <w:cantSplit/>
        </w:trPr>
        <w:tc>
          <w:tcPr>
            <w:tcW w:type="dxa" w:w="1872"/>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pPr>
            <w:r>
              <w:rPr>
                <w:b w:val="0"/>
                <w:sz w:val="20"/>
              </w:rPr>
              <w:t>Latest on-time CSV</w:t>
            </w:r>
          </w:p>
        </w:tc>
        <w:tc>
          <w:tcPr>
            <w:tcW w:type="dxa" w:w="3672"/>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pPr>
            <w:r>
              <w:rPr>
                <w:b w:val="0"/>
                <w:sz w:val="20"/>
              </w:rPr>
              <w:t>5,023,382 rows across 45 recorded dates from Aug 8 to Sep 24 2026</w:t>
            </w:r>
          </w:p>
        </w:tc>
        <w:tc>
          <w:tcPr>
            <w:tcW w:type="dxa" w:w="4248"/>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pPr>
            <w:r>
              <w:rPr>
                <w:b w:val="0"/>
                <w:sz w:val="20"/>
              </w:rPr>
              <w:t>Measured departures support recent timing estimates; no winter coverage in this snapshot</w:t>
            </w:r>
          </w:p>
        </w:tc>
      </w:tr>
      <w:tr>
        <w:trPr>
          <w:cantSplit/>
        </w:trPr>
        <w:tc>
          <w:tcPr>
            <w:tcW w:type="dxa" w:w="1872"/>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pPr>
            <w:r>
              <w:rPr>
                <w:b w:val="0"/>
                <w:sz w:val="20"/>
              </w:rPr>
              <w:t>Existing models</w:t>
            </w:r>
          </w:p>
        </w:tc>
        <w:tc>
          <w:tcPr>
            <w:tcW w:type="dxa" w:w="3672"/>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pPr>
            <w:r>
              <w:rPr>
                <w:b w:val="0"/>
                <w:sz w:val="20"/>
              </w:rPr>
              <w:t>BLUE grouped-median and CatBoost departure models</w:t>
            </w:r>
          </w:p>
        </w:tc>
        <w:tc>
          <w:tcPr>
            <w:tcW w:type="dxa" w:w="4248"/>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pPr>
            <w:r>
              <w:rPr>
                <w:b w:val="0"/>
                <w:sz w:val="20"/>
              </w:rPr>
              <w:t>Reuse the pipeline and baseline; probabilities and uncertainty need new evaluation</w:t>
            </w:r>
          </w:p>
        </w:tc>
      </w:tr>
    </w:tbl>
    <w:p/>
    <w:p>
      <w:pPr>
        <w:pStyle w:val="Heading2"/>
      </w:pPr>
      <w:r>
        <w:t>Scope of the first release</w:t>
      </w:r>
    </w:p>
    <w:p>
      <w:r>
        <w:t>Serve reliability information to guests and signed-in users. Saved trips reuse current estimates when searched again. Start with BLUE and several routes with adequate data, then expand by measured coverage. Leave search and trip planning usable when reliability data is unavailable.</w:t>
      </w:r>
    </w:p>
    <w:p>
      <w:r>
        <w:br w:type="page"/>
      </w:r>
    </w:p>
    <w:p>
      <w:pPr>
        <w:pStyle w:val="Heading1"/>
      </w:pPr>
      <w:r>
        <w:t>Departure timing estimates</w:t>
      </w:r>
    </w:p>
    <w:p>
      <w:pPr>
        <w:pStyle w:val="Heading2"/>
      </w:pPr>
      <w:r>
        <w:t>Define the outcome and probability thresholds</w:t>
      </w:r>
    </w:p>
    <w:p>
      <w:r>
        <w:t>Use departure delay in seconds, D = measured departure minus scheduled departure. The source deviation has the opposite sign, so D = -source deviation. Positive means late; negative means early. Existing historical outcomes must not be relabeled as measured arrivals.</w:t>
      </w:r>
    </w:p>
    <w:p>
      <w:r>
        <w:t>Proposed product thresholds are shown below. These are configurable application definitions, not a claimed Winnipeg Transit standard. Preserve the raw distribution so thresholds can change without rebuilding the source data.</w:t>
      </w:r>
    </w:p>
    <w:tbl>
      <w:tblPr>
        <w:tblW w:type="auto" w:w="0"/>
        <w:tblLayout w:type="fixed"/>
        <w:tblLook w:firstColumn="1" w:firstRow="1" w:lastColumn="0" w:lastRow="0" w:noHBand="0" w:noVBand="1" w:val="04A0"/>
      </w:tblPr>
      <w:tblGrid>
        <w:gridCol w:w="2232"/>
        <w:gridCol w:w="3744"/>
        <w:gridCol w:w="3816"/>
      </w:tblGrid>
      <w:tr>
        <w:trPr>
          <w:cantSplit/>
          <w:tblHeader/>
        </w:trPr>
        <w:tc>
          <w:tcPr>
            <w:tcW w:type="dxa" w:w="2232"/>
            <w:shd w:fill="E5EBF0"/>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pPr>
            <w:r>
              <w:rPr>
                <w:b/>
                <w:sz w:val="20"/>
              </w:rPr>
              <w:t>Metric</w:t>
            </w:r>
          </w:p>
        </w:tc>
        <w:tc>
          <w:tcPr>
            <w:tcW w:type="dxa" w:w="3744"/>
            <w:shd w:fill="E5EBF0"/>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pPr>
            <w:r>
              <w:rPr>
                <w:b/>
                <w:sz w:val="20"/>
              </w:rPr>
              <w:t>Definition</w:t>
            </w:r>
          </w:p>
        </w:tc>
        <w:tc>
          <w:tcPr>
            <w:tcW w:type="dxa" w:w="3816"/>
            <w:shd w:fill="E5EBF0"/>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pPr>
            <w:r>
              <w:rPr>
                <w:b/>
                <w:sz w:val="20"/>
              </w:rPr>
              <w:t>Display purpose</w:t>
            </w:r>
          </w:p>
        </w:tc>
      </w:tr>
      <w:tr>
        <w:trPr>
          <w:cantSplit/>
        </w:trPr>
        <w:tc>
          <w:tcPr>
            <w:tcW w:type="dxa" w:w="2232"/>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pPr>
            <w:r>
              <w:rPr>
                <w:b w:val="0"/>
                <w:sz w:val="20"/>
              </w:rPr>
              <w:t>Early departure</w:t>
            </w:r>
          </w:p>
        </w:tc>
        <w:tc>
          <w:tcPr>
            <w:tcW w:type="dxa" w:w="3744"/>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pPr>
            <w:r>
              <w:rPr>
                <w:b w:val="0"/>
                <w:sz w:val="20"/>
              </w:rPr>
              <w:t>P(D &lt; -60 seconds)</w:t>
            </w:r>
          </w:p>
        </w:tc>
        <w:tc>
          <w:tcPr>
            <w:tcW w:type="dxa" w:w="3816"/>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pPr>
            <w:r>
              <w:rPr>
                <w:b w:val="0"/>
                <w:sz w:val="20"/>
              </w:rPr>
              <w:t>Chance of leaving more than one minute early</w:t>
            </w:r>
          </w:p>
        </w:tc>
      </w:tr>
      <w:tr>
        <w:trPr>
          <w:cantSplit/>
        </w:trPr>
        <w:tc>
          <w:tcPr>
            <w:tcW w:type="dxa" w:w="2232"/>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pPr>
            <w:r>
              <w:rPr>
                <w:b w:val="0"/>
                <w:sz w:val="20"/>
              </w:rPr>
              <w:t>Within window</w:t>
            </w:r>
          </w:p>
        </w:tc>
        <w:tc>
          <w:tcPr>
            <w:tcW w:type="dxa" w:w="3744"/>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pPr>
            <w:r>
              <w:rPr>
                <w:b w:val="0"/>
                <w:sz w:val="20"/>
              </w:rPr>
              <w:t>P(-60 &lt;= D &lt;= 300 seconds)</w:t>
            </w:r>
          </w:p>
        </w:tc>
        <w:tc>
          <w:tcPr>
            <w:tcW w:type="dxa" w:w="3816"/>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pPr>
            <w:r>
              <w:rPr>
                <w:b w:val="0"/>
                <w:sz w:val="20"/>
              </w:rPr>
              <w:t>Chance of departure within the defined schedule window</w:t>
            </w:r>
          </w:p>
        </w:tc>
      </w:tr>
      <w:tr>
        <w:trPr>
          <w:cantSplit/>
        </w:trPr>
        <w:tc>
          <w:tcPr>
            <w:tcW w:type="dxa" w:w="2232"/>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pPr>
            <w:r>
              <w:rPr>
                <w:b w:val="0"/>
                <w:sz w:val="20"/>
              </w:rPr>
              <w:t>Late departure</w:t>
            </w:r>
          </w:p>
        </w:tc>
        <w:tc>
          <w:tcPr>
            <w:tcW w:type="dxa" w:w="3744"/>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pPr>
            <w:r>
              <w:rPr>
                <w:b w:val="0"/>
                <w:sz w:val="20"/>
              </w:rPr>
              <w:t>P(D &gt; 300 seconds)</w:t>
            </w:r>
          </w:p>
        </w:tc>
        <w:tc>
          <w:tcPr>
            <w:tcW w:type="dxa" w:w="3816"/>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pPr>
            <w:r>
              <w:rPr>
                <w:b w:val="0"/>
                <w:sz w:val="20"/>
              </w:rPr>
              <w:t>Chance of leaving more than five minutes late</w:t>
            </w:r>
          </w:p>
        </w:tc>
      </w:tr>
      <w:tr>
        <w:trPr>
          <w:cantSplit/>
        </w:trPr>
        <w:tc>
          <w:tcPr>
            <w:tcW w:type="dxa" w:w="2232"/>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pPr>
            <w:r>
              <w:rPr>
                <w:b w:val="0"/>
                <w:sz w:val="20"/>
              </w:rPr>
              <w:t>Before schedule</w:t>
            </w:r>
          </w:p>
        </w:tc>
        <w:tc>
          <w:tcPr>
            <w:tcW w:type="dxa" w:w="3744"/>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pPr>
            <w:r>
              <w:rPr>
                <w:b w:val="0"/>
                <w:sz w:val="20"/>
              </w:rPr>
              <w:t>P(D &lt; 0)</w:t>
            </w:r>
          </w:p>
        </w:tc>
        <w:tc>
          <w:tcPr>
            <w:tcW w:type="dxa" w:w="3816"/>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pPr>
            <w:r>
              <w:rPr>
                <w:b w:val="0"/>
                <w:sz w:val="20"/>
              </w:rPr>
              <w:t>Additional warning for riders arriving exactly at scheduled time</w:t>
            </w:r>
          </w:p>
        </w:tc>
      </w:tr>
      <w:tr>
        <w:trPr>
          <w:cantSplit/>
        </w:trPr>
        <w:tc>
          <w:tcPr>
            <w:tcW w:type="dxa" w:w="2232"/>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pPr>
            <w:r>
              <w:rPr>
                <w:b w:val="0"/>
                <w:sz w:val="20"/>
              </w:rPr>
              <w:t>Typical offset and range</w:t>
            </w:r>
          </w:p>
        </w:tc>
        <w:tc>
          <w:tcPr>
            <w:tcW w:type="dxa" w:w="3744"/>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pPr>
            <w:r>
              <w:rPr>
                <w:b w:val="0"/>
                <w:sz w:val="20"/>
              </w:rPr>
              <w:t>Median D; 10th to 90th percentiles</w:t>
            </w:r>
          </w:p>
        </w:tc>
        <w:tc>
          <w:tcPr>
            <w:tcW w:type="dxa" w:w="3816"/>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40"/>
            </w:pPr>
            <w:r>
              <w:rPr>
                <w:b w:val="0"/>
                <w:sz w:val="20"/>
              </w:rPr>
              <w:t>Typical early or late offset and the middle 80 percent of outcomes</w:t>
            </w:r>
          </w:p>
        </w:tc>
      </w:tr>
    </w:tbl>
    <w:p/>
    <w:p>
      <w:pPr>
        <w:pStyle w:val="Heading2"/>
      </w:pPr>
      <w:r>
        <w:t>Match the boarding context</w:t>
      </w:r>
    </w:p>
    <w:p>
      <w:r>
        <w:t>Group observations by route, direction or destination, stop, local boarding time, service day type, season, and compatible route version. Start with a plus-or-minus 30-minute time window. Keep Saturday, Sunday and holiday distinctions internally even when the interface uses weekday and weekend labels. Resolve midnight and daylight-saving transitions explicitly.</w:t>
      </w:r>
    </w:p>
    <w:p>
      <w:pPr>
        <w:pStyle w:val="Heading2"/>
      </w:pPr>
      <w:r>
        <w:t>Estimate the distribution</w:t>
      </w:r>
    </w:p>
    <w:p>
      <w:r>
        <w:t>Start with empirical probabilities and quantiles, with shrinkage toward broader compatible groups when samples are small. Report raw counts, distinct service dates, the fallback used and uncertainty. Do not let repeated observations from one day imply independent evidence; estimate uncertainty by resampling service dates or other justified clusters.</w:t>
      </w:r>
    </w:p>
    <w:p>
      <w:r>
        <w:t>Compare the existing grouped-median and CatBoost models for the point estimate. A median or MAE alone does not supply probabilities: separately fit and validate the outcome distribution, calibrated classifiers, or quantile models before publishing their outputs. Winter timing remains unavailable until compatible winter departure data is obtained.</w:t>
      </w:r>
    </w:p>
    <w:p>
      <w:r>
        <w:br w:type="page"/>
      </w:r>
    </w:p>
    <w:p>
      <w:pPr>
        <w:pStyle w:val="Heading1"/>
      </w:pPr>
      <w:r>
        <w:t>Pass up estimates and historical matching</w:t>
      </w:r>
    </w:p>
    <w:p>
      <w:pPr>
        <w:pStyle w:val="Heading2"/>
      </w:pPr>
      <w:r>
        <w:t>Prepare reports without losing meaning</w:t>
      </w:r>
    </w:p>
    <w:p>
      <w:r>
        <w:t>Extend src/export_passups.py into a versioned analysis pipeline while preserving the raw CSV, source IDs and quality flags. Use full-bus reports for the initial capacity estimate. Keep wheelchair-user pass-ups as a separate outcome; a rate for wheelchair users requires an appropriate opportunity denominator.</w:t>
      </w:r>
    </w:p>
    <w:p>
      <w:pPr>
        <w:pStyle w:val="Heading2"/>
      </w:pPr>
      <w:r>
        <w:t>Assign stops conservatively</w:t>
      </w:r>
    </w:p>
    <w:p>
      <w:r>
        <w:t>Join report coordinates to candidate boarding stops using historical stop locations, route service, direction or destination, and event time. Retain match distance and confidence. Opposite-direction stops and nearby intersections must not be resolved by nearest distance alone. Review a sample manually and leave ambiguous reports unmatched.</w:t>
      </w:r>
    </w:p>
    <w:p>
      <w:r>
        <w:t>The network changed on June 29 2025. Begin with compatible records after that change and track later service revisions. Do not pool older route numbers with current routes without a validated historical mapping. Destination text alone is not a reliable route-variant identifier.</w:t>
      </w:r>
    </w:p>
    <w:p>
      <w:pPr>
        <w:pStyle w:val="Heading2"/>
      </w:pPr>
      <w:r>
        <w:t>Validate the denominator before showing a percentage</w:t>
      </w:r>
    </w:p>
    <w:p>
      <w:r>
        <w:t>Determine whether measured departure records cover comparable service events consistently, including buses reported as passing riders. Match events within a justified time tolerance and inspect duplicate, missing and conflicting matches. A missing report does not prove successful boarding; an absent departure row does not prove cancellation.</w:t>
      </w:r>
    </w:p>
    <w:p>
      <w:r>
        <w:t>Do not divide all historical reports by the short recent departure file. Numerator and denominator must describe the same stops, routes, time windows and observation dates. Archived GTFS can describe scheduled opportunities, but scheduled service is not the same as observed service and must be labeled accordingly.</w:t>
      </w:r>
    </w:p>
    <w:p>
      <w:pPr>
        <w:pStyle w:val="Heading2"/>
      </w:pPr>
      <w:r>
        <w:t>Publish only the supported quantity</w:t>
      </w:r>
    </w:p>
    <w:p>
      <w:r>
        <w:t>When coverage passes validation, estimate a smoothed reported full-bus pass-up rate per comparable service event, with an uncertainty interval. Explain that reporting completeness limits its interpretation as a personal boarding probability. Otherwise show the count of matched historical reports and covered dates, or “Insufficient data.” No reports must not be displayed as a guaranteed zero risk.</w:t>
      </w:r>
    </w:p>
    <w:p>
      <w:r>
        <w:t>Use the same contextual groups as departure timing. Proposed seasons are winter November through March, summer June through August, and transition April through May and September through October. Validate these boundaries; do not silently substitute summer estimates for winter requests. The current pass-up history spans seasons, but the recent departure denominator does not.</w:t>
      </w:r>
    </w:p>
    <w:p>
      <w:r>
        <w:br w:type="page"/>
      </w:r>
    </w:p>
    <w:p>
      <w:pPr>
        <w:pStyle w:val="Heading1"/>
      </w:pPr>
      <w:r>
        <w:t>Backend integration and app presentation</w:t>
      </w:r>
    </w:p>
    <w:p>
      <w:pPr>
        <w:pStyle w:val="Heading2"/>
      </w:pPr>
      <w:r>
        <w:t>Responsibilities across the three projects</w:t>
      </w:r>
    </w:p>
    <w:p>
      <w:r>
        <w:t>The analysis repository owns ingestion, quality audits, matching, chronological evaluation and export of compact versioned reliability artifacts. The transit backend loads these artifacts and enriches each ride returned by /api/plans. The mobile app renders the results; it does not train models or download raw CSV files.</w:t>
      </w:r>
    </w:p>
    <w:p>
      <w:r>
        <w:t>For each ride, pass route identity, direction or destination, boarding stop and scheduled boarding timestamp. If a live estimate exists, retain it separately with its observation time. Historical departure distributions remain schedule-relative; do not add a historical delay to a live prediction unless a combined model has been validated.</w:t>
      </w:r>
    </w:p>
    <w:p>
      <w:pPr>
        <w:pStyle w:val="Heading2"/>
      </w:pPr>
      <w:r>
        <w:t>Response contract</w:t>
      </w:r>
    </w:p>
    <w:p>
      <w:pPr>
        <w:pStyle w:val="ListBullet"/>
      </w:pPr>
      <w:r>
        <w:t>departureTiming: status, typicalOffsetSeconds, p10Seconds, p90Seconds, earlyProbability, withinWindowProbability, lateProbability, beforeScheduleProbability, and threshold definitions.</w:t>
      </w:r>
    </w:p>
    <w:p>
      <w:pPr>
        <w:pStyle w:val="ListBullet"/>
      </w:pPr>
      <w:r>
        <w:t>passUp: status, reportedRate or null, interval or null, matchedReportCount, serviceOpportunityCount or null, and denominator definition.</w:t>
      </w:r>
    </w:p>
    <w:p>
      <w:pPr>
        <w:pStyle w:val="ListBullet"/>
      </w:pPr>
      <w:r>
        <w:t>Evidence for each measure: observation count, distinct dates, coverage start and end, season, matching scope, fallback reason, route version, model version and generated timestamp.</w:t>
      </w:r>
    </w:p>
    <w:p>
      <w:r>
        <w:t>Use explicit statuses such as available, insufficient_data and unavailable. Missing values stay null rather than becoming zero. Cache by model version and matching conditions; expire or replace artifacts deliberately. Enrichment failures must return the normal trip plan with unavailable reliability fields.</w:t>
      </w:r>
    </w:p>
    <w:p>
      <w:pPr>
        <w:pStyle w:val="Heading2"/>
      </w:pPr>
      <w:r>
        <w:t>What users see</w:t>
      </w:r>
    </w:p>
    <w:p>
      <w:r>
        <w:t>Each boarding shows a typical departure offset and expandable timing probabilities, followed by a separate pass-up estimate or historical report count. Show the date range and data strength in the details. Example wording only: “Typically 2 min late; middle 80% from 1 min early to 7 min late.” These example numbers are not measured results.</w:t>
      </w:r>
    </w:p>
    <w:p>
      <w:r>
        <w:t>Explain early departure explicitly: “This bus sometimes leaves before schedule. Be at the stop before its scheduled departure.” A suggested buffer may later use a validated lower quantile plus a walking margin; label it as guidance, not a guarantee.</w:t>
      </w:r>
    </w:p>
    <w:p>
      <w:r>
        <w:t>For a trip summary, identify the highest estimated pass-up risk among supported boardings and disclose any uncovered segments. Do not add segment delays or multiply probabilities to claim trip success. Arrival delay and missed-transfer probability require measured arrivals and a validated joint model; departure-only data cannot establish them.</w:t>
      </w:r>
    </w:p>
    <w:p>
      <w:r>
        <w:br w:type="page"/>
      </w:r>
    </w:p>
    <w:p>
      <w:pPr>
        <w:pStyle w:val="Heading1"/>
      </w:pPr>
      <w:r>
        <w:t>Delivery sequence and validation</w:t>
      </w:r>
    </w:p>
    <w:p>
      <w:pPr>
        <w:pStyle w:val="Heading2"/>
      </w:pPr>
      <w:r>
        <w:t>Phase one audit and matching</w:t>
      </w:r>
    </w:p>
    <w:p>
      <w:r>
        <w:t>Profile the latest CSVs across routes and dates, preserving original experiment files. Audit missing dates, duplicate events, extreme deviations, stop matching and service-version compatibility. Produce a coverage matrix by route, stop, time and season. Deliver a written decision on which cohorts support timing estimates and pass-up rates.</w:t>
      </w:r>
    </w:p>
    <w:p>
      <w:pPr>
        <w:pStyle w:val="Heading2"/>
      </w:pPr>
      <w:r>
        <w:t>Phase two departure timing pilot</w:t>
      </w:r>
    </w:p>
    <w:p>
      <w:r>
        <w:t>Build grouped historical probabilities and quantiles for eligible BLUE and pilot-route cohorts. Compare point estimates with existing baselines. Evaluate on strictly later dates; split by service dates and avoid leaking repeated stops from the same trip across evaluation groups. Existing inspected holdouts are development evidence, not untouched test sets.</w:t>
      </w:r>
    </w:p>
    <w:p>
      <w:pPr>
        <w:pStyle w:val="Heading2"/>
      </w:pPr>
      <w:r>
        <w:t>Phase three pass up pilot</w:t>
      </w:r>
    </w:p>
    <w:p>
      <w:r>
        <w:t>Validate matched reports and the denominator on overlapping dates. Evaluate matching precision manually, report unmatched fractions, and assess probability calibration where credible event labels exist. If labels or exposure remain incomplete, release only historical report counts. Collect or obtain winter data before offering winter rates or timing estimates.</w:t>
      </w:r>
    </w:p>
    <w:p>
      <w:pPr>
        <w:pStyle w:val="Heading2"/>
      </w:pPr>
      <w:r>
        <w:t>Phase four integrate and release</w:t>
      </w:r>
    </w:p>
    <w:p>
      <w:r>
        <w:t>Export versioned artifacts, add backend enrichment, and build mobile boarding details and trip summaries. Test saved-trip searches, guest access, offline operation, missing routes, partial coverage, midnight and seasonal boundaries. Release informational estimates first; introduce reliability-based trip ranking only after evaluation demonstrates useful and calibrated predictions.</w:t>
      </w:r>
    </w:p>
    <w:p>
      <w:pPr>
        <w:pStyle w:val="Heading2"/>
      </w:pPr>
      <w:r>
        <w:t>Acceptance and monitoring</w:t>
      </w:r>
    </w:p>
    <w:p>
      <w:pPr>
        <w:pStyle w:val="ListBullet"/>
      </w:pPr>
      <w:r>
        <w:t>Timing probabilities use explicit thresholds, remain between zero and one, and the three main categories sum to one. Quantiles are ordered and preserve early and late signs.</w:t>
      </w:r>
    </w:p>
    <w:p>
      <w:pPr>
        <w:pStyle w:val="ListBullet"/>
      </w:pPr>
      <w:r>
        <w:t>Evaluate timing point errors with MAE and quantiles with pinball loss and interval coverage. Evaluate probabilities with calibration plots and Brier scores, comparing identical cohorts and reporting coverage and uncertainty.</w:t>
      </w:r>
    </w:p>
    <w:p>
      <w:pPr>
        <w:pStyle w:val="ListBullet"/>
      </w:pPr>
      <w:r>
        <w:t>Set sample and calibration release criteria from pilot evidence, before the final holdout is inspected. Check route, day-type and seasonal slices; suppress cohorts that fail the criteria.</w:t>
      </w:r>
    </w:p>
    <w:p>
      <w:pPr>
        <w:pStyle w:val="ListBullet"/>
      </w:pPr>
      <w:r>
        <w:t>Schedule incremental data refreshes after launch, retain dated source snapshots, and monitor missing data, changed routes, stale artifacts and calibration drift. Refresh frequency follows actual source availability.</w:t>
      </w:r>
    </w:p>
    <w:p>
      <w:pPr>
        <w:pStyle w:val="Heading2"/>
      </w:pPr>
      <w:r>
        <w:t>Evidence and references</w:t>
      </w:r>
    </w:p>
    <w:p>
      <w:r>
        <w:t>Local review on September 25 2026: Winnipeg-Transit-Data-Analysis/src/export_passups.py, src/data.py, src/features.py, reports/regression/report.md, dashboard/dist/passups/index.json, and the two September 25 CSV exports. Related Codex task: Add pass-up data visualization. Its completed work is a dashboard and exporter, not a validated pass-up predictor.</w:t>
      </w:r>
    </w:p>
    <w:p>
      <w:r>
        <w:t>City network launch announcement: https://www.winnipeg.ca/news/2025-06-29-winnipeg-transit-launches-primary-transit-network-and-its-feeder-routes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Winnipeg Bus Trip Reliability Implementation Plan</dc:title>
  <dc:subject>Pass up risk and early and late departure estimates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