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659" w:rsidRPr="001F4659" w:rsidRDefault="001F4659" w:rsidP="001F4659">
      <w:pPr>
        <w:shd w:val="clear" w:color="auto" w:fill="FFFFFF"/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D0D0D"/>
          <w:sz w:val="19"/>
          <w:szCs w:val="19"/>
        </w:rPr>
      </w:pPr>
      <w:r w:rsidRPr="001F4659">
        <w:rPr>
          <w:rFonts w:ascii="Verdana" w:eastAsia="Times New Roman" w:hAnsi="Verdana" w:cs="Times New Roman"/>
          <w:color w:val="0D0D0D"/>
          <w:sz w:val="19"/>
          <w:szCs w:val="19"/>
        </w:rPr>
        <w:t xml:space="preserve">The </w:t>
      </w:r>
      <w:proofErr w:type="spellStart"/>
      <w:r w:rsidRPr="001F4659">
        <w:rPr>
          <w:rFonts w:ascii="Verdana" w:eastAsia="Times New Roman" w:hAnsi="Verdana" w:cs="Times New Roman"/>
          <w:color w:val="0D0D0D"/>
          <w:sz w:val="19"/>
          <w:szCs w:val="19"/>
        </w:rPr>
        <w:t>pacf</w:t>
      </w:r>
      <w:proofErr w:type="spellEnd"/>
      <w:r w:rsidRPr="001F4659">
        <w:rPr>
          <w:rFonts w:ascii="Verdana" w:eastAsia="Times New Roman" w:hAnsi="Verdana" w:cs="Times New Roman"/>
          <w:color w:val="0D0D0D"/>
          <w:sz w:val="19"/>
          <w:szCs w:val="19"/>
        </w:rPr>
        <w:t xml:space="preserve"> is necessary for distinguishing between</w:t>
      </w:r>
    </w:p>
    <w:p w:rsidR="001F4659" w:rsidRPr="001F4659" w:rsidRDefault="001F4659" w:rsidP="001F4659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4659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21600" w:type="dxa"/>
        <w:tblCellSpacing w:w="15" w:type="dxa"/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  <w:tblDescription w:val="Layout table"/>
      </w:tblPr>
      <w:tblGrid>
        <w:gridCol w:w="904"/>
        <w:gridCol w:w="889"/>
        <w:gridCol w:w="19807"/>
      </w:tblGrid>
      <w:tr w:rsidR="001F4659" w:rsidRPr="001F4659" w:rsidTr="001F4659">
        <w:trPr>
          <w:tblCellSpacing w:w="15" w:type="dxa"/>
        </w:trPr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rPr>
                <w:rFonts w:ascii="Verdana" w:eastAsia="Times New Roman" w:hAnsi="Verdana" w:cs="Times New Roman"/>
                <w:color w:val="0D0D0D"/>
                <w:sz w:val="19"/>
                <w:szCs w:val="19"/>
              </w:rPr>
            </w:pPr>
          </w:p>
        </w:tc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a)</w:t>
            </w:r>
          </w:p>
        </w:tc>
        <w:tc>
          <w:tcPr>
            <w:tcW w:w="46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An AR and an MA model</w:t>
            </w:r>
          </w:p>
        </w:tc>
      </w:tr>
      <w:tr w:rsidR="001F4659" w:rsidRPr="001F4659" w:rsidTr="001F4659">
        <w:trPr>
          <w:tblCellSpacing w:w="15" w:type="dxa"/>
        </w:trPr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</w:p>
        </w:tc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b)</w:t>
            </w:r>
          </w:p>
        </w:tc>
        <w:tc>
          <w:tcPr>
            <w:tcW w:w="46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An AR and an ARMA model</w:t>
            </w:r>
          </w:p>
        </w:tc>
      </w:tr>
      <w:tr w:rsidR="001F4659" w:rsidRPr="001F4659" w:rsidTr="001F4659">
        <w:trPr>
          <w:tblCellSpacing w:w="15" w:type="dxa"/>
        </w:trPr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</w:p>
        </w:tc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c)</w:t>
            </w:r>
          </w:p>
        </w:tc>
        <w:tc>
          <w:tcPr>
            <w:tcW w:w="46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An MA and an ARMA model</w:t>
            </w:r>
          </w:p>
        </w:tc>
      </w:tr>
      <w:tr w:rsidR="001F4659" w:rsidRPr="001F4659" w:rsidTr="001F4659">
        <w:trPr>
          <w:tblCellSpacing w:w="15" w:type="dxa"/>
        </w:trPr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</w:p>
        </w:tc>
        <w:tc>
          <w:tcPr>
            <w:tcW w:w="2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d)</w:t>
            </w:r>
          </w:p>
        </w:tc>
        <w:tc>
          <w:tcPr>
            <w:tcW w:w="4600" w:type="pct"/>
            <w:shd w:val="clear" w:color="auto" w:fill="FFFFFF"/>
            <w:hideMark/>
          </w:tcPr>
          <w:p w:rsidR="001F4659" w:rsidRPr="001F4659" w:rsidRDefault="001F4659" w:rsidP="001F4659">
            <w:pPr>
              <w:spacing w:line="336" w:lineRule="atLeast"/>
              <w:rPr>
                <w:rFonts w:ascii="Arial" w:eastAsia="Times New Roman" w:hAnsi="Arial" w:cs="Arial"/>
                <w:color w:val="0D0D0D"/>
              </w:rPr>
            </w:pPr>
            <w:r w:rsidRPr="001F4659">
              <w:rPr>
                <w:rFonts w:ascii="Arial" w:eastAsia="Times New Roman" w:hAnsi="Arial" w:cs="Arial"/>
                <w:color w:val="0D0D0D"/>
              </w:rPr>
              <w:t>Different models from within the ARMA family</w:t>
            </w:r>
          </w:p>
        </w:tc>
      </w:tr>
    </w:tbl>
    <w:p w:rsidR="001F4659" w:rsidRPr="001F4659" w:rsidRDefault="001F4659" w:rsidP="001F4659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F4659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F4659" w:rsidRPr="001F4659" w:rsidRDefault="001F4659" w:rsidP="001F4659">
      <w:pPr>
        <w:rPr>
          <w:rFonts w:ascii="Times New Roman" w:eastAsia="Times New Roman" w:hAnsi="Times New Roman" w:cs="Times New Roman"/>
        </w:rPr>
      </w:pPr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Incorrect!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is not required to distinguish between an AR and an MA process. This can be achieved using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, since the AR(p) will have a geometrically declining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while the MA(q) will have an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that truncates after q lags. Similarly,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is all that is required to distinguish between an ARMA(</w:t>
      </w:r>
      <w:proofErr w:type="spellStart"/>
      <w:proofErr w:type="gram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p,q</w:t>
      </w:r>
      <w:proofErr w:type="spellEnd"/>
      <w:proofErr w:type="gram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) and an MA(q) process , since the ARMA(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p,q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) will have a geometrically declining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while the MA(q) will have an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that truncates after q lags. It would be very difficult to use either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or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to distinguish between models from within the ARMA(</w:t>
      </w:r>
      <w:proofErr w:type="spellStart"/>
      <w:proofErr w:type="gram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p,q</w:t>
      </w:r>
      <w:proofErr w:type="spellEnd"/>
      <w:proofErr w:type="gram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) family since any values of p and q of at least one would lead to geometrically declining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and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. </w:t>
      </w:r>
      <w:proofErr w:type="gram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So</w:t>
      </w:r>
      <w:proofErr w:type="gram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the most important use of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is in distinguishing between AR(p) and ARMA processes, since for the former,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would be zero after p lags while for the latter the decline in the </w:t>
      </w:r>
      <w:proofErr w:type="spellStart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>pacf</w:t>
      </w:r>
      <w:proofErr w:type="spellEnd"/>
      <w:r w:rsidRPr="001F4659">
        <w:rPr>
          <w:rFonts w:ascii="Arial" w:eastAsia="Times New Roman" w:hAnsi="Arial" w:cs="Arial"/>
          <w:color w:val="0D0D0D"/>
          <w:sz w:val="19"/>
          <w:szCs w:val="19"/>
          <w:shd w:val="clear" w:color="auto" w:fill="FFCCCC"/>
        </w:rPr>
        <w:t xml:space="preserve"> would be geometric.</w:t>
      </w:r>
    </w:p>
    <w:p w:rsidR="003543A3" w:rsidRDefault="003543A3"/>
    <w:p w:rsidR="005640B5" w:rsidRDefault="005640B5">
      <w:r>
        <w:t>Tutorial:</w:t>
      </w:r>
    </w:p>
    <w:p w:rsidR="005640B5" w:rsidRPr="005640B5" w:rsidRDefault="005640B5" w:rsidP="005640B5">
      <w:pPr>
        <w:rPr>
          <w:rFonts w:ascii="Times New Roman" w:eastAsia="Times New Roman" w:hAnsi="Times New Roman" w:cs="Times New Roman"/>
        </w:rPr>
      </w:pPr>
      <w:hyperlink r:id="rId4" w:history="1">
        <w:r w:rsidRPr="005640B5">
          <w:rPr>
            <w:rFonts w:ascii="Times New Roman" w:eastAsia="Times New Roman" w:hAnsi="Times New Roman" w:cs="Times New Roman"/>
            <w:color w:val="0000FF"/>
            <w:u w:val="single"/>
          </w:rPr>
          <w:t>https://rstudio-pubs-static.s3.amazonaws.com/382326_d93ea43edf0f4955b2d58d28b0de7925.html</w:t>
        </w:r>
      </w:hyperlink>
    </w:p>
    <w:p w:rsidR="005640B5" w:rsidRDefault="005640B5"/>
    <w:p w:rsidR="0009229E" w:rsidRPr="0009229E" w:rsidRDefault="0009229E" w:rsidP="0009229E">
      <w:pPr>
        <w:rPr>
          <w:rFonts w:ascii="Times New Roman" w:eastAsia="Times New Roman" w:hAnsi="Times New Roman" w:cs="Times New Roman"/>
        </w:rPr>
      </w:pPr>
      <w:hyperlink r:id="rId5" w:history="1">
        <w:r w:rsidRPr="0009229E">
          <w:rPr>
            <w:rFonts w:ascii="Times New Roman" w:eastAsia="Times New Roman" w:hAnsi="Times New Roman" w:cs="Times New Roman"/>
            <w:color w:val="0000FF"/>
            <w:u w:val="single"/>
          </w:rPr>
          <w:t>https://online.stat.psu.edu/stat501/lesson/14/14.5/14.5.1</w:t>
        </w:r>
      </w:hyperlink>
    </w:p>
    <w:p w:rsidR="0009229E" w:rsidRDefault="0009229E"/>
    <w:p w:rsidR="00C83C22" w:rsidRDefault="00C83C22">
      <w:r>
        <w:t>Questions:</w:t>
      </w:r>
    </w:p>
    <w:p w:rsidR="00C83C22" w:rsidRPr="00C83C22" w:rsidRDefault="00C83C22" w:rsidP="00C83C22">
      <w:pPr>
        <w:rPr>
          <w:rFonts w:ascii="Times New Roman" w:eastAsia="Times New Roman" w:hAnsi="Times New Roman" w:cs="Times New Roman"/>
        </w:rPr>
      </w:pPr>
      <w:hyperlink r:id="rId6" w:history="1">
        <w:r w:rsidRPr="00C83C22">
          <w:rPr>
            <w:rFonts w:ascii="Times New Roman" w:eastAsia="Times New Roman" w:hAnsi="Times New Roman" w:cs="Times New Roman"/>
            <w:color w:val="0000FF"/>
            <w:u w:val="single"/>
          </w:rPr>
          <w:t>http://fisher.utstat.utoronto.ca/~mahinda/stad57/</w:t>
        </w:r>
      </w:hyperlink>
    </w:p>
    <w:p w:rsidR="00C83C22" w:rsidRDefault="00C83C22">
      <w:bookmarkStart w:id="0" w:name="_GoBack"/>
      <w:bookmarkEnd w:id="0"/>
    </w:p>
    <w:sectPr w:rsidR="00C83C22" w:rsidSect="00040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59"/>
    <w:rsid w:val="0004028E"/>
    <w:rsid w:val="0009229E"/>
    <w:rsid w:val="001F4659"/>
    <w:rsid w:val="003543A3"/>
    <w:rsid w:val="005640B5"/>
    <w:rsid w:val="00C8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E3B52"/>
  <w15:chartTrackingRefBased/>
  <w15:docId w15:val="{FED871C0-B15D-2645-BC87-51291348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65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465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465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465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4659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64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isher.utstat.utoronto.ca/~mahinda/stad57/" TargetMode="External"/><Relationship Id="rId5" Type="http://schemas.openxmlformats.org/officeDocument/2006/relationships/hyperlink" Target="https://online.stat.psu.edu/stat501/lesson/14/14.5/14.5.1" TargetMode="External"/><Relationship Id="rId4" Type="http://schemas.openxmlformats.org/officeDocument/2006/relationships/hyperlink" Target="https://rstudio-pubs-static.s3.amazonaws.com/382326_d93ea43edf0f4955b2d58d28b0de792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Thiyanga Talagala</dc:creator>
  <cp:keywords/>
  <dc:description/>
  <cp:lastModifiedBy>Thiyanga Talagala</cp:lastModifiedBy>
  <cp:revision>4</cp:revision>
  <dcterms:created xsi:type="dcterms:W3CDTF">2020-04-18T03:17:00Z</dcterms:created>
  <dcterms:modified xsi:type="dcterms:W3CDTF">2020-04-18T03:53:00Z</dcterms:modified>
</cp:coreProperties>
</file>