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Calibri" w:hAnsi="Calibri"/>
          <w:b/>
          <w:color w:val="6B1831"/>
          <w:sz w:val="44"/>
        </w:rPr>
        <w:t>REPORTE DE AVANCES</w:t>
      </w:r>
    </w:p>
    <w:p>
      <w:pPr>
        <w:jc w:val="center"/>
      </w:pPr>
      <w:r>
        <w:rPr>
          <w:rFonts w:ascii="Calibri" w:hAnsi="Calibri"/>
          <w:b/>
          <w:color w:val="9B2C4B"/>
          <w:sz w:val="30"/>
        </w:rPr>
        <w:t>Proyecto TAP — Tren AIFA-Pachuca</w:t>
      </w:r>
    </w:p>
    <w:p>
      <w:pPr>
        <w:spacing w:after="0" w:before="0"/>
      </w:pPr>
    </w:p>
    <w:p>
      <w:pPr>
        <w:jc w:val="center"/>
      </w:pPr>
      <w:r>
        <w:rPr>
          <w:rFonts w:ascii="Calibri" w:hAnsi="Calibri"/>
          <w:color w:val="555555"/>
          <w:sz w:val="22"/>
        </w:rPr>
        <w:t>Corte informativo al 20 de mayo de 2026</w:t>
      </w:r>
    </w:p>
    <w:p>
      <w:pPr>
        <w:spacing w:after="0" w:before="0"/>
      </w:pPr>
    </w:p>
    <w:p>
      <w:pPr>
        <w:spacing w:after="0" w:before="0"/>
      </w:pPr>
    </w:p>
    <w:tbl>
      <w:tblPr>
        <w:tblStyle w:val="TableGrid"/>
        <w:tblW w:type="auto" w:w="0"/>
        <w:tblLook w:firstColumn="1" w:firstRow="1" w:lastColumn="0" w:lastRow="0" w:noHBand="0" w:noVBand="1" w:val="04A0"/>
      </w:tblPr>
      <w:tblGrid>
        <w:gridCol w:w="4565"/>
        <w:gridCol w:w="4565"/>
      </w:tblGrid>
      <w:tr>
        <w:tc>
          <w:tcPr>
            <w:tcW w:type="dxa" w:w="3168"/>
          </w:tcPr>
          <w:p>
            <w:r>
              <w:rPr>
                <w:b/>
                <w:color w:val="6B1831"/>
                <w:sz w:val="20"/>
              </w:rPr>
              <w:t>Referencia</w:t>
            </w:r>
          </w:p>
        </w:tc>
        <w:tc>
          <w:tcPr>
            <w:tcW w:type="dxa" w:w="6480"/>
          </w:tcPr>
          <w:p>
            <w:r>
              <w:rPr>
                <w:sz w:val="20"/>
              </w:rPr>
              <w:t>SAO-TAP-RPT-2026-0520</w:t>
            </w:r>
          </w:p>
        </w:tc>
      </w:tr>
      <w:tr>
        <w:tc>
          <w:tcPr>
            <w:tcW w:type="dxa" w:w="3168"/>
          </w:tcPr>
          <w:p>
            <w:r>
              <w:rPr>
                <w:b/>
                <w:color w:val="6B1831"/>
                <w:sz w:val="20"/>
              </w:rPr>
              <w:t>Proyecto</w:t>
            </w:r>
          </w:p>
        </w:tc>
        <w:tc>
          <w:tcPr>
            <w:tcW w:type="dxa" w:w="6480"/>
          </w:tcPr>
          <w:p>
            <w:r>
              <w:rPr>
                <w:sz w:val="20"/>
              </w:rPr>
              <w:t>TAP — Tren AIFA-Pachuca</w:t>
            </w:r>
          </w:p>
        </w:tc>
      </w:tr>
      <w:tr>
        <w:tc>
          <w:tcPr>
            <w:tcW w:type="dxa" w:w="3168"/>
          </w:tcPr>
          <w:p>
            <w:r>
              <w:rPr>
                <w:b/>
                <w:color w:val="6B1831"/>
                <w:sz w:val="20"/>
              </w:rPr>
              <w:t>Fecha de corte</w:t>
            </w:r>
          </w:p>
        </w:tc>
        <w:tc>
          <w:tcPr>
            <w:tcW w:type="dxa" w:w="6480"/>
          </w:tcPr>
          <w:p>
            <w:r>
              <w:rPr>
                <w:sz w:val="20"/>
              </w:rPr>
              <w:t>20 de mayo de 2026</w:t>
            </w:r>
          </w:p>
        </w:tc>
      </w:tr>
      <w:tr>
        <w:tc>
          <w:tcPr>
            <w:tcW w:type="dxa" w:w="3168"/>
          </w:tcPr>
          <w:p>
            <w:r>
              <w:rPr>
                <w:b/>
                <w:color w:val="6B1831"/>
                <w:sz w:val="20"/>
              </w:rPr>
              <w:t>Elaborado por</w:t>
            </w:r>
          </w:p>
        </w:tc>
        <w:tc>
          <w:tcPr>
            <w:tcW w:type="dxa" w:w="6480"/>
          </w:tcPr>
          <w:p>
            <w:r>
              <w:rPr>
                <w:sz w:val="20"/>
              </w:rPr>
              <w:t>Unidad de Adquisición de Derechos de Vía — ATTRAPI</w:t>
            </w:r>
          </w:p>
        </w:tc>
      </w:tr>
      <w:tr>
        <w:tc>
          <w:tcPr>
            <w:tcW w:type="dxa" w:w="3168"/>
          </w:tcPr>
          <w:p>
            <w:r>
              <w:rPr>
                <w:b/>
                <w:color w:val="6B1831"/>
                <w:sz w:val="20"/>
              </w:rPr>
              <w:t>Clasificación</w:t>
            </w:r>
          </w:p>
        </w:tc>
        <w:tc>
          <w:tcPr>
            <w:tcW w:type="dxa" w:w="6480"/>
          </w:tcPr>
          <w:p>
            <w:r>
              <w:rPr>
                <w:sz w:val="20"/>
              </w:rPr>
              <w:t>Informe interno — Uso restringido</w:t>
            </w:r>
          </w:p>
        </w:tc>
      </w:tr>
      <w:tr>
        <w:tc>
          <w:tcPr>
            <w:tcW w:type="dxa" w:w="3168"/>
          </w:tcPr>
          <w:p>
            <w:r>
              <w:rPr>
                <w:b/>
                <w:color w:val="6B1831"/>
                <w:sz w:val="20"/>
              </w:rPr>
              <w:t>Estados</w:t>
            </w:r>
          </w:p>
        </w:tc>
        <w:tc>
          <w:tcPr>
            <w:tcW w:type="dxa" w:w="6480"/>
          </w:tcPr>
          <w:p>
            <w:r>
              <w:rPr>
                <w:sz w:val="20"/>
              </w:rPr>
              <w:t>Estado de México, Hidalgo</w:t>
            </w:r>
          </w:p>
        </w:tc>
      </w:tr>
    </w:tbl>
    <w:p>
      <w:pPr>
        <w:spacing w:after="0" w:before="0"/>
      </w:pPr>
    </w:p>
    <w:p>
      <w:pPr>
        <w:spacing w:after="0" w:before="0"/>
      </w:pPr>
    </w:p>
    <w:p>
      <w:pPr>
        <w:jc w:val="center"/>
      </w:pPr>
      <w:r>
        <w:rPr>
          <w:i/>
          <w:color w:val="555555"/>
          <w:sz w:val="20"/>
        </w:rPr>
        <w:t>Ciudad de México, 20 de mayo de 2026</w:t>
      </w:r>
    </w:p>
    <w:p>
      <w:r>
        <w:br w:type="page"/>
      </w:r>
    </w:p>
    <w:p>
      <w:pPr>
        <w:pStyle w:val="Heading1"/>
        <w:pBdr>
          <w:bottom w:val="single" w:sz="8" w:space="1" w:color="6B1831"/>
        </w:pBdr>
      </w:pPr>
      <w:r>
        <w:t>1.  Resumen Ejecutivo</w:t>
      </w:r>
    </w:p>
    <w:p>
      <w:pPr>
        <w:jc w:val="left"/>
      </w:pPr>
      <w:r>
        <w:t>El presente informe presenta el estado de avance del proyecto TAP al corte del 20 de mayo de 2026. El proyecto comprende actividades de adquisición de derechos de vía para el Tren AIFA-Pachuca, con operaciones activas en los municipios de Nextlalpan y Tecámac (Estado de México), así como Tizayuca y Mineral de la Reforma (Hidalgo).</w:t>
      </w:r>
    </w:p>
    <w:p>
      <w:pPr>
        <w:spacing w:after="0" w:before="0"/>
      </w:pPr>
    </w:p>
    <w:p>
      <w:pPr>
        <w:jc w:val="left"/>
      </w:pPr>
      <w:r>
        <w:rPr>
          <w:b/>
        </w:rPr>
        <w:t>Indicadores clave del período: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4032"/>
            <w:shd w:val="clear" w:color="auto" w:fill="6B1831"/>
          </w:tcPr>
          <w:p>
            <w:pPr>
              <w:jc w:val="center"/>
            </w:pPr>
            <w:r>
              <w:rPr>
                <w:b/>
                <w:color w:val="FFFFFF"/>
                <w:sz w:val="19"/>
              </w:rPr>
              <w:t>Indicador</w:t>
            </w:r>
          </w:p>
        </w:tc>
        <w:tc>
          <w:tcPr>
            <w:tcW w:type="dxa" w:w="2160"/>
            <w:shd w:val="clear" w:color="auto" w:fill="6B1831"/>
          </w:tcPr>
          <w:p>
            <w:pPr>
              <w:jc w:val="center"/>
            </w:pPr>
            <w:r>
              <w:rPr>
                <w:b/>
                <w:color w:val="FFFFFF"/>
                <w:sz w:val="19"/>
              </w:rPr>
              <w:t>Valor</w:t>
            </w:r>
          </w:p>
        </w:tc>
        <w:tc>
          <w:tcPr>
            <w:tcW w:type="dxa" w:w="4320"/>
            <w:shd w:val="clear" w:color="auto" w:fill="6B1831"/>
          </w:tcPr>
          <w:p>
            <w:pPr>
              <w:jc w:val="center"/>
            </w:pPr>
            <w:r>
              <w:rPr>
                <w:b/>
                <w:color w:val="FFFFFF"/>
                <w:sz w:val="19"/>
              </w:rPr>
              <w:t>Detalle</w:t>
            </w:r>
          </w:p>
        </w:tc>
      </w:tr>
      <w:tr>
        <w:tc>
          <w:tcPr>
            <w:tcW w:type="dxa" w:w="4032"/>
          </w:tcPr>
          <w:p>
            <w:pPr>
              <w:jc w:val="center"/>
            </w:pPr>
            <w:r>
              <w:rPr>
                <w:sz w:val="19"/>
              </w:rPr>
              <w:t>Total de actividades</w:t>
            </w:r>
          </w:p>
        </w:tc>
        <w:tc>
          <w:tcPr>
            <w:tcW w:type="dxa" w:w="2160"/>
          </w:tcPr>
          <w:p>
            <w:pPr>
              <w:jc w:val="center"/>
            </w:pPr>
            <w:r>
              <w:rPr>
                <w:sz w:val="19"/>
              </w:rPr>
              <w:t>14</w:t>
            </w:r>
          </w:p>
        </w:tc>
        <w:tc>
          <w:tcPr>
            <w:tcW w:type="dxa" w:w="4320"/>
          </w:tcPr>
          <w:p>
            <w:pPr>
              <w:jc w:val="center"/>
            </w:pPr>
            <w:r>
              <w:rPr>
                <w:sz w:val="19"/>
              </w:rPr>
              <w:t>En 5 frentes de trabajo</w:t>
            </w:r>
          </w:p>
        </w:tc>
      </w:tr>
      <w:tr>
        <w:tc>
          <w:tcPr>
            <w:tcW w:type="dxa" w:w="4032"/>
          </w:tcPr>
          <w:p>
            <w:pPr>
              <w:jc w:val="center"/>
            </w:pPr>
            <w:r>
              <w:rPr>
                <w:sz w:val="19"/>
              </w:rPr>
              <w:t>Completadas</w:t>
            </w:r>
          </w:p>
        </w:tc>
        <w:tc>
          <w:tcPr>
            <w:tcW w:type="dxa" w:w="2160"/>
          </w:tcPr>
          <w:p>
            <w:pPr>
              <w:jc w:val="center"/>
            </w:pPr>
            <w:r>
              <w:rPr>
                <w:sz w:val="19"/>
              </w:rPr>
              <w:t>8 (57%)</w:t>
            </w:r>
          </w:p>
        </w:tc>
        <w:tc>
          <w:tcPr>
            <w:tcW w:type="dxa" w:w="4320"/>
          </w:tcPr>
          <w:p>
            <w:pPr>
              <w:jc w:val="center"/>
            </w:pPr>
            <w:r>
              <w:rPr>
                <w:sz w:val="19"/>
              </w:rPr>
              <w:t>Caminamientos y reuniones con evidencia registrada</w:t>
            </w:r>
          </w:p>
        </w:tc>
      </w:tr>
      <w:tr>
        <w:tc>
          <w:tcPr>
            <w:tcW w:type="dxa" w:w="4032"/>
          </w:tcPr>
          <w:p>
            <w:pPr>
              <w:jc w:val="center"/>
            </w:pPr>
            <w:r>
              <w:rPr>
                <w:sz w:val="19"/>
              </w:rPr>
              <w:t>Pendientes</w:t>
            </w:r>
          </w:p>
        </w:tc>
        <w:tc>
          <w:tcPr>
            <w:tcW w:type="dxa" w:w="2160"/>
          </w:tcPr>
          <w:p>
            <w:pPr>
              <w:jc w:val="center"/>
            </w:pPr>
            <w:r>
              <w:rPr>
                <w:sz w:val="19"/>
              </w:rPr>
              <w:t>4 (29%)</w:t>
            </w:r>
          </w:p>
        </w:tc>
        <w:tc>
          <w:tcPr>
            <w:tcW w:type="dxa" w:w="4320"/>
          </w:tcPr>
          <w:p>
            <w:pPr>
              <w:jc w:val="center"/>
            </w:pPr>
            <w:r>
              <w:rPr>
                <w:sz w:val="19"/>
              </w:rPr>
              <w:t>En proceso o por ejecutar</w:t>
            </w:r>
          </w:p>
        </w:tc>
      </w:tr>
      <w:tr>
        <w:tc>
          <w:tcPr>
            <w:tcW w:type="dxa" w:w="4032"/>
          </w:tcPr>
          <w:p>
            <w:pPr>
              <w:jc w:val="center"/>
            </w:pPr>
            <w:r>
              <w:rPr>
                <w:sz w:val="19"/>
              </w:rPr>
              <w:t>Canceladas</w:t>
            </w:r>
          </w:p>
        </w:tc>
        <w:tc>
          <w:tcPr>
            <w:tcW w:type="dxa" w:w="2160"/>
          </w:tcPr>
          <w:p>
            <w:pPr>
              <w:jc w:val="center"/>
            </w:pPr>
            <w:r>
              <w:rPr>
                <w:sz w:val="19"/>
              </w:rPr>
              <w:t>2 (14%)</w:t>
            </w:r>
          </w:p>
        </w:tc>
        <w:tc>
          <w:tcPr>
            <w:tcW w:type="dxa" w:w="4320"/>
          </w:tcPr>
          <w:p>
            <w:pPr>
              <w:jc w:val="center"/>
            </w:pPr>
            <w:r>
              <w:rPr>
                <w:sz w:val="19"/>
              </w:rPr>
              <w:t>Negociaciones de COP sin efecto en este período</w:t>
            </w:r>
          </w:p>
        </w:tc>
      </w:tr>
      <w:tr>
        <w:tc>
          <w:tcPr>
            <w:tcW w:type="dxa" w:w="4032"/>
          </w:tcPr>
          <w:p>
            <w:pPr>
              <w:jc w:val="center"/>
            </w:pPr>
            <w:r>
              <w:rPr>
                <w:sz w:val="19"/>
              </w:rPr>
              <w:t>Municipios activos</w:t>
            </w:r>
          </w:p>
        </w:tc>
        <w:tc>
          <w:tcPr>
            <w:tcW w:type="dxa" w:w="2160"/>
          </w:tcPr>
          <w:p>
            <w:pPr>
              <w:jc w:val="center"/>
            </w:pPr>
            <w:r>
              <w:rPr>
                <w:sz w:val="19"/>
              </w:rPr>
              <w:t>4</w:t>
            </w:r>
          </w:p>
        </w:tc>
        <w:tc>
          <w:tcPr>
            <w:tcW w:type="dxa" w:w="4320"/>
          </w:tcPr>
          <w:p>
            <w:pPr>
              <w:jc w:val="center"/>
            </w:pPr>
            <w:r>
              <w:rPr>
                <w:sz w:val="19"/>
              </w:rPr>
              <w:t>Nextlalpan, Tecámac, Tizayuca, Mineral de la Reforma</w:t>
            </w:r>
          </w:p>
        </w:tc>
      </w:tr>
      <w:tr>
        <w:tc>
          <w:tcPr>
            <w:tcW w:type="dxa" w:w="4032"/>
          </w:tcPr>
          <w:p>
            <w:pPr>
              <w:jc w:val="center"/>
            </w:pPr>
            <w:r>
              <w:rPr>
                <w:sz w:val="19"/>
              </w:rPr>
              <w:t>Operativo principal</w:t>
            </w:r>
          </w:p>
        </w:tc>
        <w:tc>
          <w:tcPr>
            <w:tcW w:type="dxa" w:w="2160"/>
          </w:tcPr>
          <w:p>
            <w:pPr>
              <w:jc w:val="center"/>
            </w:pPr>
            <w:r>
              <w:rPr>
                <w:sz w:val="19"/>
              </w:rPr>
              <w:t>Enrique Melesio Márquez Guerrero</w:t>
            </w:r>
          </w:p>
        </w:tc>
        <w:tc>
          <w:tcPr>
            <w:tcW w:type="dxa" w:w="4320"/>
          </w:tcPr>
          <w:p>
            <w:pPr>
              <w:jc w:val="center"/>
            </w:pPr>
            <w:r>
              <w:rPr>
                <w:sz w:val="19"/>
              </w:rPr>
              <w:t>8 actividades registradas</w:t>
            </w:r>
          </w:p>
        </w:tc>
      </w:tr>
      <w:tr>
        <w:tc>
          <w:tcPr>
            <w:tcW w:type="dxa" w:w="4032"/>
          </w:tcPr>
          <w:p>
            <w:pPr>
              <w:jc w:val="center"/>
            </w:pPr>
            <w:r>
              <w:rPr>
                <w:sz w:val="19"/>
              </w:rPr>
              <w:t>Observaciones abiertas</w:t>
            </w:r>
          </w:p>
        </w:tc>
        <w:tc>
          <w:tcPr>
            <w:tcW w:type="dxa" w:w="2160"/>
          </w:tcPr>
          <w:p>
            <w:pPr>
              <w:jc w:val="center"/>
            </w:pPr>
            <w:r>
              <w:rPr>
                <w:sz w:val="19"/>
              </w:rPr>
              <w:t>0</w:t>
            </w:r>
          </w:p>
        </w:tc>
        <w:tc>
          <w:tcPr>
            <w:tcW w:type="dxa" w:w="4320"/>
          </w:tcPr>
          <w:p>
            <w:pPr>
              <w:jc w:val="center"/>
            </w:pPr>
            <w:r>
              <w:rPr>
                <w:sz w:val="19"/>
              </w:rPr>
              <w:t>Sin incidencias registradas en SAO</w:t>
            </w:r>
          </w:p>
        </w:tc>
      </w:tr>
    </w:tbl>
    <w:p>
      <w:pPr>
        <w:spacing w:after="0" w:before="0"/>
      </w:pPr>
    </w:p>
    <w:p>
      <w:pPr>
        <w:jc w:val="left"/>
      </w:pPr>
      <w:r>
        <w:t>El proyecto muestra avance moderado en etapa de reconocimiento de terreno y acercamiento institucional. Los frentes F1 y F2 registran el mayor número de caminamientos completados. No se registran observaciones de calidad ni riesgos activos.</w:t>
      </w:r>
    </w:p>
    <w:p>
      <w:r>
        <w:br w:type="page"/>
      </w:r>
    </w:p>
    <w:p>
      <w:pPr>
        <w:pStyle w:val="Heading1"/>
        <w:pBdr>
          <w:bottom w:val="single" w:sz="8" w:space="1" w:color="6B1831"/>
        </w:pBdr>
      </w:pPr>
      <w:r>
        <w:t>2.  Equipo Operativo</w:t>
      </w:r>
    </w:p>
    <w:p>
      <w:pPr>
        <w:jc w:val="left"/>
      </w:pPr>
      <w:r>
        <w:t>El proyecto TAP opera con un equipo reducido concentrado en el frente norte de la Zona Metropolitana del Valle de México.</w:t>
      </w:r>
    </w:p>
    <w:p>
      <w:pPr>
        <w:spacing w:after="0" w:before="0"/>
      </w:pPr>
    </w:p>
    <w:tbl>
      <w:tblPr>
        <w:tblStyle w:val="TableGrid"/>
        <w:tblW w:type="auto" w:w="0"/>
        <w:tblLook w:firstColumn="1" w:firstRow="1" w:lastColumn="0" w:lastRow="0" w:noHBand="0" w:noVBand="1" w:val="04A0"/>
      </w:tblPr>
      <w:tblGrid>
        <w:gridCol w:w="2282"/>
        <w:gridCol w:w="2282"/>
        <w:gridCol w:w="2282"/>
        <w:gridCol w:w="2282"/>
      </w:tblGrid>
      <w:tr>
        <w:tc>
          <w:tcPr>
            <w:tcW w:type="dxa" w:w="4320"/>
            <w:shd w:val="clear" w:color="auto" w:fill="6B1831"/>
          </w:tcPr>
          <w:p>
            <w:pPr>
              <w:jc w:val="center"/>
            </w:pPr>
            <w:r>
              <w:rPr>
                <w:b/>
                <w:color w:val="FFFFFF"/>
                <w:sz w:val="19"/>
              </w:rPr>
              <w:t>Operativo</w:t>
            </w:r>
          </w:p>
        </w:tc>
        <w:tc>
          <w:tcPr>
            <w:tcW w:type="dxa" w:w="2160"/>
            <w:shd w:val="clear" w:color="auto" w:fill="6B1831"/>
          </w:tcPr>
          <w:p>
            <w:pPr>
              <w:jc w:val="center"/>
            </w:pPr>
            <w:r>
              <w:rPr>
                <w:b/>
                <w:color w:val="FFFFFF"/>
                <w:sz w:val="19"/>
              </w:rPr>
              <w:t>Rol</w:t>
            </w:r>
          </w:p>
        </w:tc>
        <w:tc>
          <w:tcPr>
            <w:tcW w:type="dxa" w:w="3600"/>
            <w:shd w:val="clear" w:color="auto" w:fill="6B1831"/>
          </w:tcPr>
          <w:p>
            <w:pPr>
              <w:jc w:val="center"/>
            </w:pPr>
            <w:r>
              <w:rPr>
                <w:b/>
                <w:color w:val="FFFFFF"/>
                <w:sz w:val="19"/>
              </w:rPr>
              <w:t>Frentes asignados</w:t>
            </w:r>
          </w:p>
        </w:tc>
        <w:tc>
          <w:tcPr>
            <w:tcW w:type="dxa" w:w="1440"/>
            <w:shd w:val="clear" w:color="auto" w:fill="6B1831"/>
          </w:tcPr>
          <w:p>
            <w:pPr>
              <w:jc w:val="center"/>
            </w:pPr>
            <w:r>
              <w:rPr>
                <w:b/>
                <w:color w:val="FFFFFF"/>
                <w:sz w:val="19"/>
              </w:rPr>
              <w:t>Actividades</w:t>
            </w:r>
          </w:p>
        </w:tc>
      </w:tr>
      <w:tr>
        <w:tc>
          <w:tcPr>
            <w:tcW w:type="dxa" w:w="4320"/>
          </w:tcPr>
          <w:p>
            <w:pPr>
              <w:jc w:val="center"/>
            </w:pPr>
            <w:r>
              <w:rPr>
                <w:sz w:val="19"/>
              </w:rPr>
              <w:t>Enrique Melesio Márquez Guerrero</w:t>
            </w:r>
          </w:p>
        </w:tc>
        <w:tc>
          <w:tcPr>
            <w:tcW w:type="dxa" w:w="2160"/>
          </w:tcPr>
          <w:p>
            <w:pPr>
              <w:jc w:val="center"/>
            </w:pPr>
            <w:r>
              <w:rPr>
                <w:sz w:val="19"/>
              </w:rPr>
              <w:t>Operativo</w:t>
            </w:r>
          </w:p>
        </w:tc>
        <w:tc>
          <w:tcPr>
            <w:tcW w:type="dxa" w:w="3600"/>
          </w:tcPr>
          <w:p>
            <w:pPr>
              <w:jc w:val="center"/>
            </w:pPr>
            <w:r>
              <w:rPr>
                <w:sz w:val="19"/>
              </w:rPr>
              <w:t>F1, F2, F3, F5</w:t>
            </w:r>
          </w:p>
        </w:tc>
        <w:tc>
          <w:tcPr>
            <w:tcW w:type="dxa" w:w="1440"/>
          </w:tcPr>
          <w:p>
            <w:pPr>
              <w:jc w:val="center"/>
            </w:pPr>
            <w:r>
              <w:rPr>
                <w:sz w:val="19"/>
              </w:rPr>
              <w:t>8</w:t>
            </w:r>
          </w:p>
        </w:tc>
      </w:tr>
      <w:tr>
        <w:tc>
          <w:tcPr>
            <w:tcW w:type="dxa" w:w="4320"/>
          </w:tcPr>
          <w:p>
            <w:pPr>
              <w:jc w:val="center"/>
            </w:pPr>
            <w:r>
              <w:rPr>
                <w:sz w:val="19"/>
              </w:rPr>
              <w:t>Admin User</w:t>
            </w:r>
          </w:p>
        </w:tc>
        <w:tc>
          <w:tcPr>
            <w:tcW w:type="dxa" w:w="2160"/>
          </w:tcPr>
          <w:p>
            <w:pPr>
              <w:jc w:val="center"/>
            </w:pPr>
            <w:r>
              <w:rPr>
                <w:sz w:val="19"/>
              </w:rPr>
              <w:t>Administración</w:t>
            </w:r>
          </w:p>
        </w:tc>
        <w:tc>
          <w:tcPr>
            <w:tcW w:type="dxa" w:w="3600"/>
          </w:tcPr>
          <w:p>
            <w:pPr>
              <w:jc w:val="center"/>
            </w:pPr>
            <w:r>
              <w:rPr>
                <w:sz w:val="19"/>
              </w:rPr>
              <w:t>F1 (apoyo)</w:t>
            </w:r>
          </w:p>
        </w:tc>
        <w:tc>
          <w:tcPr>
            <w:tcW w:type="dxa" w:w="1440"/>
          </w:tcPr>
          <w:p>
            <w:pPr>
              <w:jc w:val="center"/>
            </w:pPr>
            <w:r>
              <w:rPr>
                <w:sz w:val="19"/>
              </w:rPr>
              <w:t>2</w:t>
            </w:r>
          </w:p>
        </w:tc>
      </w:tr>
    </w:tbl>
    <w:p>
      <w:pPr>
        <w:spacing w:after="0" w:before="0"/>
      </w:pPr>
    </w:p>
    <w:p>
      <w:pPr>
        <w:jc w:val="left"/>
      </w:pPr>
      <w:r>
        <w:rPr>
          <w:color w:val="B75409"/>
        </w:rPr>
        <w:t>⚠  Las actividades "Sin frente" (4 registros) no tienen operativo asignado ni frente definido en el sistema SAO. Se recomienda completar estos campos para trazabilidad del proyecto.</w:t>
      </w:r>
    </w:p>
    <w:p>
      <w:r>
        <w:br w:type="page"/>
      </w:r>
    </w:p>
    <w:p>
      <w:pPr>
        <w:pStyle w:val="Heading1"/>
        <w:pBdr>
          <w:bottom w:val="single" w:sz="8" w:space="1" w:color="6B1831"/>
        </w:pBdr>
      </w:pPr>
      <w:r>
        <w:t>3.  Frente 1 — Nextlalpan / Tecámac</w:t>
      </w:r>
    </w:p>
    <w:p>
      <w:pPr>
        <w:jc w:val="left"/>
      </w:pPr>
      <w:r>
        <w:rPr>
          <w:color w:val="555555"/>
        </w:rPr>
        <w:t>Estado de México  |  Tramo inicial del trazo AIFA-Pachuca, zona conurbada norte de CDMX</w:t>
      </w:r>
    </w:p>
    <w:p>
      <w:pPr>
        <w:jc w:val="left"/>
      </w:pPr>
      <w:r>
        <w:rPr>
          <w:color w:val="555555"/>
        </w:rPr>
        <w:t>Operativos: Enrique Melesio Márquez Guerrero, Admin User</w:t>
      </w:r>
    </w:p>
    <w:p>
      <w:pPr>
        <w:spacing w:after="0" w:before="0"/>
      </w:pPr>
    </w:p>
    <w:p>
      <w:pPr>
        <w:pStyle w:val="Heading2"/>
      </w:pPr>
      <w:r>
        <w:t>3.1  Actividades realizadas</w:t>
      </w:r>
    </w:p>
    <w:p>
      <w:pPr>
        <w:pStyle w:val="ListBullet"/>
      </w:pPr>
      <w:r>
        <w:rPr>
          <w:b/>
          <w:color w:val="1B5E20"/>
        </w:rPr>
        <w:t>✅  Caminamiento de reconocimiento DDV — Nextlalpan (13 mayo): Primer levantamiento de campo en zona norte con identificación de afectaciones y propietarios.</w:t>
      </w:r>
    </w:p>
    <w:p>
      <w:pPr>
        <w:pStyle w:val="ListBullet"/>
      </w:pPr>
      <w:r>
        <w:rPr>
          <w:b/>
          <w:color w:val="1B5E20"/>
        </w:rPr>
        <w:t>✅  Caminamiento de reconocimiento DDV — Tecámac (12 mayo): Recorrido del trazo en zona sur de Tecámac. Marcaje inicial de derecho de vía.</w:t>
      </w:r>
    </w:p>
    <w:p>
      <w:pPr>
        <w:pStyle w:val="ListBullet"/>
      </w:pPr>
      <w:r>
        <w:rPr>
          <w:b/>
          <w:color w:val="1B5E20"/>
        </w:rPr>
        <w:t>✅  Reunión de coordinación — Tecámac (17 mayo): Reunión de seguimiento con propietarios o autoridades municipales. Última actividad registrada en el frente.</w:t>
      </w:r>
    </w:p>
    <w:p>
      <w:pPr>
        <w:pStyle w:val="Heading2"/>
      </w:pPr>
      <w:r>
        <w:t>3.2  Canceladas</w:t>
      </w:r>
    </w:p>
    <w:p>
      <w:pPr>
        <w:pStyle w:val="ListBullet"/>
      </w:pPr>
      <w:r>
        <w:rPr>
          <w:b/>
          <w:color w:val="8B0000"/>
        </w:rPr>
        <w:t>❌  Negociaciones de predios para adquisición y firma de COP: Actividad de negociación directa cancelada en este frente. Sin especificación de causa adicional.</w:t>
      </w:r>
    </w:p>
    <w:p>
      <w:pPr>
        <w:pStyle w:val="ListBullet"/>
      </w:pPr>
      <w:r>
        <w:rPr>
          <w:color w:val="8B0000"/>
        </w:rPr>
        <w:t>❌  Reunión (cancelada): Sin detalle de causa registrado.</w:t>
      </w:r>
    </w:p>
    <w:p>
      <w:pPr>
        <w:pStyle w:val="Heading2"/>
      </w:pPr>
      <w:r>
        <w:t>3.3  Pendientes</w:t>
      </w:r>
    </w:p>
    <w:p>
      <w:pPr>
        <w:pStyle w:val="ListBullet"/>
      </w:pPr>
      <w:r>
        <w:rPr>
          <w:color w:val="B75409"/>
        </w:rPr>
        <w:t>⏳  Dar continuidad a caminamiento e identificar propietarios adicionales para proceso de socialización.</w:t>
      </w:r>
    </w:p>
    <w:p>
      <w:pPr>
        <w:pStyle w:val="ListBullet"/>
      </w:pPr>
      <w:r>
        <w:rPr>
          <w:color w:val="B75409"/>
        </w:rPr>
        <w:t>⏳  Iniciar proceso de anuencias o COPs conforme avance el reconocimiento.</w:t>
      </w:r>
    </w:p>
    <w:p>
      <w:r>
        <w:br w:type="page"/>
      </w:r>
    </w:p>
    <w:p>
      <w:pPr>
        <w:pStyle w:val="Heading1"/>
        <w:pBdr>
          <w:bottom w:val="single" w:sz="8" w:space="1" w:color="6B1831"/>
        </w:pBdr>
      </w:pPr>
      <w:r>
        <w:t>4.  Frente 2 — Tizayuca</w:t>
      </w:r>
    </w:p>
    <w:p>
      <w:pPr>
        <w:jc w:val="left"/>
      </w:pPr>
      <w:r>
        <w:rPr>
          <w:color w:val="555555"/>
        </w:rPr>
        <w:t>Hidalgo  |  Primer municipio del estado de Hidalgo en el trazo</w:t>
      </w:r>
    </w:p>
    <w:p>
      <w:pPr>
        <w:jc w:val="left"/>
      </w:pPr>
      <w:r>
        <w:rPr>
          <w:color w:val="555555"/>
        </w:rPr>
        <w:t>Operativo: Enrique Melesio Márquez Guerrero</w:t>
      </w:r>
    </w:p>
    <w:p>
      <w:pPr>
        <w:spacing w:after="0" w:before="0"/>
      </w:pPr>
    </w:p>
    <w:p>
      <w:pPr>
        <w:pStyle w:val="Heading2"/>
      </w:pPr>
      <w:r>
        <w:t>4.1  Actividades realizadas</w:t>
      </w:r>
    </w:p>
    <w:p>
      <w:pPr>
        <w:pStyle w:val="ListBullet"/>
      </w:pPr>
      <w:r>
        <w:rPr>
          <w:b/>
          <w:color w:val="1B5E20"/>
        </w:rPr>
        <w:t>✅  Caminamiento DDV — Tizayuca (5 mayo): Primera visita de reconocimiento al municipio. Inicio de identificación de afectaciones.</w:t>
      </w:r>
    </w:p>
    <w:p>
      <w:pPr>
        <w:pStyle w:val="ListBullet"/>
      </w:pPr>
      <w:r>
        <w:rPr>
          <w:b/>
          <w:color w:val="1B5E20"/>
        </w:rPr>
        <w:t>✅  Caminamiento DDV — Tizayuca (15 mayo): Segunda recorrida confirmatoria del trazo. Levantamiento de datos de campo.</w:t>
      </w:r>
    </w:p>
    <w:p>
      <w:pPr>
        <w:pStyle w:val="Heading2"/>
      </w:pPr>
      <w:r>
        <w:t>4.2  Análisis</w:t>
      </w:r>
    </w:p>
    <w:p>
      <w:pPr>
        <w:jc w:val="left"/>
      </w:pPr>
      <w:r>
        <w:t>Frente 2 es el más avanzado dentro del estado de Hidalgo con dos caminamientos consecutivos completados. El ritmo indica reconocimiento sistemático del DDV. Sin pendientes ni cancelaciones registradas.</w:t>
      </w:r>
    </w:p>
    <w:p>
      <w:r>
        <w:br w:type="page"/>
      </w:r>
    </w:p>
    <w:p>
      <w:pPr>
        <w:pStyle w:val="Heading1"/>
        <w:pBdr>
          <w:bottom w:val="single" w:sz="8" w:space="1" w:color="6B1831"/>
        </w:pBdr>
      </w:pPr>
      <w:r>
        <w:t>5.  Frente 3 — Mineral de la Reforma</w:t>
      </w:r>
    </w:p>
    <w:p>
      <w:pPr>
        <w:jc w:val="left"/>
      </w:pPr>
      <w:r>
        <w:rPr>
          <w:color w:val="555555"/>
        </w:rPr>
        <w:t>Hidalgo  |  Municipio contiguo a Pachuca de Soto (zona terminal del tren)</w:t>
      </w:r>
    </w:p>
    <w:p>
      <w:pPr>
        <w:jc w:val="left"/>
      </w:pPr>
      <w:r>
        <w:rPr>
          <w:color w:val="555555"/>
        </w:rPr>
        <w:t>Operativo: Enrique Melesio Márquez Guerrero</w:t>
      </w:r>
    </w:p>
    <w:p>
      <w:pPr>
        <w:spacing w:after="0" w:before="0"/>
      </w:pPr>
    </w:p>
    <w:p>
      <w:pPr>
        <w:pStyle w:val="Heading2"/>
      </w:pPr>
      <w:r>
        <w:t>5.1  Pendientes</w:t>
      </w:r>
    </w:p>
    <w:p>
      <w:pPr>
        <w:pStyle w:val="ListBullet"/>
      </w:pPr>
      <w:r>
        <w:rPr>
          <w:b/>
          <w:color w:val="B75409"/>
        </w:rPr>
        <w:t>⏳  Caminamiento de reconocimiento DDV (programado 14 mayo): Caminamiento de riesgo medio pendiente de ejecución. Sin evidencia registrada aún.</w:t>
      </w:r>
    </w:p>
    <w:p>
      <w:pPr>
        <w:jc w:val="left"/>
      </w:pPr>
      <w:r>
        <w:t>Este frente no tiene ninguna actividad completada. Mineral de la Reforma es municipio clave por su proximidad a la terminal en Pachuca. La ejecución del caminamiento es prioritaria para avanzar el frente terminal.</w:t>
      </w:r>
    </w:p>
    <w:p>
      <w:r>
        <w:br w:type="page"/>
      </w:r>
    </w:p>
    <w:p>
      <w:pPr>
        <w:pStyle w:val="Heading1"/>
        <w:pBdr>
          <w:bottom w:val="single" w:sz="8" w:space="1" w:color="6B1831"/>
        </w:pBdr>
      </w:pPr>
      <w:r>
        <w:t>6.  Frente 5 — Mineral de la Reforma (Reuniones)</w:t>
      </w:r>
    </w:p>
    <w:p>
      <w:pPr>
        <w:jc w:val="left"/>
      </w:pPr>
      <w:r>
        <w:rPr>
          <w:color w:val="555555"/>
        </w:rPr>
        <w:t>Hidalgo  |  Reuniones de coordinación interinstitucional</w:t>
      </w:r>
    </w:p>
    <w:p>
      <w:pPr>
        <w:jc w:val="left"/>
      </w:pPr>
      <w:r>
        <w:rPr>
          <w:color w:val="555555"/>
        </w:rPr>
        <w:t>Operativo: Enrique Melesio Márquez Guerrero</w:t>
      </w:r>
    </w:p>
    <w:p>
      <w:pPr>
        <w:spacing w:after="0" w:before="0"/>
      </w:pPr>
    </w:p>
    <w:p>
      <w:pPr>
        <w:pStyle w:val="Heading2"/>
      </w:pPr>
      <w:r>
        <w:t>6.1  Actividades realizadas</w:t>
      </w:r>
    </w:p>
    <w:p>
      <w:pPr>
        <w:pStyle w:val="ListBullet"/>
      </w:pPr>
      <w:r>
        <w:rPr>
          <w:b/>
          <w:color w:val="1B5E20"/>
        </w:rPr>
        <w:t>✅  Reunión institucional — Mineral de la Reforma (11 mayo): Reunión de bajo riesgo con interlocutores locales o municipales.</w:t>
      </w:r>
    </w:p>
    <w:p>
      <w:pPr>
        <w:pStyle w:val="Heading2"/>
      </w:pPr>
      <w:r>
        <w:t>6.2  Pendientes</w:t>
      </w:r>
    </w:p>
    <w:p>
      <w:pPr>
        <w:pStyle w:val="ListBullet"/>
      </w:pPr>
      <w:r>
        <w:rPr>
          <w:color w:val="B75409"/>
        </w:rPr>
        <w:t>⏳  Reunión (programada 9 mayo): Reunión de seguimiento pendiente. Riesgo bajo.</w:t>
      </w:r>
    </w:p>
    <w:p>
      <w:r>
        <w:br w:type="page"/>
      </w:r>
    </w:p>
    <w:p>
      <w:pPr>
        <w:pStyle w:val="Heading1"/>
        <w:pBdr>
          <w:bottom w:val="single" w:sz="8" w:space="1" w:color="6B1831"/>
        </w:pBdr>
      </w:pPr>
      <w:r>
        <w:t>7.  Actividades Sin Frente Asignado</w:t>
      </w:r>
    </w:p>
    <w:p>
      <w:pPr>
        <w:jc w:val="left"/>
      </w:pPr>
      <w:r>
        <w:rPr>
          <w:color w:val="B75409"/>
        </w:rPr>
        <w:t>Se registran 4 actividades (2 completadas, 2 pendientes) sin frente ni municipio asignado en el sistema SAO. Esto representa un riesgo de trazabilidad ya que no pueden vincularse a un tramo específico del proyecto.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2592"/>
            <w:shd w:val="clear" w:color="auto" w:fill="6B1831"/>
          </w:tcPr>
          <w:p>
            <w:pPr>
              <w:jc w:val="center"/>
            </w:pPr>
            <w:r>
              <w:rPr>
                <w:b/>
                <w:color w:val="FFFFFF"/>
                <w:sz w:val="19"/>
              </w:rPr>
              <w:t>Tipo</w:t>
            </w:r>
          </w:p>
        </w:tc>
        <w:tc>
          <w:tcPr>
            <w:tcW w:type="dxa" w:w="2160"/>
            <w:shd w:val="clear" w:color="auto" w:fill="6B1831"/>
          </w:tcPr>
          <w:p>
            <w:pPr>
              <w:jc w:val="center"/>
            </w:pPr>
            <w:r>
              <w:rPr>
                <w:b/>
                <w:color w:val="FFFFFF"/>
                <w:sz w:val="19"/>
              </w:rPr>
              <w:t>Estado</w:t>
            </w:r>
          </w:p>
        </w:tc>
        <w:tc>
          <w:tcPr>
            <w:tcW w:type="dxa" w:w="6480"/>
            <w:shd w:val="clear" w:color="auto" w:fill="6B1831"/>
          </w:tcPr>
          <w:p>
            <w:pPr>
              <w:jc w:val="center"/>
            </w:pPr>
            <w:r>
              <w:rPr>
                <w:b/>
                <w:color w:val="FFFFFF"/>
                <w:sz w:val="19"/>
              </w:rPr>
              <w:t>Descripción disponible</w:t>
            </w:r>
          </w:p>
        </w:tc>
      </w:tr>
      <w:tr>
        <w:tc>
          <w:tcPr>
            <w:tcW w:type="dxa" w:w="2592"/>
          </w:tcPr>
          <w:p>
            <w:pPr>
              <w:jc w:val="center"/>
            </w:pPr>
            <w:r>
              <w:rPr>
                <w:sz w:val="19"/>
              </w:rPr>
              <w:t>Socialización</w:t>
            </w:r>
          </w:p>
        </w:tc>
        <w:tc>
          <w:tcPr>
            <w:tcW w:type="dxa" w:w="2160"/>
          </w:tcPr>
          <w:p>
            <w:pPr>
              <w:jc w:val="center"/>
            </w:pPr>
            <w:r>
              <w:rPr>
                <w:sz w:val="19"/>
              </w:rPr>
              <w:t>✅ Completada</w:t>
            </w:r>
          </w:p>
        </w:tc>
        <w:tc>
          <w:tcPr>
            <w:tcW w:type="dxa" w:w="6480"/>
          </w:tcPr>
          <w:p>
            <w:pPr>
              <w:jc w:val="center"/>
            </w:pPr>
            <w:r>
              <w:rPr>
                <w:sz w:val="19"/>
              </w:rPr>
              <w:t>Sin detalle de municipio o propietario</w:t>
            </w:r>
          </w:p>
        </w:tc>
      </w:tr>
      <w:tr>
        <w:tc>
          <w:tcPr>
            <w:tcW w:type="dxa" w:w="2592"/>
          </w:tcPr>
          <w:p>
            <w:pPr>
              <w:jc w:val="center"/>
            </w:pPr>
            <w:r>
              <w:rPr>
                <w:sz w:val="19"/>
              </w:rPr>
              <w:t>Caminamiento</w:t>
            </w:r>
          </w:p>
        </w:tc>
        <w:tc>
          <w:tcPr>
            <w:tcW w:type="dxa" w:w="2160"/>
          </w:tcPr>
          <w:p>
            <w:pPr>
              <w:jc w:val="center"/>
            </w:pPr>
            <w:r>
              <w:rPr>
                <w:sz w:val="19"/>
              </w:rPr>
              <w:t>✅ Completado</w:t>
            </w:r>
          </w:p>
        </w:tc>
        <w:tc>
          <w:tcPr>
            <w:tcW w:type="dxa" w:w="6480"/>
          </w:tcPr>
          <w:p>
            <w:pPr>
              <w:jc w:val="center"/>
            </w:pPr>
            <w:r>
              <w:rPr>
                <w:sz w:val="19"/>
              </w:rPr>
              <w:t>Sin detalle de ubicación</w:t>
            </w:r>
          </w:p>
        </w:tc>
      </w:tr>
      <w:tr>
        <w:tc>
          <w:tcPr>
            <w:tcW w:type="dxa" w:w="2592"/>
          </w:tcPr>
          <w:p>
            <w:pPr>
              <w:jc w:val="center"/>
            </w:pPr>
            <w:r>
              <w:rPr>
                <w:sz w:val="19"/>
              </w:rPr>
              <w:t>Socialización</w:t>
            </w:r>
          </w:p>
        </w:tc>
        <w:tc>
          <w:tcPr>
            <w:tcW w:type="dxa" w:w="2160"/>
          </w:tcPr>
          <w:p>
            <w:pPr>
              <w:jc w:val="center"/>
            </w:pPr>
            <w:r>
              <w:rPr>
                <w:sz w:val="19"/>
              </w:rPr>
              <w:t>⏳ Pendiente</w:t>
            </w:r>
          </w:p>
        </w:tc>
        <w:tc>
          <w:tcPr>
            <w:tcW w:type="dxa" w:w="6480"/>
          </w:tcPr>
          <w:p>
            <w:pPr>
              <w:jc w:val="center"/>
            </w:pPr>
            <w:r>
              <w:rPr>
                <w:sz w:val="19"/>
              </w:rPr>
              <w:t>Atención a inquietudes — sin ubicación</w:t>
            </w:r>
          </w:p>
        </w:tc>
      </w:tr>
      <w:tr>
        <w:tc>
          <w:tcPr>
            <w:tcW w:type="dxa" w:w="2592"/>
          </w:tcPr>
          <w:p>
            <w:pPr>
              <w:jc w:val="center"/>
            </w:pPr>
            <w:r>
              <w:rPr>
                <w:sz w:val="19"/>
              </w:rPr>
              <w:t>Caminamiento</w:t>
            </w:r>
          </w:p>
        </w:tc>
        <w:tc>
          <w:tcPr>
            <w:tcW w:type="dxa" w:w="2160"/>
          </w:tcPr>
          <w:p>
            <w:pPr>
              <w:jc w:val="center"/>
            </w:pPr>
            <w:r>
              <w:rPr>
                <w:sz w:val="19"/>
              </w:rPr>
              <w:t>⏳ Pendiente</w:t>
            </w:r>
          </w:p>
        </w:tc>
        <w:tc>
          <w:tcPr>
            <w:tcW w:type="dxa" w:w="6480"/>
          </w:tcPr>
          <w:p>
            <w:pPr>
              <w:jc w:val="center"/>
            </w:pPr>
            <w:r>
              <w:rPr>
                <w:sz w:val="19"/>
              </w:rPr>
              <w:t>Seguimiento técnico — sin ubicación</w:t>
            </w:r>
          </w:p>
        </w:tc>
      </w:tr>
    </w:tbl>
    <w:p>
      <w:pPr>
        <w:pStyle w:val="ListBullet"/>
      </w:pPr>
      <w:r>
        <w:rPr>
          <w:b/>
          <w:color w:val="B75409"/>
        </w:rPr>
        <w:t>⚠  Acción requerida: asignar frente y municipio a estas 4 actividades en el sistema SAO.</w:t>
      </w:r>
    </w:p>
    <w:p>
      <w:r>
        <w:br w:type="page"/>
      </w:r>
    </w:p>
    <w:p>
      <w:pPr>
        <w:pStyle w:val="Heading1"/>
        <w:pBdr>
          <w:bottom w:val="single" w:sz="8" w:space="1" w:color="6B1831"/>
        </w:pBdr>
      </w:pPr>
      <w:r>
        <w:t>8.  Riesgos y Observaciones</w:t>
      </w:r>
    </w:p>
    <w:p>
      <w:pPr>
        <w:jc w:val="left"/>
      </w:pPr>
      <w:r>
        <w:rPr>
          <w:color w:val="1B5E20"/>
        </w:rPr>
        <w:t>No se registran observaciones de calidad en el sistema SAO para el proyecto TAP al corte del período.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1440"/>
            <w:shd w:val="clear" w:color="auto" w:fill="6B1831"/>
          </w:tcPr>
          <w:p>
            <w:pPr>
              <w:jc w:val="center"/>
            </w:pPr>
            <w:r>
              <w:rPr>
                <w:b/>
                <w:color w:val="FFFFFF"/>
                <w:sz w:val="19"/>
              </w:rPr>
              <w:t>Nivel</w:t>
            </w:r>
          </w:p>
        </w:tc>
        <w:tc>
          <w:tcPr>
            <w:tcW w:type="dxa" w:w="6480"/>
            <w:shd w:val="clear" w:color="auto" w:fill="6B1831"/>
          </w:tcPr>
          <w:p>
            <w:pPr>
              <w:jc w:val="center"/>
            </w:pPr>
            <w:r>
              <w:rPr>
                <w:b/>
                <w:color w:val="FFFFFF"/>
                <w:sz w:val="19"/>
              </w:rPr>
              <w:t>Descripción</w:t>
            </w:r>
          </w:p>
        </w:tc>
        <w:tc>
          <w:tcPr>
            <w:tcW w:type="dxa" w:w="3600"/>
            <w:shd w:val="clear" w:color="auto" w:fill="6B1831"/>
          </w:tcPr>
          <w:p>
            <w:pPr>
              <w:jc w:val="center"/>
            </w:pPr>
            <w:r>
              <w:rPr>
                <w:b/>
                <w:color w:val="FFFFFF"/>
                <w:sz w:val="19"/>
              </w:rPr>
              <w:t>Acción requerida</w:t>
            </w:r>
          </w:p>
        </w:tc>
      </w:tr>
      <w:tr>
        <w:tc>
          <w:tcPr>
            <w:tcW w:type="dxa" w:w="1440"/>
          </w:tcPr>
          <w:p>
            <w:pPr>
              <w:jc w:val="center"/>
            </w:pPr>
            <w:r>
              <w:rPr>
                <w:sz w:val="19"/>
              </w:rPr>
              <w:t>🟡 MEDIO</w:t>
            </w:r>
          </w:p>
        </w:tc>
        <w:tc>
          <w:tcPr>
            <w:tcW w:type="dxa" w:w="6480"/>
          </w:tcPr>
          <w:p>
            <w:pPr>
              <w:jc w:val="center"/>
            </w:pPr>
            <w:r>
              <w:rPr>
                <w:sz w:val="19"/>
              </w:rPr>
              <w:t>4 actividades sin frente asignado — trazabilidad incompleta</w:t>
            </w:r>
          </w:p>
        </w:tc>
        <w:tc>
          <w:tcPr>
            <w:tcW w:type="dxa" w:w="3600"/>
          </w:tcPr>
          <w:p>
            <w:pPr>
              <w:jc w:val="center"/>
            </w:pPr>
            <w:r>
              <w:rPr>
                <w:sz w:val="19"/>
              </w:rPr>
              <w:t>Completar campo frente y municipio en SAO</w:t>
            </w:r>
          </w:p>
        </w:tc>
      </w:tr>
      <w:tr>
        <w:tc>
          <w:tcPr>
            <w:tcW w:type="dxa" w:w="1440"/>
          </w:tcPr>
          <w:p>
            <w:pPr>
              <w:jc w:val="center"/>
            </w:pPr>
            <w:r>
              <w:rPr>
                <w:sz w:val="19"/>
              </w:rPr>
              <w:t>🟡 MEDIO</w:t>
            </w:r>
          </w:p>
        </w:tc>
        <w:tc>
          <w:tcPr>
            <w:tcW w:type="dxa" w:w="6480"/>
          </w:tcPr>
          <w:p>
            <w:pPr>
              <w:jc w:val="center"/>
            </w:pPr>
            <w:r>
              <w:rPr>
                <w:sz w:val="19"/>
              </w:rPr>
              <w:t>Frente 3 (Mineral de la Reforma) sin actividades completadas</w:t>
            </w:r>
          </w:p>
        </w:tc>
        <w:tc>
          <w:tcPr>
            <w:tcW w:type="dxa" w:w="3600"/>
          </w:tcPr>
          <w:p>
            <w:pPr>
              <w:jc w:val="center"/>
            </w:pPr>
            <w:r>
              <w:rPr>
                <w:sz w:val="19"/>
              </w:rPr>
              <w:t>Ejecutar caminamiento programado</w:t>
            </w:r>
          </w:p>
        </w:tc>
      </w:tr>
      <w:tr>
        <w:tc>
          <w:tcPr>
            <w:tcW w:type="dxa" w:w="1440"/>
          </w:tcPr>
          <w:p>
            <w:pPr>
              <w:jc w:val="center"/>
            </w:pPr>
            <w:r>
              <w:rPr>
                <w:sz w:val="19"/>
              </w:rPr>
              <w:t>🟡 MEDIO</w:t>
            </w:r>
          </w:p>
        </w:tc>
        <w:tc>
          <w:tcPr>
            <w:tcW w:type="dxa" w:w="6480"/>
          </w:tcPr>
          <w:p>
            <w:pPr>
              <w:jc w:val="center"/>
            </w:pPr>
            <w:r>
              <w:rPr>
                <w:sz w:val="19"/>
              </w:rPr>
              <w:t>2 negociaciones de COP canceladas en F1</w:t>
            </w:r>
          </w:p>
        </w:tc>
        <w:tc>
          <w:tcPr>
            <w:tcW w:type="dxa" w:w="3600"/>
          </w:tcPr>
          <w:p>
            <w:pPr>
              <w:jc w:val="center"/>
            </w:pPr>
            <w:r>
              <w:rPr>
                <w:sz w:val="19"/>
              </w:rPr>
              <w:t>Evaluar si se requiere re-programar</w:t>
            </w:r>
          </w:p>
        </w:tc>
      </w:tr>
      <w:tr>
        <w:tc>
          <w:tcPr>
            <w:tcW w:type="dxa" w:w="1440"/>
          </w:tcPr>
          <w:p>
            <w:pPr>
              <w:jc w:val="center"/>
            </w:pPr>
            <w:r>
              <w:rPr>
                <w:sz w:val="19"/>
              </w:rPr>
              <w:t>🟠 INFO</w:t>
            </w:r>
          </w:p>
        </w:tc>
        <w:tc>
          <w:tcPr>
            <w:tcW w:type="dxa" w:w="6480"/>
          </w:tcPr>
          <w:p>
            <w:pPr>
              <w:jc w:val="center"/>
            </w:pPr>
            <w:r>
              <w:rPr>
                <w:sz w:val="19"/>
              </w:rPr>
              <w:t>Operativo Admin User registrado en campo — no es operativo de campo</w:t>
            </w:r>
          </w:p>
        </w:tc>
        <w:tc>
          <w:tcPr>
            <w:tcW w:type="dxa" w:w="3600"/>
          </w:tcPr>
          <w:p>
            <w:pPr>
              <w:jc w:val="center"/>
            </w:pPr>
            <w:r>
              <w:rPr>
                <w:sz w:val="19"/>
              </w:rPr>
              <w:t>Revisar asignación de actividades</w:t>
            </w:r>
          </w:p>
        </w:tc>
      </w:tr>
    </w:tbl>
    <w:p>
      <w:r>
        <w:br w:type="page"/>
      </w:r>
    </w:p>
    <w:p>
      <w:pPr>
        <w:pStyle w:val="Heading1"/>
        <w:pBdr>
          <w:bottom w:val="single" w:sz="8" w:space="1" w:color="6B1831"/>
        </w:pBdr>
      </w:pPr>
      <w:r>
        <w:t>9.  Municipios Participantes</w:t>
      </w:r>
    </w:p>
    <w:tbl>
      <w:tblPr>
        <w:tblStyle w:val="TableGrid"/>
        <w:tblW w:type="auto" w:w="0"/>
        <w:tblLook w:firstColumn="1" w:firstRow="1" w:lastColumn="0" w:lastRow="0" w:noHBand="0" w:noVBand="1" w:val="04A0"/>
      </w:tblPr>
      <w:tblGrid>
        <w:gridCol w:w="2282"/>
        <w:gridCol w:w="2282"/>
        <w:gridCol w:w="2282"/>
        <w:gridCol w:w="2282"/>
      </w:tblGrid>
      <w:tr>
        <w:tc>
          <w:tcPr>
            <w:tcW w:type="dxa" w:w="2880"/>
            <w:shd w:val="clear" w:color="auto" w:fill="6B1831"/>
          </w:tcPr>
          <w:p>
            <w:pPr>
              <w:jc w:val="center"/>
            </w:pPr>
            <w:r>
              <w:rPr>
                <w:b/>
                <w:color w:val="FFFFFF"/>
                <w:sz w:val="19"/>
              </w:rPr>
              <w:t>Municipio</w:t>
            </w:r>
          </w:p>
        </w:tc>
        <w:tc>
          <w:tcPr>
            <w:tcW w:type="dxa" w:w="2880"/>
            <w:shd w:val="clear" w:color="auto" w:fill="6B1831"/>
          </w:tcPr>
          <w:p>
            <w:pPr>
              <w:jc w:val="center"/>
            </w:pPr>
            <w:r>
              <w:rPr>
                <w:b/>
                <w:color w:val="FFFFFF"/>
                <w:sz w:val="19"/>
              </w:rPr>
              <w:t>Estado</w:t>
            </w:r>
          </w:p>
        </w:tc>
        <w:tc>
          <w:tcPr>
            <w:tcW w:type="dxa" w:w="1440"/>
            <w:shd w:val="clear" w:color="auto" w:fill="6B1831"/>
          </w:tcPr>
          <w:p>
            <w:pPr>
              <w:jc w:val="center"/>
            </w:pPr>
            <w:r>
              <w:rPr>
                <w:b/>
                <w:color w:val="FFFFFF"/>
                <w:sz w:val="19"/>
              </w:rPr>
              <w:t>Frente</w:t>
            </w:r>
          </w:p>
        </w:tc>
        <w:tc>
          <w:tcPr>
            <w:tcW w:type="dxa" w:w="4032"/>
            <w:shd w:val="clear" w:color="auto" w:fill="6B1831"/>
          </w:tcPr>
          <w:p>
            <w:pPr>
              <w:jc w:val="center"/>
            </w:pPr>
            <w:r>
              <w:rPr>
                <w:b/>
                <w:color w:val="FFFFFF"/>
                <w:sz w:val="19"/>
              </w:rPr>
              <w:t>Avance</w:t>
            </w:r>
          </w:p>
        </w:tc>
      </w:tr>
      <w:tr>
        <w:tc>
          <w:tcPr>
            <w:tcW w:type="dxa" w:w="2880"/>
          </w:tcPr>
          <w:p>
            <w:pPr>
              <w:jc w:val="center"/>
            </w:pPr>
            <w:r>
              <w:rPr>
                <w:sz w:val="19"/>
              </w:rPr>
              <w:t>Nextlalpan</w:t>
            </w:r>
          </w:p>
        </w:tc>
        <w:tc>
          <w:tcPr>
            <w:tcW w:type="dxa" w:w="2880"/>
          </w:tcPr>
          <w:p>
            <w:pPr>
              <w:jc w:val="center"/>
            </w:pPr>
            <w:r>
              <w:rPr>
                <w:sz w:val="19"/>
              </w:rPr>
              <w:t>Estado de México</w:t>
            </w:r>
          </w:p>
        </w:tc>
        <w:tc>
          <w:tcPr>
            <w:tcW w:type="dxa" w:w="1440"/>
          </w:tcPr>
          <w:p>
            <w:pPr>
              <w:jc w:val="center"/>
            </w:pPr>
            <w:r>
              <w:rPr>
                <w:sz w:val="19"/>
              </w:rPr>
              <w:t>F1</w:t>
            </w:r>
          </w:p>
        </w:tc>
        <w:tc>
          <w:tcPr>
            <w:tcW w:type="dxa" w:w="4032"/>
          </w:tcPr>
          <w:p>
            <w:pPr>
              <w:jc w:val="center"/>
            </w:pPr>
            <w:r>
              <w:rPr>
                <w:sz w:val="19"/>
              </w:rPr>
              <w:t>1 caminamiento completado</w:t>
            </w:r>
          </w:p>
        </w:tc>
      </w:tr>
      <w:tr>
        <w:tc>
          <w:tcPr>
            <w:tcW w:type="dxa" w:w="2880"/>
          </w:tcPr>
          <w:p>
            <w:pPr>
              <w:jc w:val="center"/>
            </w:pPr>
            <w:r>
              <w:rPr>
                <w:sz w:val="19"/>
              </w:rPr>
              <w:t>Tecámac</w:t>
            </w:r>
          </w:p>
        </w:tc>
        <w:tc>
          <w:tcPr>
            <w:tcW w:type="dxa" w:w="2880"/>
          </w:tcPr>
          <w:p>
            <w:pPr>
              <w:jc w:val="center"/>
            </w:pPr>
            <w:r>
              <w:rPr>
                <w:sz w:val="19"/>
              </w:rPr>
              <w:t>Estado de México</w:t>
            </w:r>
          </w:p>
        </w:tc>
        <w:tc>
          <w:tcPr>
            <w:tcW w:type="dxa" w:w="1440"/>
          </w:tcPr>
          <w:p>
            <w:pPr>
              <w:jc w:val="center"/>
            </w:pPr>
            <w:r>
              <w:rPr>
                <w:sz w:val="19"/>
              </w:rPr>
              <w:t>F1</w:t>
            </w:r>
          </w:p>
        </w:tc>
        <w:tc>
          <w:tcPr>
            <w:tcW w:type="dxa" w:w="4032"/>
          </w:tcPr>
          <w:p>
            <w:pPr>
              <w:jc w:val="center"/>
            </w:pPr>
            <w:r>
              <w:rPr>
                <w:sz w:val="19"/>
              </w:rPr>
              <w:t>2 actividades completadas</w:t>
            </w:r>
          </w:p>
        </w:tc>
      </w:tr>
      <w:tr>
        <w:tc>
          <w:tcPr>
            <w:tcW w:type="dxa" w:w="2880"/>
          </w:tcPr>
          <w:p>
            <w:pPr>
              <w:jc w:val="center"/>
            </w:pPr>
            <w:r>
              <w:rPr>
                <w:sz w:val="19"/>
              </w:rPr>
              <w:t>Tizayuca</w:t>
            </w:r>
          </w:p>
        </w:tc>
        <w:tc>
          <w:tcPr>
            <w:tcW w:type="dxa" w:w="2880"/>
          </w:tcPr>
          <w:p>
            <w:pPr>
              <w:jc w:val="center"/>
            </w:pPr>
            <w:r>
              <w:rPr>
                <w:sz w:val="19"/>
              </w:rPr>
              <w:t>Hidalgo</w:t>
            </w:r>
          </w:p>
        </w:tc>
        <w:tc>
          <w:tcPr>
            <w:tcW w:type="dxa" w:w="1440"/>
          </w:tcPr>
          <w:p>
            <w:pPr>
              <w:jc w:val="center"/>
            </w:pPr>
            <w:r>
              <w:rPr>
                <w:sz w:val="19"/>
              </w:rPr>
              <w:t>F2</w:t>
            </w:r>
          </w:p>
        </w:tc>
        <w:tc>
          <w:tcPr>
            <w:tcW w:type="dxa" w:w="4032"/>
          </w:tcPr>
          <w:p>
            <w:pPr>
              <w:jc w:val="center"/>
            </w:pPr>
            <w:r>
              <w:rPr>
                <w:sz w:val="19"/>
              </w:rPr>
              <w:t>2 caminamientos completados</w:t>
            </w:r>
          </w:p>
        </w:tc>
      </w:tr>
      <w:tr>
        <w:tc>
          <w:tcPr>
            <w:tcW w:type="dxa" w:w="2880"/>
          </w:tcPr>
          <w:p>
            <w:pPr>
              <w:jc w:val="center"/>
            </w:pPr>
            <w:r>
              <w:rPr>
                <w:sz w:val="19"/>
              </w:rPr>
              <w:t>Mineral de la Reforma</w:t>
            </w:r>
          </w:p>
        </w:tc>
        <w:tc>
          <w:tcPr>
            <w:tcW w:type="dxa" w:w="2880"/>
          </w:tcPr>
          <w:p>
            <w:pPr>
              <w:jc w:val="center"/>
            </w:pPr>
            <w:r>
              <w:rPr>
                <w:sz w:val="19"/>
              </w:rPr>
              <w:t>Hidalgo</w:t>
            </w:r>
          </w:p>
        </w:tc>
        <w:tc>
          <w:tcPr>
            <w:tcW w:type="dxa" w:w="1440"/>
          </w:tcPr>
          <w:p>
            <w:pPr>
              <w:jc w:val="center"/>
            </w:pPr>
            <w:r>
              <w:rPr>
                <w:sz w:val="19"/>
              </w:rPr>
              <w:t>F3, F5</w:t>
            </w:r>
          </w:p>
        </w:tc>
        <w:tc>
          <w:tcPr>
            <w:tcW w:type="dxa" w:w="4032"/>
          </w:tcPr>
          <w:p>
            <w:pPr>
              <w:jc w:val="center"/>
            </w:pPr>
            <w:r>
              <w:rPr>
                <w:sz w:val="19"/>
              </w:rPr>
              <w:t>1 reunión completada · 1 caminamiento pendiente</w:t>
            </w:r>
          </w:p>
        </w:tc>
      </w:tr>
    </w:tbl>
    <w:p>
      <w:pPr>
        <w:spacing w:after="0" w:before="0"/>
      </w:pPr>
    </w:p>
    <w:p>
      <w:pPr>
        <w:spacing w:after="0" w:before="0"/>
      </w:pPr>
    </w:p>
    <w:p>
      <w:pPr>
        <w:jc w:val="left"/>
      </w:pPr>
      <w:r>
        <w:rPr>
          <w:color w:val="555555"/>
        </w:rPr>
        <w:t>────────────────────────────────────────────────────────────────────────</w:t>
      </w:r>
    </w:p>
    <w:p>
      <w:pPr>
        <w:jc w:val="left"/>
      </w:pPr>
      <w:r>
        <w:rPr>
          <w:color w:val="555555"/>
          <w:sz w:val="18"/>
        </w:rPr>
        <w:t>Documento generado por el sistema SAO — Unidad de Adquisición de Derechos de Vía — ATTRAPI</w:t>
      </w:r>
    </w:p>
    <w:p>
      <w:pPr>
        <w:jc w:val="left"/>
      </w:pPr>
      <w:r>
        <w:rPr>
          <w:color w:val="555555"/>
          <w:sz w:val="18"/>
        </w:rPr>
        <w:t>Fecha: 20/05/2026  |  Referencia: SAO-TAP-RPT-2026-0520</w:t>
      </w:r>
    </w:p>
    <w:sectPr w:rsidR="00FC693F" w:rsidRPr="0006063C" w:rsidSect="00034616">
      <w:headerReference w:type="default" r:id="rId9"/>
      <w:footerReference w:type="default" r:id="rId10"/>
      <w:pgSz w:w="12240" w:h="15840"/>
      <w:pgMar w:top="1440" w:right="1411" w:bottom="1440" w:left="169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4" w:color="6B1831"/>
      </w:pBdr>
    </w:pPr>
    <w:r>
      <w:rPr>
        <w:rFonts w:ascii="Calibri" w:hAnsi="Calibri"/>
        <w:color w:val="555555"/>
        <w:sz w:val="16"/>
      </w:rPr>
      <w:t xml:space="preserve">SAO-TAP-RPT-2026-0520  |  Corte 20/05/2026  |  Pág. </w:t>
    </w:r>
    <w:r>
      <w:rPr>
        <w:rFonts w:ascii="Calibri" w:hAnsi="Calibri"/>
        <w:color w:val="555555"/>
        <w:sz w:val="16"/>
      </w:rPr>
      <w:fldChar w:fldCharType="begin"/>
    </w:r>
    <w:r>
      <w:rPr>
        <w:rFonts w:ascii="Calibri" w:hAnsi="Calibri"/>
        <w:color w:val="555555"/>
        <w:sz w:val="16"/>
      </w:rPr>
      <w:instrText xml:space="preserve">PAGE</w:instrText>
    </w:r>
    <w:r>
      <w:rPr>
        <w:rFonts w:ascii="Calibri" w:hAnsi="Calibri"/>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6B1831"/>
      </w:pBd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104.png"/>
                  <pic:cNvPicPr/>
                </pic:nvPicPr>
                <pic:blipFill>
                  <a:blip r:embed="rId1"/>
                  <a:stretch>
                    <a:fillRect/>
                  </a:stretch>
                </pic:blipFill>
                <pic:spPr>
                  <a:xfrm>
                    <a:off x="0" y="0"/>
                    <a:ext cx="5303520" cy="5303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6B183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9B2C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32"/>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