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Calibri" w:hAnsi="Calibri"/>
          <w:b/>
          <w:color w:val="6B1831"/>
          <w:sz w:val="44"/>
        </w:rPr>
        <w:t>REPORTE DE AVANCES</w:t>
      </w:r>
    </w:p>
    <w:p>
      <w:pPr>
        <w:jc w:val="center"/>
      </w:pPr>
      <w:r>
        <w:rPr>
          <w:rFonts w:ascii="Calibri" w:hAnsi="Calibri"/>
          <w:b/>
          <w:color w:val="9B2C4B"/>
          <w:sz w:val="30"/>
        </w:rPr>
        <w:t>Proyecto TQI -- Tren Queretaro-Irapuato</w:t>
      </w:r>
    </w:p>
    <w:p>
      <w:pPr>
        <w:spacing w:after="0" w:before="0"/>
      </w:pPr>
    </w:p>
    <w:p>
      <w:pPr>
        <w:jc w:val="center"/>
      </w:pPr>
      <w:r>
        <w:rPr>
          <w:rFonts w:ascii="Calibri" w:hAnsi="Calibri"/>
          <w:color w:val="555555"/>
          <w:sz w:val="22"/>
        </w:rPr>
        <w:t>Corte informativo al 20 de mayo de 2026</w:t>
      </w:r>
    </w:p>
    <w:p>
      <w:pPr>
        <w:spacing w:after="0" w:before="0"/>
      </w:pPr>
    </w:p>
    <w:p>
      <w:pPr>
        <w:spacing w:after="0" w:before="0"/>
      </w:pPr>
    </w:p>
    <w:tbl>
      <w:tblPr>
        <w:tblStyle w:val="TableGrid"/>
        <w:tblW w:type="auto" w:w="0"/>
        <w:tblLook w:firstColumn="1" w:firstRow="1" w:lastColumn="0" w:lastRow="0" w:noHBand="0" w:noVBand="1" w:val="04A0"/>
      </w:tblPr>
      <w:tblGrid>
        <w:gridCol w:w="4565"/>
        <w:gridCol w:w="4565"/>
      </w:tblGrid>
      <w:tr>
        <w:tc>
          <w:tcPr>
            <w:tcW w:type="dxa" w:w="3168"/>
          </w:tcPr>
          <w:p>
            <w:r>
              <w:rPr>
                <w:b/>
                <w:color w:val="6B1831"/>
                <w:sz w:val="20"/>
              </w:rPr>
              <w:t>Referencia</w:t>
            </w:r>
          </w:p>
        </w:tc>
        <w:tc>
          <w:tcPr>
            <w:tcW w:type="dxa" w:w="6480"/>
          </w:tcPr>
          <w:p>
            <w:r>
              <w:rPr>
                <w:sz w:val="20"/>
              </w:rPr>
              <w:t>SAO-TQI-RPT-2026-0520</w:t>
            </w:r>
          </w:p>
        </w:tc>
      </w:tr>
      <w:tr>
        <w:tc>
          <w:tcPr>
            <w:tcW w:type="dxa" w:w="3168"/>
          </w:tcPr>
          <w:p>
            <w:r>
              <w:rPr>
                <w:b/>
                <w:color w:val="6B1831"/>
                <w:sz w:val="20"/>
              </w:rPr>
              <w:t>Proyecto</w:t>
            </w:r>
          </w:p>
        </w:tc>
        <w:tc>
          <w:tcPr>
            <w:tcW w:type="dxa" w:w="6480"/>
          </w:tcPr>
          <w:p>
            <w:r>
              <w:rPr>
                <w:sz w:val="20"/>
              </w:rPr>
              <w:t>TQI -- Tren Queretaro-Irapuato</w:t>
            </w:r>
          </w:p>
        </w:tc>
      </w:tr>
      <w:tr>
        <w:tc>
          <w:tcPr>
            <w:tcW w:type="dxa" w:w="3168"/>
          </w:tcPr>
          <w:p>
            <w:r>
              <w:rPr>
                <w:b/>
                <w:color w:val="6B1831"/>
                <w:sz w:val="20"/>
              </w:rPr>
              <w:t>Fecha de corte</w:t>
            </w:r>
          </w:p>
        </w:tc>
        <w:tc>
          <w:tcPr>
            <w:tcW w:type="dxa" w:w="6480"/>
          </w:tcPr>
          <w:p>
            <w:r>
              <w:rPr>
                <w:sz w:val="20"/>
              </w:rPr>
              <w:t>20 de mayo de 2026</w:t>
            </w:r>
          </w:p>
        </w:tc>
      </w:tr>
      <w:tr>
        <w:tc>
          <w:tcPr>
            <w:tcW w:type="dxa" w:w="3168"/>
          </w:tcPr>
          <w:p>
            <w:r>
              <w:rPr>
                <w:b/>
                <w:color w:val="6B1831"/>
                <w:sz w:val="20"/>
              </w:rPr>
              <w:t>Elaborado por</w:t>
            </w:r>
          </w:p>
        </w:tc>
        <w:tc>
          <w:tcPr>
            <w:tcW w:type="dxa" w:w="6480"/>
          </w:tcPr>
          <w:p>
            <w:r>
              <w:rPr>
                <w:sz w:val="20"/>
              </w:rPr>
              <w:t>Unidad de Adquisicion de Derechos de Via -- ATTRAPI</w:t>
            </w:r>
          </w:p>
        </w:tc>
      </w:tr>
      <w:tr>
        <w:tc>
          <w:tcPr>
            <w:tcW w:type="dxa" w:w="3168"/>
          </w:tcPr>
          <w:p>
            <w:r>
              <w:rPr>
                <w:b/>
                <w:color w:val="6B1831"/>
                <w:sz w:val="20"/>
              </w:rPr>
              <w:t>Clasificacion</w:t>
            </w:r>
          </w:p>
        </w:tc>
        <w:tc>
          <w:tcPr>
            <w:tcW w:type="dxa" w:w="6480"/>
          </w:tcPr>
          <w:p>
            <w:r>
              <w:rPr>
                <w:sz w:val="20"/>
              </w:rPr>
              <w:t>Informe interno -- Uso restringido</w:t>
            </w:r>
          </w:p>
        </w:tc>
      </w:tr>
      <w:tr>
        <w:tc>
          <w:tcPr>
            <w:tcW w:type="dxa" w:w="3168"/>
          </w:tcPr>
          <w:p>
            <w:r>
              <w:rPr>
                <w:b/>
                <w:color w:val="6B1831"/>
                <w:sz w:val="20"/>
              </w:rPr>
              <w:t>Estados</w:t>
            </w:r>
          </w:p>
        </w:tc>
        <w:tc>
          <w:tcPr>
            <w:tcW w:type="dxa" w:w="6480"/>
          </w:tcPr>
          <w:p>
            <w:r>
              <w:rPr>
                <w:sz w:val="20"/>
              </w:rPr>
              <w:t>Guanajuato</w:t>
            </w:r>
          </w:p>
        </w:tc>
      </w:tr>
    </w:tbl>
    <w:p>
      <w:pPr>
        <w:spacing w:after="0" w:before="0"/>
      </w:pPr>
    </w:p>
    <w:p>
      <w:pPr>
        <w:spacing w:after="0" w:before="0"/>
      </w:pPr>
    </w:p>
    <w:p>
      <w:pPr>
        <w:jc w:val="center"/>
      </w:pPr>
      <w:r>
        <w:rPr>
          <w:i/>
          <w:color w:val="555555"/>
          <w:sz w:val="20"/>
        </w:rPr>
        <w:t>Ciudad de Mexico, 20 de mayo de 2026</w:t>
      </w:r>
    </w:p>
    <w:p>
      <w:r>
        <w:br w:type="page"/>
      </w:r>
    </w:p>
    <w:p>
      <w:pPr>
        <w:pStyle w:val="Heading1"/>
        <w:pBdr>
          <w:bottom w:val="single" w:sz="8" w:space="1" w:color="6B1831"/>
        </w:pBdr>
      </w:pPr>
      <w:r>
        <w:t>1.  Resumen Ejecutivo</w:t>
      </w:r>
    </w:p>
    <w:p>
      <w:pPr/>
      <w:r>
        <w:t>El proyecto TQI registra el mayor porcentaje de avance del portafolio (80%), con 20 de 25 actividades completadas al corte del 20 de mayo de 2026. El proyecto opera exclusivamente en Guanajuato, cubriendo siete municipios en un corredor de alta densidad agricola e industrial entre Queretaro e Irapuato.</w:t>
      </w:r>
    </w:p>
    <w:p>
      <w:pPr>
        <w:spacing w:after="0" w:before="0"/>
      </w:pPr>
    </w:p>
    <w:p>
      <w:pPr/>
      <w:r>
        <w:rPr>
          <w:b/>
        </w:rPr>
        <w:t>Indicadores clave del periodo: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032"/>
            <w:shd w:val="clear" w:color="auto" w:fill="6B1831"/>
          </w:tcPr>
          <w:p>
            <w:pPr>
              <w:jc w:val="center"/>
            </w:pPr>
            <w:r>
              <w:rPr>
                <w:b/>
                <w:color w:val="FFFFFF"/>
                <w:sz w:val="19"/>
              </w:rPr>
              <w:t>Indicador</w:t>
            </w:r>
          </w:p>
        </w:tc>
        <w:tc>
          <w:tcPr>
            <w:tcW w:type="dxa" w:w="2160"/>
            <w:shd w:val="clear" w:color="auto" w:fill="6B1831"/>
          </w:tcPr>
          <w:p>
            <w:pPr>
              <w:jc w:val="center"/>
            </w:pPr>
            <w:r>
              <w:rPr>
                <w:b/>
                <w:color w:val="FFFFFF"/>
                <w:sz w:val="19"/>
              </w:rPr>
              <w:t>Valor</w:t>
            </w:r>
          </w:p>
        </w:tc>
        <w:tc>
          <w:tcPr>
            <w:tcW w:type="dxa" w:w="4464"/>
            <w:shd w:val="clear" w:color="auto" w:fill="6B1831"/>
          </w:tcPr>
          <w:p>
            <w:pPr>
              <w:jc w:val="center"/>
            </w:pPr>
            <w:r>
              <w:rPr>
                <w:b/>
                <w:color w:val="FFFFFF"/>
                <w:sz w:val="19"/>
              </w:rPr>
              <w:t>Detalle</w:t>
            </w:r>
          </w:p>
        </w:tc>
      </w:tr>
      <w:tr>
        <w:tc>
          <w:tcPr>
            <w:tcW w:type="dxa" w:w="4032"/>
          </w:tcPr>
          <w:p>
            <w:pPr>
              <w:jc w:val="center"/>
            </w:pPr>
            <w:r>
              <w:rPr>
                <w:sz w:val="19"/>
              </w:rPr>
              <w:t>Total de actividades</w:t>
            </w:r>
          </w:p>
        </w:tc>
        <w:tc>
          <w:tcPr>
            <w:tcW w:type="dxa" w:w="2160"/>
          </w:tcPr>
          <w:p>
            <w:pPr>
              <w:jc w:val="center"/>
            </w:pPr>
            <w:r>
              <w:rPr>
                <w:sz w:val="19"/>
              </w:rPr>
              <w:t>25</w:t>
            </w:r>
          </w:p>
        </w:tc>
        <w:tc>
          <w:tcPr>
            <w:tcW w:type="dxa" w:w="4464"/>
          </w:tcPr>
          <w:p>
            <w:pPr>
              <w:jc w:val="center"/>
            </w:pPr>
            <w:r>
              <w:rPr>
                <w:sz w:val="19"/>
              </w:rPr>
              <w:t>En 5 frentes activos en Guanajuato</w:t>
            </w:r>
          </w:p>
        </w:tc>
      </w:tr>
      <w:tr>
        <w:tc>
          <w:tcPr>
            <w:tcW w:type="dxa" w:w="4032"/>
          </w:tcPr>
          <w:p>
            <w:pPr>
              <w:jc w:val="center"/>
            </w:pPr>
            <w:r>
              <w:rPr>
                <w:sz w:val="19"/>
              </w:rPr>
              <w:t>Completadas</w:t>
            </w:r>
          </w:p>
        </w:tc>
        <w:tc>
          <w:tcPr>
            <w:tcW w:type="dxa" w:w="2160"/>
          </w:tcPr>
          <w:p>
            <w:pPr>
              <w:jc w:val="center"/>
            </w:pPr>
            <w:r>
              <w:rPr>
                <w:sz w:val="19"/>
              </w:rPr>
              <w:t>20  (80%)</w:t>
            </w:r>
          </w:p>
        </w:tc>
        <w:tc>
          <w:tcPr>
            <w:tcW w:type="dxa" w:w="4464"/>
          </w:tcPr>
          <w:p>
            <w:pPr>
              <w:jc w:val="center"/>
            </w:pPr>
            <w:r>
              <w:rPr>
                <w:sz w:val="19"/>
              </w:rPr>
              <w:t>Mayor avance del portafolio ATTRAPI</w:t>
            </w:r>
          </w:p>
        </w:tc>
      </w:tr>
      <w:tr>
        <w:tc>
          <w:tcPr>
            <w:tcW w:type="dxa" w:w="4032"/>
          </w:tcPr>
          <w:p>
            <w:pPr>
              <w:jc w:val="center"/>
            </w:pPr>
            <w:r>
              <w:rPr>
                <w:sz w:val="19"/>
              </w:rPr>
              <w:t>Pendientes</w:t>
            </w:r>
          </w:p>
        </w:tc>
        <w:tc>
          <w:tcPr>
            <w:tcW w:type="dxa" w:w="2160"/>
          </w:tcPr>
          <w:p>
            <w:pPr>
              <w:jc w:val="center"/>
            </w:pPr>
            <w:r>
              <w:rPr>
                <w:sz w:val="19"/>
              </w:rPr>
              <w:t>5  (20%)</w:t>
            </w:r>
          </w:p>
        </w:tc>
        <w:tc>
          <w:tcPr>
            <w:tcW w:type="dxa" w:w="4464"/>
          </w:tcPr>
          <w:p>
            <w:pPr>
              <w:jc w:val="center"/>
            </w:pPr>
            <w:r>
              <w:rPr>
                <w:sz w:val="19"/>
              </w:rPr>
              <w:t>Concentradas en Frente 2 -- Apaseo el Grande</w:t>
            </w:r>
          </w:p>
        </w:tc>
      </w:tr>
      <w:tr>
        <w:tc>
          <w:tcPr>
            <w:tcW w:type="dxa" w:w="4032"/>
          </w:tcPr>
          <w:p>
            <w:pPr>
              <w:jc w:val="center"/>
            </w:pPr>
            <w:r>
              <w:rPr>
                <w:sz w:val="19"/>
              </w:rPr>
              <w:t>Canceladas</w:t>
            </w:r>
          </w:p>
        </w:tc>
        <w:tc>
          <w:tcPr>
            <w:tcW w:type="dxa" w:w="2160"/>
          </w:tcPr>
          <w:p>
            <w:pPr>
              <w:jc w:val="center"/>
            </w:pPr>
            <w:r>
              <w:rPr>
                <w:sz w:val="19"/>
              </w:rPr>
              <w:t>1  (4%)</w:t>
            </w:r>
          </w:p>
        </w:tc>
        <w:tc>
          <w:tcPr>
            <w:tcW w:type="dxa" w:w="4464"/>
          </w:tcPr>
          <w:p>
            <w:pPr>
              <w:jc w:val="center"/>
            </w:pPr>
            <w:r>
              <w:rPr>
                <w:sz w:val="19"/>
              </w:rPr>
              <w:t>Mesa de Atencion Social F1 -- Villagran (reagendada)</w:t>
            </w:r>
          </w:p>
        </w:tc>
      </w:tr>
      <w:tr>
        <w:tc>
          <w:tcPr>
            <w:tcW w:type="dxa" w:w="4032"/>
          </w:tcPr>
          <w:p>
            <w:pPr>
              <w:jc w:val="center"/>
            </w:pPr>
            <w:r>
              <w:rPr>
                <w:sz w:val="19"/>
              </w:rPr>
              <w:t>Municipios activos</w:t>
            </w:r>
          </w:p>
        </w:tc>
        <w:tc>
          <w:tcPr>
            <w:tcW w:type="dxa" w:w="2160"/>
          </w:tcPr>
          <w:p>
            <w:pPr>
              <w:jc w:val="center"/>
            </w:pPr>
            <w:r>
              <w:rPr>
                <w:sz w:val="19"/>
              </w:rPr>
              <w:t>7</w:t>
            </w:r>
          </w:p>
        </w:tc>
        <w:tc>
          <w:tcPr>
            <w:tcW w:type="dxa" w:w="4464"/>
          </w:tcPr>
          <w:p>
            <w:pPr>
              <w:jc w:val="center"/>
            </w:pPr>
            <w:r>
              <w:rPr>
                <w:sz w:val="19"/>
              </w:rPr>
              <w:t>Salamanca, Irapuato, Celaya, Cortazar, Villagran, Sta. Cruz J.R., Apaseo el Grande</w:t>
            </w:r>
          </w:p>
        </w:tc>
      </w:tr>
      <w:tr>
        <w:tc>
          <w:tcPr>
            <w:tcW w:type="dxa" w:w="4032"/>
          </w:tcPr>
          <w:p>
            <w:pPr>
              <w:jc w:val="center"/>
            </w:pPr>
            <w:r>
              <w:rPr>
                <w:sz w:val="19"/>
              </w:rPr>
              <w:t>Operativos registrados</w:t>
            </w:r>
          </w:p>
        </w:tc>
        <w:tc>
          <w:tcPr>
            <w:tcW w:type="dxa" w:w="2160"/>
          </w:tcPr>
          <w:p>
            <w:pPr>
              <w:jc w:val="center"/>
            </w:pPr>
            <w:r>
              <w:rPr>
                <w:sz w:val="19"/>
              </w:rPr>
              <w:t>6</w:t>
            </w:r>
          </w:p>
        </w:tc>
        <w:tc>
          <w:tcPr>
            <w:tcW w:type="dxa" w:w="4464"/>
          </w:tcPr>
          <w:p>
            <w:pPr>
              <w:jc w:val="center"/>
            </w:pPr>
            <w:r>
              <w:rPr>
                <w:sz w:val="19"/>
              </w:rPr>
              <w:t>O. Cobian, B. Martinez, M. Hernandez, G. Ramos, J.F. Sosa, G. Vega</w:t>
            </w:r>
          </w:p>
        </w:tc>
      </w:tr>
      <w:tr>
        <w:tc>
          <w:tcPr>
            <w:tcW w:type="dxa" w:w="4032"/>
          </w:tcPr>
          <w:p>
            <w:pPr>
              <w:jc w:val="center"/>
            </w:pPr>
            <w:r>
              <w:rPr>
                <w:sz w:val="19"/>
              </w:rPr>
              <w:t>Observaciones abiertas</w:t>
            </w:r>
          </w:p>
        </w:tc>
        <w:tc>
          <w:tcPr>
            <w:tcW w:type="dxa" w:w="2160"/>
          </w:tcPr>
          <w:p>
            <w:pPr>
              <w:jc w:val="center"/>
            </w:pPr>
            <w:r>
              <w:rPr>
                <w:sz w:val="19"/>
              </w:rPr>
              <w:t>0</w:t>
            </w:r>
          </w:p>
        </w:tc>
        <w:tc>
          <w:tcPr>
            <w:tcW w:type="dxa" w:w="4464"/>
          </w:tcPr>
          <w:p>
            <w:pPr>
              <w:jc w:val="center"/>
            </w:pPr>
            <w:r>
              <w:rPr>
                <w:sz w:val="19"/>
              </w:rPr>
              <w:t>Calidad de datos excelente -- sin incidencias registradas</w:t>
            </w:r>
          </w:p>
        </w:tc>
      </w:tr>
    </w:tbl>
    <w:p>
      <w:pPr>
        <w:spacing w:after="0" w:before="0"/>
      </w:pPr>
    </w:p>
    <w:p>
      <w:pPr/>
      <w:r>
        <w:t>En los ultimos 8 dias (13-20 mayo) se completaron 5 actividades en Salamanca, Irapuato y Celaya, lo que demuestra ritmo operativo sostenido. Una alerta de campo: la empresa KANSAS presento un oficio solicitando retiro de invasiones en el DDV en zona Coachiti, acuerdo registrado durante la Mesa de Atencion Social de Villagran, que requiere seguimiento de la Agencia.</w:t>
      </w:r>
    </w:p>
    <w:p>
      <w:r>
        <w:br w:type="page"/>
      </w:r>
    </w:p>
    <w:p>
      <w:pPr>
        <w:pStyle w:val="Heading1"/>
        <w:pBdr>
          <w:bottom w:val="single" w:sz="8" w:space="1" w:color="6B1831"/>
        </w:pBdr>
      </w:pPr>
      <w:r>
        <w:t>2.  Equipo Operativo</w:t>
      </w:r>
    </w:p>
    <w:p>
      <w:pPr/>
      <w:r>
        <w:t>El equipo TQI opera con el mayor numero de operativos activos del portafolio, todos en Guanajuato.</w:t>
      </w:r>
    </w:p>
    <w:p>
      <w:pPr>
        <w:spacing w:after="0" w:before="0"/>
      </w:pPr>
    </w:p>
    <w:tbl>
      <w:tblPr>
        <w:tblStyle w:val="TableGrid"/>
        <w:tblW w:type="auto" w:w="0"/>
        <w:tblLook w:firstColumn="1" w:firstRow="1" w:lastColumn="0" w:lastRow="0" w:noHBand="0" w:noVBand="1" w:val="04A0"/>
      </w:tblPr>
      <w:tblGrid>
        <w:gridCol w:w="2282"/>
        <w:gridCol w:w="2282"/>
        <w:gridCol w:w="2282"/>
        <w:gridCol w:w="2282"/>
      </w:tblGrid>
      <w:tr>
        <w:tc>
          <w:tcPr>
            <w:tcW w:type="dxa" w:w="4032"/>
            <w:shd w:val="clear" w:color="auto" w:fill="6B1831"/>
          </w:tcPr>
          <w:p>
            <w:pPr>
              <w:jc w:val="center"/>
            </w:pPr>
            <w:r>
              <w:rPr>
                <w:b/>
                <w:color w:val="FFFFFF"/>
                <w:sz w:val="19"/>
              </w:rPr>
              <w:t>Operativo</w:t>
            </w:r>
          </w:p>
        </w:tc>
        <w:tc>
          <w:tcPr>
            <w:tcW w:type="dxa" w:w="2880"/>
            <w:shd w:val="clear" w:color="auto" w:fill="6B1831"/>
          </w:tcPr>
          <w:p>
            <w:pPr>
              <w:jc w:val="center"/>
            </w:pPr>
            <w:r>
              <w:rPr>
                <w:b/>
                <w:color w:val="FFFFFF"/>
                <w:sz w:val="19"/>
              </w:rPr>
              <w:t>Frentes</w:t>
            </w:r>
          </w:p>
        </w:tc>
        <w:tc>
          <w:tcPr>
            <w:tcW w:type="dxa" w:w="3456"/>
            <w:shd w:val="clear" w:color="auto" w:fill="6B1831"/>
          </w:tcPr>
          <w:p>
            <w:pPr>
              <w:jc w:val="center"/>
            </w:pPr>
            <w:r>
              <w:rPr>
                <w:b/>
                <w:color w:val="FFFFFF"/>
                <w:sz w:val="19"/>
              </w:rPr>
              <w:t>Municipios</w:t>
            </w:r>
          </w:p>
        </w:tc>
        <w:tc>
          <w:tcPr>
            <w:tcW w:type="dxa" w:w="1008"/>
            <w:shd w:val="clear" w:color="auto" w:fill="6B1831"/>
          </w:tcPr>
          <w:p>
            <w:pPr>
              <w:jc w:val="center"/>
            </w:pPr>
            <w:r>
              <w:rPr>
                <w:b/>
                <w:color w:val="FFFFFF"/>
                <w:sz w:val="19"/>
              </w:rPr>
              <w:t>Acts.</w:t>
            </w:r>
          </w:p>
        </w:tc>
      </w:tr>
      <w:tr>
        <w:tc>
          <w:tcPr>
            <w:tcW w:type="dxa" w:w="4032"/>
          </w:tcPr>
          <w:p>
            <w:pPr>
              <w:jc w:val="center"/>
            </w:pPr>
            <w:r>
              <w:rPr>
                <w:sz w:val="19"/>
              </w:rPr>
              <w:t>Omar Cobian Spiritu</w:t>
            </w:r>
          </w:p>
        </w:tc>
        <w:tc>
          <w:tcPr>
            <w:tcW w:type="dxa" w:w="2880"/>
          </w:tcPr>
          <w:p>
            <w:pPr>
              <w:jc w:val="center"/>
            </w:pPr>
            <w:r>
              <w:rPr>
                <w:sz w:val="19"/>
              </w:rPr>
              <w:t>F1 (principal)</w:t>
            </w:r>
          </w:p>
        </w:tc>
        <w:tc>
          <w:tcPr>
            <w:tcW w:type="dxa" w:w="3456"/>
          </w:tcPr>
          <w:p>
            <w:pPr>
              <w:jc w:val="center"/>
            </w:pPr>
            <w:r>
              <w:rPr>
                <w:sz w:val="19"/>
              </w:rPr>
              <w:t>Salamanca, Irapuato, Celaya, Villagran</w:t>
            </w:r>
          </w:p>
        </w:tc>
        <w:tc>
          <w:tcPr>
            <w:tcW w:type="dxa" w:w="1008"/>
          </w:tcPr>
          <w:p>
            <w:pPr>
              <w:jc w:val="center"/>
            </w:pPr>
            <w:r>
              <w:rPr>
                <w:sz w:val="19"/>
              </w:rPr>
              <w:t>11</w:t>
            </w:r>
          </w:p>
        </w:tc>
      </w:tr>
      <w:tr>
        <w:tc>
          <w:tcPr>
            <w:tcW w:type="dxa" w:w="4032"/>
          </w:tcPr>
          <w:p>
            <w:pPr>
              <w:jc w:val="center"/>
            </w:pPr>
            <w:r>
              <w:rPr>
                <w:sz w:val="19"/>
              </w:rPr>
              <w:t>Brandon Martinez Huerta</w:t>
            </w:r>
          </w:p>
        </w:tc>
        <w:tc>
          <w:tcPr>
            <w:tcW w:type="dxa" w:w="2880"/>
          </w:tcPr>
          <w:p>
            <w:pPr>
              <w:jc w:val="center"/>
            </w:pPr>
            <w:r>
              <w:rPr>
                <w:sz w:val="19"/>
              </w:rPr>
              <w:t>F1, Frente 2, F4, F4-EA</w:t>
            </w:r>
          </w:p>
        </w:tc>
        <w:tc>
          <w:tcPr>
            <w:tcW w:type="dxa" w:w="3456"/>
          </w:tcPr>
          <w:p>
            <w:pPr>
              <w:jc w:val="center"/>
            </w:pPr>
            <w:r>
              <w:rPr>
                <w:sz w:val="19"/>
              </w:rPr>
              <w:t>Salamanca, Apaseo, Irapuato, Celaya</w:t>
            </w:r>
          </w:p>
        </w:tc>
        <w:tc>
          <w:tcPr>
            <w:tcW w:type="dxa" w:w="1008"/>
          </w:tcPr>
          <w:p>
            <w:pPr>
              <w:jc w:val="center"/>
            </w:pPr>
            <w:r>
              <w:rPr>
                <w:sz w:val="19"/>
              </w:rPr>
              <w:t>6</w:t>
            </w:r>
          </w:p>
        </w:tc>
      </w:tr>
      <w:tr>
        <w:tc>
          <w:tcPr>
            <w:tcW w:type="dxa" w:w="4032"/>
          </w:tcPr>
          <w:p>
            <w:pPr>
              <w:jc w:val="center"/>
            </w:pPr>
            <w:r>
              <w:rPr>
                <w:sz w:val="19"/>
              </w:rPr>
              <w:t>Meredith Hernandez Batun</w:t>
            </w:r>
          </w:p>
        </w:tc>
        <w:tc>
          <w:tcPr>
            <w:tcW w:type="dxa" w:w="2880"/>
          </w:tcPr>
          <w:p>
            <w:pPr>
              <w:jc w:val="center"/>
            </w:pPr>
            <w:r>
              <w:rPr>
                <w:sz w:val="19"/>
              </w:rPr>
              <w:t>Frente 2</w:t>
            </w:r>
          </w:p>
        </w:tc>
        <w:tc>
          <w:tcPr>
            <w:tcW w:type="dxa" w:w="3456"/>
          </w:tcPr>
          <w:p>
            <w:pPr>
              <w:jc w:val="center"/>
            </w:pPr>
            <w:r>
              <w:rPr>
                <w:sz w:val="19"/>
              </w:rPr>
              <w:t>Apaseo el Grande, Irapuato, Salamanca</w:t>
            </w:r>
          </w:p>
        </w:tc>
        <w:tc>
          <w:tcPr>
            <w:tcW w:type="dxa" w:w="1008"/>
          </w:tcPr>
          <w:p>
            <w:pPr>
              <w:jc w:val="center"/>
            </w:pPr>
            <w:r>
              <w:rPr>
                <w:sz w:val="19"/>
              </w:rPr>
              <w:t>3</w:t>
            </w:r>
          </w:p>
        </w:tc>
      </w:tr>
      <w:tr>
        <w:tc>
          <w:tcPr>
            <w:tcW w:type="dxa" w:w="4032"/>
          </w:tcPr>
          <w:p>
            <w:pPr>
              <w:jc w:val="center"/>
            </w:pPr>
            <w:r>
              <w:rPr>
                <w:sz w:val="19"/>
              </w:rPr>
              <w:t>Gerardo Ramos Martinez</w:t>
            </w:r>
          </w:p>
        </w:tc>
        <w:tc>
          <w:tcPr>
            <w:tcW w:type="dxa" w:w="2880"/>
          </w:tcPr>
          <w:p>
            <w:pPr>
              <w:jc w:val="center"/>
            </w:pPr>
            <w:r>
              <w:rPr>
                <w:sz w:val="19"/>
              </w:rPr>
              <w:t>F1, Frente 2</w:t>
            </w:r>
          </w:p>
        </w:tc>
        <w:tc>
          <w:tcPr>
            <w:tcW w:type="dxa" w:w="3456"/>
          </w:tcPr>
          <w:p>
            <w:pPr>
              <w:jc w:val="center"/>
            </w:pPr>
            <w:r>
              <w:rPr>
                <w:sz w:val="19"/>
              </w:rPr>
              <w:t>Irapuato, Apaseo el Grande</w:t>
            </w:r>
          </w:p>
        </w:tc>
        <w:tc>
          <w:tcPr>
            <w:tcW w:type="dxa" w:w="1008"/>
          </w:tcPr>
          <w:p>
            <w:pPr>
              <w:jc w:val="center"/>
            </w:pPr>
            <w:r>
              <w:rPr>
                <w:sz w:val="19"/>
              </w:rPr>
              <w:t>2</w:t>
            </w:r>
          </w:p>
        </w:tc>
      </w:tr>
      <w:tr>
        <w:tc>
          <w:tcPr>
            <w:tcW w:type="dxa" w:w="4032"/>
          </w:tcPr>
          <w:p>
            <w:pPr>
              <w:jc w:val="center"/>
            </w:pPr>
            <w:r>
              <w:rPr>
                <w:sz w:val="19"/>
              </w:rPr>
              <w:t>Jose Francisco Sosa Hernandez</w:t>
            </w:r>
          </w:p>
        </w:tc>
        <w:tc>
          <w:tcPr>
            <w:tcW w:type="dxa" w:w="2880"/>
          </w:tcPr>
          <w:p>
            <w:pPr>
              <w:jc w:val="center"/>
            </w:pPr>
            <w:r>
              <w:rPr>
                <w:sz w:val="19"/>
              </w:rPr>
              <w:t>F1, F3</w:t>
            </w:r>
          </w:p>
        </w:tc>
        <w:tc>
          <w:tcPr>
            <w:tcW w:type="dxa" w:w="3456"/>
          </w:tcPr>
          <w:p>
            <w:pPr>
              <w:jc w:val="center"/>
            </w:pPr>
            <w:r>
              <w:rPr>
                <w:sz w:val="19"/>
              </w:rPr>
              <w:t>Salamanca, Celaya</w:t>
            </w:r>
          </w:p>
        </w:tc>
        <w:tc>
          <w:tcPr>
            <w:tcW w:type="dxa" w:w="1008"/>
          </w:tcPr>
          <w:p>
            <w:pPr>
              <w:jc w:val="center"/>
            </w:pPr>
            <w:r>
              <w:rPr>
                <w:sz w:val="19"/>
              </w:rPr>
              <w:t>2</w:t>
            </w:r>
          </w:p>
        </w:tc>
      </w:tr>
      <w:tr>
        <w:tc>
          <w:tcPr>
            <w:tcW w:type="dxa" w:w="4032"/>
          </w:tcPr>
          <w:p>
            <w:pPr>
              <w:jc w:val="center"/>
            </w:pPr>
            <w:r>
              <w:rPr>
                <w:sz w:val="19"/>
              </w:rPr>
              <w:t>Gustavo Vega Medellin</w:t>
            </w:r>
          </w:p>
        </w:tc>
        <w:tc>
          <w:tcPr>
            <w:tcW w:type="dxa" w:w="2880"/>
          </w:tcPr>
          <w:p>
            <w:pPr>
              <w:jc w:val="center"/>
            </w:pPr>
            <w:r>
              <w:rPr>
                <w:sz w:val="19"/>
              </w:rPr>
              <w:t>F1</w:t>
            </w:r>
          </w:p>
        </w:tc>
        <w:tc>
          <w:tcPr>
            <w:tcW w:type="dxa" w:w="3456"/>
          </w:tcPr>
          <w:p>
            <w:pPr>
              <w:jc w:val="center"/>
            </w:pPr>
            <w:r>
              <w:rPr>
                <w:sz w:val="19"/>
              </w:rPr>
              <w:t>Salamanca</w:t>
            </w:r>
          </w:p>
        </w:tc>
        <w:tc>
          <w:tcPr>
            <w:tcW w:type="dxa" w:w="1008"/>
          </w:tcPr>
          <w:p>
            <w:pPr>
              <w:jc w:val="center"/>
            </w:pPr>
            <w:r>
              <w:rPr>
                <w:sz w:val="19"/>
              </w:rPr>
              <w:t>1</w:t>
            </w:r>
          </w:p>
        </w:tc>
      </w:tr>
    </w:tbl>
    <w:p>
      <w:r>
        <w:br w:type="page"/>
      </w:r>
    </w:p>
    <w:p>
      <w:pPr>
        <w:pStyle w:val="Heading1"/>
        <w:pBdr>
          <w:bottom w:val="single" w:sz="8" w:space="1" w:color="6B1831"/>
        </w:pBdr>
      </w:pPr>
      <w:r>
        <w:t>3.  Frente 1 -- Salamanca / Irapuato / Celaya / Cortazar / Villagran</w:t>
      </w:r>
    </w:p>
    <w:p>
      <w:pPr/>
      <w:r>
        <w:rPr>
          <w:color w:val="555555"/>
        </w:rPr>
        <w:t>Guanajuato  |  Frente principal -- virtualmente completado</w:t>
      </w:r>
    </w:p>
    <w:p>
      <w:pPr/>
      <w:r>
        <w:rPr>
          <w:color w:val="555555"/>
        </w:rPr>
        <w:t>Operativos: Omar Cobian Spiritu, Brandon Martinez Huerta, Jose Francisco Sosa Hernandez, Gerardo Ramos Martinez, Gustavo Vega Medellin</w:t>
      </w:r>
    </w:p>
    <w:p>
      <w:pPr>
        <w:spacing w:after="0" w:before="0"/>
      </w:pPr>
    </w:p>
    <w:p>
      <w:pPr>
        <w:pStyle w:val="Heading2"/>
      </w:pPr>
      <w:r>
        <w:t>3.1  Actividades realizadas</w:t>
      </w:r>
    </w:p>
    <w:p>
      <w:pPr>
        <w:pStyle w:val="ListBullet"/>
      </w:pPr>
      <w:r>
        <w:rPr>
          <w:b/>
          <w:color w:val="1B5E20"/>
        </w:rPr>
        <w:t>[OK]  Caminamiento DDV -- Salamanca (24 abril): Primer levantamiento de campo del Frente 1.</w:t>
      </w:r>
    </w:p>
    <w:p>
      <w:pPr>
        <w:pStyle w:val="ListBullet"/>
      </w:pPr>
      <w:r>
        <w:rPr>
          <w:b/>
          <w:color w:val="1B5E20"/>
        </w:rPr>
        <w:t>[OK]  Caminamiento DDV -- Salamanca (24 abril): Segunda recorrida confirmatoria del trazo en Salamanca.</w:t>
      </w:r>
    </w:p>
    <w:p>
      <w:pPr>
        <w:pStyle w:val="ListBullet"/>
      </w:pPr>
      <w:r>
        <w:rPr>
          <w:b/>
          <w:color w:val="1B5E20"/>
        </w:rPr>
        <w:t>[OK]  Reunion -- Cortazar (28 abril): Primera reunion institucional en municipio sur del corredor.</w:t>
      </w:r>
    </w:p>
    <w:p>
      <w:pPr>
        <w:pStyle w:val="ListBullet"/>
      </w:pPr>
      <w:r>
        <w:rPr>
          <w:b/>
          <w:color w:val="1B5E20"/>
        </w:rPr>
        <w:t>[OK]  Mesa de Atencion Social -- Santa Cruz de Juventino Rosas (29 abril): Primera MAS en municipio intermedio. Presentacion del proyecto y atencion a inquietudes comunitarias.</w:t>
      </w:r>
    </w:p>
    <w:p>
      <w:pPr>
        <w:pStyle w:val="ListBullet"/>
      </w:pPr>
      <w:r>
        <w:rPr>
          <w:b/>
          <w:color w:val="1B5E20"/>
        </w:rPr>
        <w:t>[OK]  Mesa de Atencion Social -- Villagran (6 mayo): Mesa con autoridades estatales y municipales (ARTF, SICT Vinculacion, SICT Guanajuato, Gobierno del Estado GTO). Acuerdos: seguimiento Coachiti-KANSAS, gestion de arbolado en DDV, proxima reunion 13 mayo en Salamanca.</w:t>
      </w:r>
    </w:p>
    <w:p>
      <w:pPr>
        <w:pStyle w:val="ListBullet"/>
      </w:pPr>
      <w:r>
        <w:rPr>
          <w:b/>
          <w:color w:val="1B5E20"/>
        </w:rPr>
        <w:t>[OK]  Reunion -- Irapuato (7 mayo): Coordinacion en segundo municipio de mayor relevancia del frente.</w:t>
      </w:r>
    </w:p>
    <w:p>
      <w:pPr>
        <w:pStyle w:val="ListBullet"/>
      </w:pPr>
      <w:r>
        <w:rPr>
          <w:b/>
          <w:color w:val="1B5E20"/>
        </w:rPr>
        <w:t>[OK]  Reunion -- Salamanca (13 mayo): Reunion de seguimiento conforme al acuerdo de Villagran.</w:t>
      </w:r>
    </w:p>
    <w:p>
      <w:pPr>
        <w:pStyle w:val="ListBullet"/>
      </w:pPr>
      <w:r>
        <w:rPr>
          <w:b/>
          <w:color w:val="1B5E20"/>
        </w:rPr>
        <w:t>[OK]  Mesa de Atencion Social -- Salamanca (13 mayo): Mesa con actores sociales e institucionales.</w:t>
      </w:r>
    </w:p>
    <w:p>
      <w:pPr>
        <w:pStyle w:val="ListBullet"/>
      </w:pPr>
      <w:r>
        <w:rPr>
          <w:b/>
          <w:color w:val="1B5E20"/>
        </w:rPr>
        <w:t>[OK]  Caminamiento DDV -- Salamanca (13 mayo): Tercer caminamiento de verificacion y actualizacion.</w:t>
      </w:r>
    </w:p>
    <w:p>
      <w:pPr>
        <w:pStyle w:val="ListBullet"/>
      </w:pPr>
      <w:r>
        <w:rPr>
          <w:b/>
          <w:color w:val="1B5E20"/>
        </w:rPr>
        <w:t>[OK]  Seguimiento Tecnico / Interinstitucional -- Salamanca (14 mayo): Sesion tecnica con ARTF, SICT y GTO.</w:t>
      </w:r>
    </w:p>
    <w:p>
      <w:pPr>
        <w:pStyle w:val="ListBullet"/>
      </w:pPr>
      <w:r>
        <w:rPr>
          <w:b/>
          <w:color w:val="1B5E20"/>
        </w:rPr>
        <w:t>[OK]  Caminamiento DDV -- Irapuato (14 mayo): Levantamiento en zona de transicion Salamanca-Irapuato.</w:t>
      </w:r>
    </w:p>
    <w:p>
      <w:pPr>
        <w:pStyle w:val="ListBullet"/>
      </w:pPr>
      <w:r>
        <w:rPr>
          <w:b/>
          <w:color w:val="1B5E20"/>
        </w:rPr>
        <w:t>[OK]  Acompanamiento Institucional -- Celaya (15 mayo): Primer AIN en municipio terminal del frente.</w:t>
      </w:r>
    </w:p>
    <w:p>
      <w:pPr>
        <w:pStyle w:val="ListBullet"/>
      </w:pPr>
      <w:r>
        <w:rPr>
          <w:b/>
          <w:color w:val="1B5E20"/>
        </w:rPr>
        <w:t>[OK]  Acompanamiento Institucional -- Celaya (15 mayo): Segundo AIN. Cobertura de dos entidades en una jornada.</w:t>
      </w:r>
    </w:p>
    <w:p>
      <w:pPr>
        <w:pStyle w:val="Heading2"/>
      </w:pPr>
      <w:r>
        <w:t>3.2  Canceladas</w:t>
      </w:r>
    </w:p>
    <w:p>
      <w:pPr>
        <w:pStyle w:val="ListBullet"/>
      </w:pPr>
      <w:r>
        <w:rPr>
          <w:color w:val="8B0000"/>
        </w:rPr>
        <w:t>[CANC]  Mesa de Atencion Social -- Villagran (cancelada): Tenia evidencias cargadas (apertura y clausura). Los acuerdos constan en la mesa activa del mismo municipio.</w:t>
      </w:r>
    </w:p>
    <w:p>
      <w:pPr/>
      <w:r>
        <w:t>Frente 1 es el logro operativo mas solido del portafolio. Catorce actividades completadas en seis municipios diferentes con cero pendientes activos.</w:t>
      </w:r>
    </w:p>
    <w:p>
      <w:r>
        <w:br w:type="page"/>
      </w:r>
    </w:p>
    <w:p>
      <w:pPr>
        <w:pStyle w:val="Heading1"/>
        <w:pBdr>
          <w:bottom w:val="single" w:sz="8" w:space="1" w:color="6B1831"/>
        </w:pBdr>
      </w:pPr>
      <w:r>
        <w:t>4.  Frente 2 -- Apaseo el Grande / Irapuato / Salamanca</w:t>
      </w:r>
    </w:p>
    <w:p>
      <w:pPr/>
      <w:r>
        <w:rPr>
          <w:color w:val="555555"/>
        </w:rPr>
        <w:t>Guanajuato  |  Frente en plena ejecucion -- actividades recientes mas pendientes</w:t>
      </w:r>
    </w:p>
    <w:p>
      <w:pPr/>
      <w:r>
        <w:rPr>
          <w:color w:val="555555"/>
        </w:rPr>
        <w:t>Operativos: Brandon Martinez Huerta, Meredith Hernandez Batun, Gerardo Ramos Martinez</w:t>
      </w:r>
    </w:p>
    <w:p>
      <w:pPr>
        <w:spacing w:after="0" w:before="0"/>
      </w:pPr>
    </w:p>
    <w:p>
      <w:pPr>
        <w:pStyle w:val="Heading2"/>
      </w:pPr>
      <w:r>
        <w:t>4.1  Actividades realizadas</w:t>
      </w:r>
    </w:p>
    <w:p>
      <w:pPr>
        <w:pStyle w:val="ListBullet"/>
      </w:pPr>
      <w:r>
        <w:rPr>
          <w:b/>
          <w:color w:val="1B5E20"/>
        </w:rPr>
        <w:t>[OK]  Mesa de Atencion Social -- Irapuato (20 mayo): Ejecutada hoy mismo. Actividad mas reciente del proyecto.</w:t>
      </w:r>
    </w:p>
    <w:p>
      <w:pPr>
        <w:pStyle w:val="ListBullet"/>
      </w:pPr>
      <w:r>
        <w:rPr>
          <w:b/>
          <w:color w:val="1B5E20"/>
        </w:rPr>
        <w:t>[OK]  Reunion -- Irapuato (20 mayo): Dos actividades completadas en Irapuato en el dia del corte.</w:t>
      </w:r>
    </w:p>
    <w:p>
      <w:pPr>
        <w:pStyle w:val="Heading2"/>
      </w:pPr>
      <w:r>
        <w:t>4.2  Pendientes</w:t>
      </w:r>
    </w:p>
    <w:p>
      <w:pPr>
        <w:pStyle w:val="ListBullet"/>
      </w:pPr>
      <w:r>
        <w:rPr>
          <w:b/>
          <w:color w:val="B75409"/>
        </w:rPr>
        <w:t>[PEND]  Calendarizacion de reuniones con Propietarios y Poseedores (PP) -- Salamanca (8 mayo): Sesion para ordenar el proceso de reuniones con propietarios del DDV. Riesgo bajo.</w:t>
      </w:r>
    </w:p>
    <w:p>
      <w:pPr>
        <w:pStyle w:val="ListBullet"/>
      </w:pPr>
      <w:r>
        <w:rPr>
          <w:b/>
          <w:color w:val="B75409"/>
        </w:rPr>
        <w:t>[PEND]  Reunion -- Apaseo el Grande (7 mayo): Primer contacto pendiente en municipio norte del frente. Riesgo medio.</w:t>
      </w:r>
    </w:p>
    <w:p>
      <w:pPr>
        <w:pStyle w:val="ListBullet"/>
      </w:pPr>
      <w:r>
        <w:rPr>
          <w:b/>
          <w:color w:val="B75409"/>
        </w:rPr>
        <w:t>[PEND]  Caminamiento -- Apaseo el Grande (8 mayo): Levantamiento de campo pendiente. Riesgo medio.</w:t>
      </w:r>
    </w:p>
    <w:p>
      <w:pPr>
        <w:pStyle w:val="ListBullet"/>
      </w:pPr>
      <w:r>
        <w:rPr>
          <w:b/>
          <w:color w:val="B75409"/>
        </w:rPr>
        <w:t>[PEND]  Reunion -- Apaseo el Grande (7 mayo): Segunda reunion pendiente. Apaseo concentra la mayor carga pendiente del proyecto.</w:t>
      </w:r>
    </w:p>
    <w:p>
      <w:pPr/>
      <w:r>
        <w:t>Apaseo el Grande es el municipio con mayor actividad pendiente del TQI. Las tres actividades en este municipio deben ejecutarse antes del siguiente corte.</w:t>
      </w:r>
    </w:p>
    <w:p>
      <w:r>
        <w:br w:type="page"/>
      </w:r>
    </w:p>
    <w:p>
      <w:pPr>
        <w:pStyle w:val="Heading1"/>
        <w:pBdr>
          <w:bottom w:val="single" w:sz="8" w:space="1" w:color="6B1831"/>
        </w:pBdr>
      </w:pPr>
      <w:r>
        <w:t>5.  Frente 3 -- Celaya (Acompanamiento Institucional)</w:t>
      </w:r>
    </w:p>
    <w:p>
      <w:pPr/>
      <w:r>
        <w:rPr>
          <w:color w:val="555555"/>
        </w:rPr>
        <w:t>Guanajuato  |  AIN en municipio terminal</w:t>
      </w:r>
    </w:p>
    <w:p>
      <w:pPr/>
      <w:r>
        <w:rPr>
          <w:color w:val="555555"/>
        </w:rPr>
        <w:t>Operativo: Jose Francisco Sosa Hernandez</w:t>
      </w:r>
    </w:p>
    <w:p>
      <w:pPr>
        <w:spacing w:after="0" w:before="0"/>
      </w:pPr>
    </w:p>
    <w:p>
      <w:pPr>
        <w:pStyle w:val="Heading2"/>
      </w:pPr>
      <w:r>
        <w:t>5.1  Actividades realizadas</w:t>
      </w:r>
    </w:p>
    <w:p>
      <w:pPr>
        <w:pStyle w:val="ListBullet"/>
      </w:pPr>
      <w:r>
        <w:rPr>
          <w:b/>
          <w:color w:val="1B5E20"/>
        </w:rPr>
        <w:t>[OK]  Acompanamiento Institucional -- Celaya (15 mayo): Visita institucional. Sin pendientes.</w:t>
      </w:r>
    </w:p>
    <w:p>
      <w:pPr>
        <w:pStyle w:val="Heading1"/>
        <w:pBdr>
          <w:bottom w:val="single" w:sz="8" w:space="1" w:color="6B1831"/>
        </w:pBdr>
      </w:pPr>
      <w:r>
        <w:t>6.  Frente 4 -- Salamanca (Avaluos y Pagos)</w:t>
      </w:r>
    </w:p>
    <w:p>
      <w:pPr/>
      <w:r>
        <w:rPr>
          <w:color w:val="555555"/>
        </w:rPr>
        <w:t>Guanajuato  |  Seguimiento del proceso de valuacion de predios</w:t>
      </w:r>
    </w:p>
    <w:p>
      <w:pPr/>
      <w:r>
        <w:rPr>
          <w:color w:val="555555"/>
        </w:rPr>
        <w:t>Operativo: Brandon Martinez Huerta</w:t>
      </w:r>
    </w:p>
    <w:p>
      <w:pPr>
        <w:spacing w:after="0" w:before="0"/>
      </w:pPr>
    </w:p>
    <w:p>
      <w:pPr>
        <w:pStyle w:val="Heading2"/>
      </w:pPr>
      <w:r>
        <w:t>6.1  Actividades realizadas</w:t>
      </w:r>
    </w:p>
    <w:p>
      <w:pPr>
        <w:pStyle w:val="ListBullet"/>
      </w:pPr>
      <w:r>
        <w:rPr>
          <w:b/>
          <w:color w:val="1B5E20"/>
        </w:rPr>
        <w:t>[OK]  Seguimiento / Evaluacion de Avaluos y Pagos -- Salamanca (7 mayo): Actividad de seguimiento del proceso de valuacion y pago de predios. Indica que el proyecto ha avanzado a la fase de adquisicion formal.</w:t>
      </w:r>
    </w:p>
    <w:p>
      <w:pPr/>
      <w:r>
        <w:t>El inicio de actividades de avaluos es indicador de madurez del proyecto: predios ya identificados estan en proceso de valuacion para compra o indemnizacion.</w:t>
      </w:r>
    </w:p>
    <w:p>
      <w:pPr>
        <w:pStyle w:val="Heading1"/>
        <w:pBdr>
          <w:bottom w:val="single" w:sz="8" w:space="1" w:color="6B1831"/>
        </w:pBdr>
      </w:pPr>
      <w:r>
        <w:t>7.  Frente 4-Edificios Auxiliares -- Salamanca / Celaya</w:t>
      </w:r>
    </w:p>
    <w:p>
      <w:pPr/>
      <w:r>
        <w:rPr>
          <w:color w:val="555555"/>
        </w:rPr>
        <w:t>Guanajuato  |  Infraestructura complementaria del corredor</w:t>
      </w:r>
    </w:p>
    <w:p>
      <w:pPr/>
      <w:r>
        <w:rPr>
          <w:color w:val="555555"/>
        </w:rPr>
        <w:t>Operativo: Brandon Martinez Huerta</w:t>
      </w:r>
    </w:p>
    <w:p>
      <w:pPr>
        <w:spacing w:after="0" w:before="0"/>
      </w:pPr>
    </w:p>
    <w:p>
      <w:pPr>
        <w:pStyle w:val="Heading2"/>
      </w:pPr>
      <w:r>
        <w:t>7.1  Actividades realizadas</w:t>
      </w:r>
    </w:p>
    <w:p>
      <w:pPr>
        <w:pStyle w:val="ListBullet"/>
      </w:pPr>
      <w:r>
        <w:rPr>
          <w:b/>
          <w:color w:val="1B5E20"/>
        </w:rPr>
        <w:t>[OK]  Reunion -- Salamanca (19 mayo): Coordinacion de edificios auxiliares. Completada ayer.</w:t>
      </w:r>
    </w:p>
    <w:p>
      <w:pPr>
        <w:pStyle w:val="ListBullet"/>
      </w:pPr>
      <w:r>
        <w:rPr>
          <w:b/>
          <w:color w:val="1B5E20"/>
        </w:rPr>
        <w:t>[OK]  Reunion -- Celaya (20 mayo): Coordinacion completada hoy. El frente de Edificios Auxiliares avanza en paralelo al DDV lineal, planificando estaciones, patios y subestaciones.</w:t>
      </w:r>
    </w:p>
    <w:p>
      <w:r>
        <w:br w:type="page"/>
      </w:r>
    </w:p>
    <w:p>
      <w:pPr>
        <w:pStyle w:val="Heading1"/>
        <w:pBdr>
          <w:bottom w:val="single" w:sz="8" w:space="1" w:color="6B1831"/>
        </w:pBdr>
      </w:pPr>
      <w:r>
        <w:t>8.  Actividades Canceladas</w:t>
      </w:r>
    </w:p>
    <w:tbl>
      <w:tblPr>
        <w:tblStyle w:val="TableGrid"/>
        <w:tblW w:type="auto" w:w="0"/>
        <w:tblLook w:firstColumn="1" w:firstRow="1" w:lastColumn="0" w:lastRow="0" w:noHBand="0" w:noVBand="1" w:val="04A0"/>
      </w:tblPr>
      <w:tblGrid>
        <w:gridCol w:w="2282"/>
        <w:gridCol w:w="2282"/>
        <w:gridCol w:w="2282"/>
        <w:gridCol w:w="2282"/>
      </w:tblGrid>
      <w:tr>
        <w:tc>
          <w:tcPr>
            <w:tcW w:type="dxa" w:w="1008"/>
            <w:shd w:val="clear" w:color="auto" w:fill="6B1831"/>
          </w:tcPr>
          <w:p>
            <w:pPr>
              <w:jc w:val="center"/>
            </w:pPr>
            <w:r>
              <w:rPr>
                <w:b/>
                <w:color w:val="FFFFFF"/>
                <w:sz w:val="19"/>
              </w:rPr>
              <w:t>Frente</w:t>
            </w:r>
          </w:p>
        </w:tc>
        <w:tc>
          <w:tcPr>
            <w:tcW w:type="dxa" w:w="2160"/>
            <w:shd w:val="clear" w:color="auto" w:fill="6B1831"/>
          </w:tcPr>
          <w:p>
            <w:pPr>
              <w:jc w:val="center"/>
            </w:pPr>
            <w:r>
              <w:rPr>
                <w:b/>
                <w:color w:val="FFFFFF"/>
                <w:sz w:val="19"/>
              </w:rPr>
              <w:t>Tipo</w:t>
            </w:r>
          </w:p>
        </w:tc>
        <w:tc>
          <w:tcPr>
            <w:tcW w:type="dxa" w:w="1872"/>
            <w:shd w:val="clear" w:color="auto" w:fill="6B1831"/>
          </w:tcPr>
          <w:p>
            <w:pPr>
              <w:jc w:val="center"/>
            </w:pPr>
            <w:r>
              <w:rPr>
                <w:b/>
                <w:color w:val="FFFFFF"/>
                <w:sz w:val="19"/>
              </w:rPr>
              <w:t>Municipio</w:t>
            </w:r>
          </w:p>
        </w:tc>
        <w:tc>
          <w:tcPr>
            <w:tcW w:type="dxa" w:w="6192"/>
            <w:shd w:val="clear" w:color="auto" w:fill="6B1831"/>
          </w:tcPr>
          <w:p>
            <w:pPr>
              <w:jc w:val="center"/>
            </w:pPr>
            <w:r>
              <w:rPr>
                <w:b/>
                <w:color w:val="FFFFFF"/>
                <w:sz w:val="19"/>
              </w:rPr>
              <w:t>Contexto</w:t>
            </w:r>
          </w:p>
        </w:tc>
      </w:tr>
      <w:tr>
        <w:tc>
          <w:tcPr>
            <w:tcW w:type="dxa" w:w="1008"/>
          </w:tcPr>
          <w:p>
            <w:pPr>
              <w:jc w:val="center"/>
            </w:pPr>
            <w:r>
              <w:rPr>
                <w:sz w:val="19"/>
              </w:rPr>
              <w:t>F1</w:t>
            </w:r>
          </w:p>
        </w:tc>
        <w:tc>
          <w:tcPr>
            <w:tcW w:type="dxa" w:w="2160"/>
          </w:tcPr>
          <w:p>
            <w:pPr>
              <w:jc w:val="center"/>
            </w:pPr>
            <w:r>
              <w:rPr>
                <w:sz w:val="19"/>
              </w:rPr>
              <w:t>Mesa Atencion Social</w:t>
            </w:r>
          </w:p>
        </w:tc>
        <w:tc>
          <w:tcPr>
            <w:tcW w:type="dxa" w:w="1872"/>
          </w:tcPr>
          <w:p>
            <w:pPr>
              <w:jc w:val="center"/>
            </w:pPr>
            <w:r>
              <w:rPr>
                <w:sz w:val="19"/>
              </w:rPr>
              <w:t>Villagran</w:t>
            </w:r>
          </w:p>
        </w:tc>
        <w:tc>
          <w:tcPr>
            <w:tcW w:type="dxa" w:w="6192"/>
          </w:tcPr>
          <w:p>
            <w:pPr>
              <w:jc w:val="center"/>
            </w:pPr>
            <w:r>
              <w:rPr>
                <w:sz w:val="19"/>
              </w:rPr>
              <w:t>Cancelada con evidencias fotograficas. Participantes: ARTF, SICT Vinculacion, SICT Guanajuato, GTO. Acuerdos absorbidos por la mesa activa del municipio.</w:t>
            </w:r>
          </w:p>
        </w:tc>
      </w:tr>
    </w:tbl>
    <w:p>
      <w:r>
        <w:br w:type="page"/>
      </w:r>
    </w:p>
    <w:p>
      <w:pPr>
        <w:pStyle w:val="Heading1"/>
        <w:pBdr>
          <w:bottom w:val="single" w:sz="8" w:space="1" w:color="6B1831"/>
        </w:pBdr>
      </w:pPr>
      <w:r>
        <w:t>9.  Riesgos y Observaciones</w:t>
      </w:r>
    </w:p>
    <w:p>
      <w:pPr/>
      <w:r>
        <w:rPr>
          <w:color w:val="1B5E20"/>
        </w:rPr>
        <w:t>No se registran observaciones abiertas en SAO para TQI. Calidad de datos excelente.</w:t>
      </w:r>
    </w:p>
    <w:p>
      <w:pPr>
        <w:spacing w:after="0" w:before="0"/>
      </w:pPr>
    </w:p>
    <w:p>
      <w:pPr/>
      <w:r>
        <w:rPr>
          <w:b/>
        </w:rPr>
        <w:t>Riesgos identificados en acuerdos de campo:</w:t>
      </w:r>
    </w:p>
    <w:p>
      <w:pPr>
        <w:spacing w:after="0" w:before="0"/>
      </w:pPr>
    </w:p>
    <w:tbl>
      <w:tblPr>
        <w:tblStyle w:val="TableGrid"/>
        <w:tblW w:type="auto" w:w="0"/>
        <w:tblLook w:firstColumn="1" w:firstRow="1" w:lastColumn="0" w:lastRow="0" w:noHBand="0" w:noVBand="1" w:val="04A0"/>
      </w:tblPr>
      <w:tblGrid>
        <w:gridCol w:w="2282"/>
        <w:gridCol w:w="2282"/>
        <w:gridCol w:w="2282"/>
        <w:gridCol w:w="2282"/>
      </w:tblGrid>
      <w:tr>
        <w:tc>
          <w:tcPr>
            <w:tcW w:type="dxa" w:w="1008"/>
            <w:shd w:val="clear" w:color="auto" w:fill="6B1831"/>
          </w:tcPr>
          <w:p>
            <w:pPr>
              <w:jc w:val="center"/>
            </w:pPr>
            <w:r>
              <w:rPr>
                <w:b/>
                <w:color w:val="FFFFFF"/>
                <w:sz w:val="19"/>
              </w:rPr>
              <w:t>Nivel</w:t>
            </w:r>
          </w:p>
        </w:tc>
        <w:tc>
          <w:tcPr>
            <w:tcW w:type="dxa" w:w="5040"/>
            <w:shd w:val="clear" w:color="auto" w:fill="6B1831"/>
          </w:tcPr>
          <w:p>
            <w:pPr>
              <w:jc w:val="center"/>
            </w:pPr>
            <w:r>
              <w:rPr>
                <w:b/>
                <w:color w:val="FFFFFF"/>
                <w:sz w:val="19"/>
              </w:rPr>
              <w:t>Descripcion del riesgo</w:t>
            </w:r>
          </w:p>
        </w:tc>
        <w:tc>
          <w:tcPr>
            <w:tcW w:type="dxa" w:w="2160"/>
            <w:shd w:val="clear" w:color="auto" w:fill="6B1831"/>
          </w:tcPr>
          <w:p>
            <w:pPr>
              <w:jc w:val="center"/>
            </w:pPr>
            <w:r>
              <w:rPr>
                <w:b/>
                <w:color w:val="FFFFFF"/>
                <w:sz w:val="19"/>
              </w:rPr>
              <w:t>Municipio</w:t>
            </w:r>
          </w:p>
        </w:tc>
        <w:tc>
          <w:tcPr>
            <w:tcW w:type="dxa" w:w="3888"/>
            <w:shd w:val="clear" w:color="auto" w:fill="6B1831"/>
          </w:tcPr>
          <w:p>
            <w:pPr>
              <w:jc w:val="center"/>
            </w:pPr>
            <w:r>
              <w:rPr>
                <w:b/>
                <w:color w:val="FFFFFF"/>
                <w:sz w:val="19"/>
              </w:rPr>
              <w:t>Accion requerida</w:t>
            </w:r>
          </w:p>
        </w:tc>
      </w:tr>
      <w:tr>
        <w:tc>
          <w:tcPr>
            <w:tcW w:type="dxa" w:w="1008"/>
          </w:tcPr>
          <w:p>
            <w:pPr>
              <w:jc w:val="center"/>
            </w:pPr>
            <w:r>
              <w:rPr>
                <w:sz w:val="19"/>
              </w:rPr>
              <w:t>ALTO</w:t>
            </w:r>
          </w:p>
        </w:tc>
        <w:tc>
          <w:tcPr>
            <w:tcW w:type="dxa" w:w="5040"/>
          </w:tcPr>
          <w:p>
            <w:pPr>
              <w:jc w:val="center"/>
            </w:pPr>
            <w:r>
              <w:rPr>
                <w:sz w:val="19"/>
              </w:rPr>
              <w:t>KANSAS presento oficio solicitando retiro de invasiones en DDV -- zona Coachiti (tambien afecta TQSL)</w:t>
            </w:r>
          </w:p>
        </w:tc>
        <w:tc>
          <w:tcPr>
            <w:tcW w:type="dxa" w:w="2160"/>
          </w:tcPr>
          <w:p>
            <w:pPr>
              <w:jc w:val="center"/>
            </w:pPr>
            <w:r>
              <w:rPr>
                <w:sz w:val="19"/>
              </w:rPr>
              <w:t>Zona Coachiti</w:t>
            </w:r>
          </w:p>
        </w:tc>
        <w:tc>
          <w:tcPr>
            <w:tcW w:type="dxa" w:w="3888"/>
          </w:tcPr>
          <w:p>
            <w:pPr>
              <w:jc w:val="center"/>
            </w:pPr>
            <w:r>
              <w:rPr>
                <w:sz w:val="19"/>
              </w:rPr>
              <w:t>Verificar con ARTF -- posible conflicto legal en DDV</w:t>
            </w:r>
          </w:p>
        </w:tc>
      </w:tr>
      <w:tr>
        <w:tc>
          <w:tcPr>
            <w:tcW w:type="dxa" w:w="1008"/>
          </w:tcPr>
          <w:p>
            <w:pPr>
              <w:jc w:val="center"/>
            </w:pPr>
            <w:r>
              <w:rPr>
                <w:sz w:val="19"/>
              </w:rPr>
              <w:t>MEDIO</w:t>
            </w:r>
          </w:p>
        </w:tc>
        <w:tc>
          <w:tcPr>
            <w:tcW w:type="dxa" w:w="5040"/>
          </w:tcPr>
          <w:p>
            <w:pPr>
              <w:jc w:val="center"/>
            </w:pPr>
            <w:r>
              <w:rPr>
                <w:sz w:val="19"/>
              </w:rPr>
              <w:t>Arboles afectados a lo largo de toda la via -- requieren gestion ambiental (SEMARNAT/INAH)</w:t>
            </w:r>
          </w:p>
        </w:tc>
        <w:tc>
          <w:tcPr>
            <w:tcW w:type="dxa" w:w="2160"/>
          </w:tcPr>
          <w:p>
            <w:pPr>
              <w:jc w:val="center"/>
            </w:pPr>
            <w:r>
              <w:rPr>
                <w:sz w:val="19"/>
              </w:rPr>
              <w:t>Corredor Gto</w:t>
            </w:r>
          </w:p>
        </w:tc>
        <w:tc>
          <w:tcPr>
            <w:tcW w:type="dxa" w:w="3888"/>
          </w:tcPr>
          <w:p>
            <w:pPr>
              <w:jc w:val="center"/>
            </w:pPr>
            <w:r>
              <w:rPr>
                <w:sz w:val="19"/>
              </w:rPr>
              <w:t>Inventario de arbolado y dictamen ambiental</w:t>
            </w:r>
          </w:p>
        </w:tc>
      </w:tr>
      <w:tr>
        <w:tc>
          <w:tcPr>
            <w:tcW w:type="dxa" w:w="1008"/>
          </w:tcPr>
          <w:p>
            <w:pPr>
              <w:jc w:val="center"/>
            </w:pPr>
            <w:r>
              <w:rPr>
                <w:sz w:val="19"/>
              </w:rPr>
              <w:t>MEDIO</w:t>
            </w:r>
          </w:p>
        </w:tc>
        <w:tc>
          <w:tcPr>
            <w:tcW w:type="dxa" w:w="5040"/>
          </w:tcPr>
          <w:p>
            <w:pPr>
              <w:jc w:val="center"/>
            </w:pPr>
            <w:r>
              <w:rPr>
                <w:sz w:val="19"/>
              </w:rPr>
              <w:t>Apaseo el Grande: 3 actividades pendientes -- riesgo de atraso en F2</w:t>
            </w:r>
          </w:p>
        </w:tc>
        <w:tc>
          <w:tcPr>
            <w:tcW w:type="dxa" w:w="2160"/>
          </w:tcPr>
          <w:p>
            <w:pPr>
              <w:jc w:val="center"/>
            </w:pPr>
            <w:r>
              <w:rPr>
                <w:sz w:val="19"/>
              </w:rPr>
              <w:t>Apaseo el Grande</w:t>
            </w:r>
          </w:p>
        </w:tc>
        <w:tc>
          <w:tcPr>
            <w:tcW w:type="dxa" w:w="3888"/>
          </w:tcPr>
          <w:p>
            <w:pPr>
              <w:jc w:val="center"/>
            </w:pPr>
            <w:r>
              <w:rPr>
                <w:sz w:val="19"/>
              </w:rPr>
              <w:t>Ejecutar caminamiento y reuniones en la proxima semana</w:t>
            </w:r>
          </w:p>
        </w:tc>
      </w:tr>
      <w:tr>
        <w:tc>
          <w:tcPr>
            <w:tcW w:type="dxa" w:w="1008"/>
          </w:tcPr>
          <w:p>
            <w:pPr>
              <w:jc w:val="center"/>
            </w:pPr>
            <w:r>
              <w:rPr>
                <w:sz w:val="19"/>
              </w:rPr>
              <w:t>BAJO</w:t>
            </w:r>
          </w:p>
        </w:tc>
        <w:tc>
          <w:tcPr>
            <w:tcW w:type="dxa" w:w="5040"/>
          </w:tcPr>
          <w:p>
            <w:pPr>
              <w:jc w:val="center"/>
            </w:pPr>
            <w:r>
              <w:rPr>
                <w:sz w:val="19"/>
              </w:rPr>
              <w:t>Mesa cancelada con evidencia fotografica -- confirmar si requiere re-registro</w:t>
            </w:r>
          </w:p>
        </w:tc>
        <w:tc>
          <w:tcPr>
            <w:tcW w:type="dxa" w:w="2160"/>
          </w:tcPr>
          <w:p>
            <w:pPr>
              <w:jc w:val="center"/>
            </w:pPr>
            <w:r>
              <w:rPr>
                <w:sz w:val="19"/>
              </w:rPr>
              <w:t>Villagran</w:t>
            </w:r>
          </w:p>
        </w:tc>
        <w:tc>
          <w:tcPr>
            <w:tcW w:type="dxa" w:w="3888"/>
          </w:tcPr>
          <w:p>
            <w:pPr>
              <w:jc w:val="center"/>
            </w:pPr>
            <w:r>
              <w:rPr>
                <w:sz w:val="19"/>
              </w:rPr>
              <w:t>Confirmar captura de acuerdos en el registro activo</w:t>
            </w:r>
          </w:p>
        </w:tc>
      </w:tr>
    </w:tbl>
    <w:p>
      <w:r>
        <w:br w:type="page"/>
      </w:r>
    </w:p>
    <w:p>
      <w:pPr>
        <w:pStyle w:val="Heading1"/>
        <w:pBdr>
          <w:bottom w:val="single" w:sz="8" w:space="1" w:color="6B1831"/>
        </w:pBdr>
      </w:pPr>
      <w:r>
        <w:t>10.  Municipios Participantes</w:t>
      </w:r>
    </w:p>
    <w:tbl>
      <w:tblPr>
        <w:tblStyle w:val="TableGrid"/>
        <w:tblW w:type="auto" w:w="0"/>
        <w:tblLook w:firstColumn="1" w:firstRow="1" w:lastColumn="0" w:lastRow="0" w:noHBand="0" w:noVBand="1" w:val="04A0"/>
      </w:tblPr>
      <w:tblGrid>
        <w:gridCol w:w="2282"/>
        <w:gridCol w:w="2282"/>
        <w:gridCol w:w="2282"/>
        <w:gridCol w:w="2282"/>
      </w:tblGrid>
      <w:tr>
        <w:tc>
          <w:tcPr>
            <w:tcW w:type="dxa" w:w="3168"/>
            <w:shd w:val="clear" w:color="auto" w:fill="6B1831"/>
          </w:tcPr>
          <w:p>
            <w:pPr>
              <w:jc w:val="center"/>
            </w:pPr>
            <w:r>
              <w:rPr>
                <w:b/>
                <w:color w:val="FFFFFF"/>
                <w:sz w:val="19"/>
              </w:rPr>
              <w:t>Municipio</w:t>
            </w:r>
          </w:p>
        </w:tc>
        <w:tc>
          <w:tcPr>
            <w:tcW w:type="dxa" w:w="2016"/>
            <w:shd w:val="clear" w:color="auto" w:fill="6B1831"/>
          </w:tcPr>
          <w:p>
            <w:pPr>
              <w:jc w:val="center"/>
            </w:pPr>
            <w:r>
              <w:rPr>
                <w:b/>
                <w:color w:val="FFFFFF"/>
                <w:sz w:val="19"/>
              </w:rPr>
              <w:t>Frente</w:t>
            </w:r>
          </w:p>
        </w:tc>
        <w:tc>
          <w:tcPr>
            <w:tcW w:type="dxa" w:w="4032"/>
            <w:shd w:val="clear" w:color="auto" w:fill="6B1831"/>
          </w:tcPr>
          <w:p>
            <w:pPr>
              <w:jc w:val="center"/>
            </w:pPr>
            <w:r>
              <w:rPr>
                <w:b/>
                <w:color w:val="FFFFFF"/>
                <w:sz w:val="19"/>
              </w:rPr>
              <w:t>Completadas</w:t>
            </w:r>
          </w:p>
        </w:tc>
        <w:tc>
          <w:tcPr>
            <w:tcW w:type="dxa" w:w="2160"/>
            <w:shd w:val="clear" w:color="auto" w:fill="6B1831"/>
          </w:tcPr>
          <w:p>
            <w:pPr>
              <w:jc w:val="center"/>
            </w:pPr>
            <w:r>
              <w:rPr>
                <w:b/>
                <w:color w:val="FFFFFF"/>
                <w:sz w:val="19"/>
              </w:rPr>
              <w:t>Pendientes</w:t>
            </w:r>
          </w:p>
        </w:tc>
      </w:tr>
      <w:tr>
        <w:tc>
          <w:tcPr>
            <w:tcW w:type="dxa" w:w="3168"/>
          </w:tcPr>
          <w:p>
            <w:pPr>
              <w:jc w:val="center"/>
            </w:pPr>
            <w:r>
              <w:rPr>
                <w:sz w:val="19"/>
              </w:rPr>
              <w:t>Salamanca</w:t>
            </w:r>
          </w:p>
        </w:tc>
        <w:tc>
          <w:tcPr>
            <w:tcW w:type="dxa" w:w="2016"/>
          </w:tcPr>
          <w:p>
            <w:pPr>
              <w:jc w:val="center"/>
            </w:pPr>
            <w:r>
              <w:rPr>
                <w:sz w:val="19"/>
              </w:rPr>
              <w:t>F1, Frente 2, F4, F4-EA</w:t>
            </w:r>
          </w:p>
        </w:tc>
        <w:tc>
          <w:tcPr>
            <w:tcW w:type="dxa" w:w="4032"/>
          </w:tcPr>
          <w:p>
            <w:pPr>
              <w:jc w:val="center"/>
            </w:pPr>
            <w:r>
              <w:rPr>
                <w:sz w:val="19"/>
              </w:rPr>
              <w:t>9 (caminamientos, MAS, REU, tecnica, avaluos)</w:t>
            </w:r>
          </w:p>
        </w:tc>
        <w:tc>
          <w:tcPr>
            <w:tcW w:type="dxa" w:w="2160"/>
          </w:tcPr>
          <w:p>
            <w:pPr>
              <w:jc w:val="center"/>
            </w:pPr>
            <w:r>
              <w:rPr>
                <w:sz w:val="19"/>
              </w:rPr>
              <w:t>1 (calendarizacion PP)</w:t>
            </w:r>
          </w:p>
        </w:tc>
      </w:tr>
      <w:tr>
        <w:tc>
          <w:tcPr>
            <w:tcW w:type="dxa" w:w="3168"/>
          </w:tcPr>
          <w:p>
            <w:pPr>
              <w:jc w:val="center"/>
            </w:pPr>
            <w:r>
              <w:rPr>
                <w:sz w:val="19"/>
              </w:rPr>
              <w:t>Irapuato</w:t>
            </w:r>
          </w:p>
        </w:tc>
        <w:tc>
          <w:tcPr>
            <w:tcW w:type="dxa" w:w="2016"/>
          </w:tcPr>
          <w:p>
            <w:pPr>
              <w:jc w:val="center"/>
            </w:pPr>
            <w:r>
              <w:rPr>
                <w:sz w:val="19"/>
              </w:rPr>
              <w:t>F1, Frente 2</w:t>
            </w:r>
          </w:p>
        </w:tc>
        <w:tc>
          <w:tcPr>
            <w:tcW w:type="dxa" w:w="4032"/>
          </w:tcPr>
          <w:p>
            <w:pPr>
              <w:jc w:val="center"/>
            </w:pPr>
            <w:r>
              <w:rPr>
                <w:sz w:val="19"/>
              </w:rPr>
              <w:t>3 (caminamiento, reunion, MAS)</w:t>
            </w:r>
          </w:p>
        </w:tc>
        <w:tc>
          <w:tcPr>
            <w:tcW w:type="dxa" w:w="2160"/>
          </w:tcPr>
          <w:p>
            <w:pPr>
              <w:jc w:val="center"/>
            </w:pPr>
            <w:r>
              <w:rPr>
                <w:sz w:val="19"/>
              </w:rPr>
              <w:t>0</w:t>
            </w:r>
          </w:p>
        </w:tc>
      </w:tr>
      <w:tr>
        <w:tc>
          <w:tcPr>
            <w:tcW w:type="dxa" w:w="3168"/>
          </w:tcPr>
          <w:p>
            <w:pPr>
              <w:jc w:val="center"/>
            </w:pPr>
            <w:r>
              <w:rPr>
                <w:sz w:val="19"/>
              </w:rPr>
              <w:t>Celaya</w:t>
            </w:r>
          </w:p>
        </w:tc>
        <w:tc>
          <w:tcPr>
            <w:tcW w:type="dxa" w:w="2016"/>
          </w:tcPr>
          <w:p>
            <w:pPr>
              <w:jc w:val="center"/>
            </w:pPr>
            <w:r>
              <w:rPr>
                <w:sz w:val="19"/>
              </w:rPr>
              <w:t>F1, F3, F4-EA</w:t>
            </w:r>
          </w:p>
        </w:tc>
        <w:tc>
          <w:tcPr>
            <w:tcW w:type="dxa" w:w="4032"/>
          </w:tcPr>
          <w:p>
            <w:pPr>
              <w:jc w:val="center"/>
            </w:pPr>
            <w:r>
              <w:rPr>
                <w:sz w:val="19"/>
              </w:rPr>
              <w:t>4 (2 AIN, 2 REU)</w:t>
            </w:r>
          </w:p>
        </w:tc>
        <w:tc>
          <w:tcPr>
            <w:tcW w:type="dxa" w:w="2160"/>
          </w:tcPr>
          <w:p>
            <w:pPr>
              <w:jc w:val="center"/>
            </w:pPr>
            <w:r>
              <w:rPr>
                <w:sz w:val="19"/>
              </w:rPr>
              <w:t>0</w:t>
            </w:r>
          </w:p>
        </w:tc>
      </w:tr>
      <w:tr>
        <w:tc>
          <w:tcPr>
            <w:tcW w:type="dxa" w:w="3168"/>
          </w:tcPr>
          <w:p>
            <w:pPr>
              <w:jc w:val="center"/>
            </w:pPr>
            <w:r>
              <w:rPr>
                <w:sz w:val="19"/>
              </w:rPr>
              <w:t>Cortazar</w:t>
            </w:r>
          </w:p>
        </w:tc>
        <w:tc>
          <w:tcPr>
            <w:tcW w:type="dxa" w:w="2016"/>
          </w:tcPr>
          <w:p>
            <w:pPr>
              <w:jc w:val="center"/>
            </w:pPr>
            <w:r>
              <w:rPr>
                <w:sz w:val="19"/>
              </w:rPr>
              <w:t>F1</w:t>
            </w:r>
          </w:p>
        </w:tc>
        <w:tc>
          <w:tcPr>
            <w:tcW w:type="dxa" w:w="4032"/>
          </w:tcPr>
          <w:p>
            <w:pPr>
              <w:jc w:val="center"/>
            </w:pPr>
            <w:r>
              <w:rPr>
                <w:sz w:val="19"/>
              </w:rPr>
              <w:t>1 (reunion)</w:t>
            </w:r>
          </w:p>
        </w:tc>
        <w:tc>
          <w:tcPr>
            <w:tcW w:type="dxa" w:w="2160"/>
          </w:tcPr>
          <w:p>
            <w:pPr>
              <w:jc w:val="center"/>
            </w:pPr>
            <w:r>
              <w:rPr>
                <w:sz w:val="19"/>
              </w:rPr>
              <w:t>0</w:t>
            </w:r>
          </w:p>
        </w:tc>
      </w:tr>
      <w:tr>
        <w:tc>
          <w:tcPr>
            <w:tcW w:type="dxa" w:w="3168"/>
          </w:tcPr>
          <w:p>
            <w:pPr>
              <w:jc w:val="center"/>
            </w:pPr>
            <w:r>
              <w:rPr>
                <w:sz w:val="19"/>
              </w:rPr>
              <w:t>Santa Cruz de Juventino Rosas</w:t>
            </w:r>
          </w:p>
        </w:tc>
        <w:tc>
          <w:tcPr>
            <w:tcW w:type="dxa" w:w="2016"/>
          </w:tcPr>
          <w:p>
            <w:pPr>
              <w:jc w:val="center"/>
            </w:pPr>
            <w:r>
              <w:rPr>
                <w:sz w:val="19"/>
              </w:rPr>
              <w:t>F1</w:t>
            </w:r>
          </w:p>
        </w:tc>
        <w:tc>
          <w:tcPr>
            <w:tcW w:type="dxa" w:w="4032"/>
          </w:tcPr>
          <w:p>
            <w:pPr>
              <w:jc w:val="center"/>
            </w:pPr>
            <w:r>
              <w:rPr>
                <w:sz w:val="19"/>
              </w:rPr>
              <w:t>1 (MAS)</w:t>
            </w:r>
          </w:p>
        </w:tc>
        <w:tc>
          <w:tcPr>
            <w:tcW w:type="dxa" w:w="2160"/>
          </w:tcPr>
          <w:p>
            <w:pPr>
              <w:jc w:val="center"/>
            </w:pPr>
            <w:r>
              <w:rPr>
                <w:sz w:val="19"/>
              </w:rPr>
              <w:t>0</w:t>
            </w:r>
          </w:p>
        </w:tc>
      </w:tr>
      <w:tr>
        <w:tc>
          <w:tcPr>
            <w:tcW w:type="dxa" w:w="3168"/>
          </w:tcPr>
          <w:p>
            <w:pPr>
              <w:jc w:val="center"/>
            </w:pPr>
            <w:r>
              <w:rPr>
                <w:sz w:val="19"/>
              </w:rPr>
              <w:t>Villagran</w:t>
            </w:r>
          </w:p>
        </w:tc>
        <w:tc>
          <w:tcPr>
            <w:tcW w:type="dxa" w:w="2016"/>
          </w:tcPr>
          <w:p>
            <w:pPr>
              <w:jc w:val="center"/>
            </w:pPr>
            <w:r>
              <w:rPr>
                <w:sz w:val="19"/>
              </w:rPr>
              <w:t>F1</w:t>
            </w:r>
          </w:p>
        </w:tc>
        <w:tc>
          <w:tcPr>
            <w:tcW w:type="dxa" w:w="4032"/>
          </w:tcPr>
          <w:p>
            <w:pPr>
              <w:jc w:val="center"/>
            </w:pPr>
            <w:r>
              <w:rPr>
                <w:sz w:val="19"/>
              </w:rPr>
              <w:t>1 (MAS) -- cancelada reagendada</w:t>
            </w:r>
          </w:p>
        </w:tc>
        <w:tc>
          <w:tcPr>
            <w:tcW w:type="dxa" w:w="2160"/>
          </w:tcPr>
          <w:p>
            <w:pPr>
              <w:jc w:val="center"/>
            </w:pPr>
            <w:r>
              <w:rPr>
                <w:sz w:val="19"/>
              </w:rPr>
              <w:t>0</w:t>
            </w:r>
          </w:p>
        </w:tc>
      </w:tr>
      <w:tr>
        <w:tc>
          <w:tcPr>
            <w:tcW w:type="dxa" w:w="3168"/>
          </w:tcPr>
          <w:p>
            <w:pPr>
              <w:jc w:val="center"/>
            </w:pPr>
            <w:r>
              <w:rPr>
                <w:sz w:val="19"/>
              </w:rPr>
              <w:t>Apaseo el Grande</w:t>
            </w:r>
          </w:p>
        </w:tc>
        <w:tc>
          <w:tcPr>
            <w:tcW w:type="dxa" w:w="2016"/>
          </w:tcPr>
          <w:p>
            <w:pPr>
              <w:jc w:val="center"/>
            </w:pPr>
            <w:r>
              <w:rPr>
                <w:sz w:val="19"/>
              </w:rPr>
              <w:t>Frente 2</w:t>
            </w:r>
          </w:p>
        </w:tc>
        <w:tc>
          <w:tcPr>
            <w:tcW w:type="dxa" w:w="4032"/>
          </w:tcPr>
          <w:p>
            <w:pPr>
              <w:jc w:val="center"/>
            </w:pPr>
            <w:r>
              <w:rPr>
                <w:sz w:val="19"/>
              </w:rPr>
              <w:t>0</w:t>
            </w:r>
          </w:p>
        </w:tc>
        <w:tc>
          <w:tcPr>
            <w:tcW w:type="dxa" w:w="2160"/>
          </w:tcPr>
          <w:p>
            <w:pPr>
              <w:jc w:val="center"/>
            </w:pPr>
            <w:r>
              <w:rPr>
                <w:sz w:val="19"/>
              </w:rPr>
              <w:t>3 (reunion x2, caminamiento)</w:t>
            </w:r>
          </w:p>
        </w:tc>
      </w:tr>
    </w:tbl>
    <w:p>
      <w:pPr>
        <w:spacing w:after="0" w:before="0"/>
      </w:pPr>
    </w:p>
    <w:p>
      <w:pPr>
        <w:spacing w:after="0" w:before="0"/>
      </w:pPr>
    </w:p>
    <w:p>
      <w:pPr/>
      <w:r>
        <w:rPr>
          <w:color w:val="555555"/>
        </w:rPr>
        <w:t>------------------------------------------------------------------------</w:t>
      </w:r>
    </w:p>
    <w:p>
      <w:pPr/>
      <w:r>
        <w:rPr>
          <w:color w:val="555555"/>
          <w:sz w:val="18"/>
        </w:rPr>
        <w:t>Documento generado por el sistema SAO -- Unidad de Adquisicion de Derechos de Via -- ATTRAPI</w:t>
      </w:r>
    </w:p>
    <w:p>
      <w:pPr/>
      <w:r>
        <w:rPr>
          <w:color w:val="555555"/>
          <w:sz w:val="18"/>
        </w:rPr>
        <w:t>Fecha: 20/05/2026  |  Referencia: SAO-TQI-RPT-2026-0520</w:t>
      </w:r>
    </w:p>
    <w:sectPr w:rsidR="00FC693F" w:rsidRPr="0006063C" w:rsidSect="00034616">
      <w:headerReference w:type="default" r:id="rId9"/>
      <w:footerReference w:type="default" r:id="rId10"/>
      <w:pgSz w:w="12240" w:h="15840"/>
      <w:pgMar w:top="1440" w:right="1411" w:bottom="1440" w:left="169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6B1831"/>
      </w:pBdr>
    </w:pPr>
    <w:r>
      <w:rPr>
        <w:rFonts w:ascii="Calibri" w:hAnsi="Calibri"/>
        <w:color w:val="555555"/>
        <w:sz w:val="16"/>
      </w:rPr>
      <w:t xml:space="preserve">SAO-TQI-RPT-2026-0520  |  Corte 20/05/2026  |  Pag. </w:t>
    </w:r>
    <w:r>
      <w:rPr>
        <w:rFonts w:ascii="Calibri" w:hAnsi="Calibri"/>
        <w:color w:val="555555"/>
        <w:sz w:val="16"/>
      </w:rPr>
      <w:fldChar w:fldCharType="begin"/>
    </w:r>
    <w:r>
      <w:rPr>
        <w:rFonts w:ascii="Calibri" w:hAnsi="Calibri"/>
        <w:color w:val="555555"/>
        <w:sz w:val="16"/>
      </w:rPr>
      <w:instrText xml:space="preserve">PAGE</w:instrText>
    </w:r>
    <w:r>
      <w:rPr>
        <w:rFonts w:ascii="Calibri" w:hAnsi="Calibri"/>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6B1831"/>
      </w:pBd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104.png"/>
                  <pic:cNvPicPr/>
                </pic:nvPicPr>
                <pic:blipFill>
                  <a:blip r:embed="rId1"/>
                  <a:stretch>
                    <a:fillRect/>
                  </a:stretch>
                </pic:blipFill>
                <pic:spPr>
                  <a:xfrm>
                    <a:off x="0" y="0"/>
                    <a:ext cx="5303520" cy="5303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6B183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9B2C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3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