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263999" cy="2384818"/>
            <wp:docPr id="1" name="Picture 1" descr="Prima i numeri - La città del futuro, con quali numeri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_i_numeri_banner-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38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Kicker"/>
      </w:pPr>
      <w:r>
        <w:rPr>
          <w:rFonts w:ascii="Arial" w:hAnsi="Arial" w:eastAsia="Arial"/>
          <w:b/>
          <w:color w:val="2A73A8"/>
          <w:sz w:val="17"/>
        </w:rPr>
        <w:t>COMUNICATO STAMPA | PER DIFFUSIONE IMMEDIATA | 10 AGOSTO 2026</w:t>
      </w:r>
    </w:p>
    <w:p>
      <w:pPr>
        <w:pStyle w:val="Title"/>
      </w:pPr>
      <w:r>
        <w:rPr>
          <w:rFonts w:ascii="Arial" w:hAnsi="Arial" w:eastAsia="Arial"/>
          <w:b/>
          <w:color w:val="082F62"/>
          <w:sz w:val="48"/>
        </w:rPr>
        <w:t>PUC di Santa Marina, nella VAS compaiono Aquara, Felitto e il fiume Calore</w:t>
      </w:r>
    </w:p>
    <w:p>
      <w:pPr>
        <w:pStyle w:val="Subtitle"/>
      </w:pPr>
      <w:r>
        <w:rPr>
          <w:rFonts w:ascii="Arial" w:hAnsi="Arial" w:eastAsia="Arial"/>
          <w:color w:val="2A73A8"/>
          <w:sz w:val="25"/>
        </w:rPr>
        <w:t>Quattro osservazioni protocollate chiedono una verifica pubblica e un confronto tecnico aperto ai cittadini prima delle determinazioni finali</w:t>
      </w:r>
    </w:p>
    <w:p>
      <w:pPr>
        <w:pStyle w:val="Lead"/>
      </w:pPr>
      <w:r>
        <w:rPr>
          <w:rFonts w:ascii="Arial" w:hAnsi="Arial" w:eastAsia="Arial"/>
          <w:b/>
          <w:color w:val="17212B"/>
          <w:sz w:val="23"/>
        </w:rPr>
        <w:t xml:space="preserve">SANTA MARINA (SA), 10 agosto 2026 - </w:t>
      </w:r>
      <w:r>
        <w:rPr>
          <w:rFonts w:ascii="Arial" w:hAnsi="Arial" w:eastAsia="Arial"/>
          <w:b/>
          <w:color w:val="17212B"/>
          <w:sz w:val="23"/>
        </w:rPr>
        <w:t>Nel Rapporto ambientale e nella Sintesi non tecnica della Valutazione Ambientale Strategica (VAS) allegata al PUC di Santa Marina compaiono riferimenti al "territorio comunale di Aquara", al "Comune di Felitto" e alla "Riserva fluviale del Calore". Le Norme tecniche di attuazione del Piano disciplinano invece la Riserva del Fiume Bussento.</w:t>
      </w:r>
    </w:p>
    <w:p>
      <w:pPr/>
      <w:r>
        <w:rPr>
          <w:rFonts w:ascii="Arial" w:hAnsi="Arial" w:eastAsia="Arial"/>
          <w:color w:val="17212B"/>
        </w:rPr>
        <w:t>I rilievi sono contenuti nella quarta di quattro osservazioni tecniche e autonome protocollate il 3 agosto nell'ambito dell'iniziativa civica "Prima i numeri". L'osservazione non sostiene che l'intera VAS sia copiata, né che tre riferimenti territoriali errati rendano automaticamente nullo il Piano. Formula una domanda più precisa: si tratta di soli errori redazionali oppure gli stessi riferimenti hanno inciso su fonti, cartografie, indicatori o giudizi ambientali?</w:t>
      </w:r>
    </w:p>
    <w:p>
      <w:pPr>
        <w:pStyle w:val="PullQuote"/>
        <w:spacing w:before="140" w:after="200"/>
        <w:ind w:left="227" w:right="227"/>
        <w:shd w:fill="E8F0F6"/>
        <w:pBdr>
          <w:left w:val="single" w:sz="24" w:space="8" w:color="2A73A8"/>
        </w:pBdr>
      </w:pPr>
      <w:r>
        <w:rPr>
          <w:rFonts w:ascii="Arial" w:hAnsi="Arial" w:eastAsia="Arial"/>
          <w:i/>
          <w:color w:val="082F62"/>
          <w:sz w:val="23"/>
        </w:rPr>
        <w:t>"Non basta sostituire la parola Calore con Bussento. Occorre verificare se siano corretti anche il perimetro, i dati, gli indicatori e il giudizio positivo collegato. Se la verifica conferma che si tratta soltanto di refusi, va documentato; se cambia la valutazione, vanno aggiornati gli atti."</w:t>
      </w:r>
    </w:p>
    <w:p>
      <w:pPr>
        <w:spacing w:before="80" w:after="160" w:line="283" w:lineRule="auto"/>
        <w:ind w:left="142" w:right="142"/>
        <w:shd w:fill="FFF5DA"/>
        <w:pBdr>
          <w:left w:val="single" w:sz="24" w:space="8" w:color="8A6400"/>
        </w:pBdr>
      </w:pPr>
      <w:r>
        <w:rPr>
          <w:rFonts w:ascii="Arial" w:hAnsi="Arial" w:eastAsia="Arial"/>
          <w:b/>
          <w:color w:val="8A6400"/>
          <w:sz w:val="21"/>
        </w:rPr>
        <w:t xml:space="preserve">CONFRONTO PUBBLICO RICHIESTO  </w:t>
      </w:r>
      <w:r>
        <w:rPr>
          <w:rFonts w:ascii="Arial" w:hAnsi="Arial" w:eastAsia="Arial"/>
          <w:color w:val="17212B"/>
          <w:sz w:val="21"/>
        </w:rPr>
        <w:t>Prima delle determinazioni finali, l'iniziativa chiede un incontro pubblico di carattere tecnico e amministrativo con l'Amministrazione commissariale, gli uffici, i progettisti del PUC e della VAS e gli autori delle osservazioni. Documenti e domande dovrebbero essere disponibili prima dell'incontro; risposte e punti ancora aperti dovrebbero risultare da un verbale pubblico.</w:t>
      </w:r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Tre riferimenti territoriali nelle pagine della VAS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b/>
          <w:color w:val="17212B"/>
        </w:rPr>
        <w:t>R.06, pagina 10 del PDF:</w:t>
      </w:r>
      <w:r>
        <w:rPr>
          <w:rFonts w:ascii="Arial" w:hAnsi="Arial" w:eastAsia="Arial"/>
          <w:color w:val="17212B"/>
        </w:rPr>
        <w:t xml:space="preserve"> compare il riferimento al "territorio comunale di Aquara" nella parte dedicata alla pianificazione sovraordinata.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b/>
          <w:color w:val="17212B"/>
        </w:rPr>
        <w:t>R.06.all.2, pagina 5 del PDF:</w:t>
      </w:r>
      <w:r>
        <w:rPr>
          <w:rFonts w:ascii="Arial" w:hAnsi="Arial" w:eastAsia="Arial"/>
          <w:color w:val="17212B"/>
        </w:rPr>
        <w:t xml:space="preserve"> l'inquadramento della Sintesi non tecnica si apre con "Il Comune di Felitto".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b/>
          <w:color w:val="17212B"/>
        </w:rPr>
        <w:t>R.06, pagina 61, e Sintesi non tecnica, pagina 47:</w:t>
      </w:r>
      <w:r>
        <w:rPr>
          <w:rFonts w:ascii="Arial" w:hAnsi="Arial" w:eastAsia="Arial"/>
          <w:color w:val="17212B"/>
        </w:rPr>
        <w:t xml:space="preserve"> una matrice attribuisce un giudizio positivo alla "Riserva fluviale del Calore"; l'articolo 74 delle NTA disciplina invece la Riserva del Fiume Bussento.</w:t>
      </w:r>
    </w:p>
    <w:p>
      <w:pPr/>
      <w:r>
        <w:rPr>
          <w:rFonts w:ascii="Arial" w:hAnsi="Arial" w:eastAsia="Arial"/>
          <w:color w:val="17212B"/>
        </w:rPr>
        <w:t>Gli elaborati contengono anche riferimenti corretti al Bussento. Proprio la compresenza di elementi coerenti e territorialmente incompatibili rende necessaria, secondo l'osservazione, una verifica mirata e tracciabile, senza estendere il rilievo oltre ciò che i documenti dimostrano.</w:t>
      </w:r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Indicatori non calcolati, alternative e monitoraggio</w:t>
      </w:r>
    </w:p>
    <w:p>
      <w:pPr/>
      <w:r>
        <w:rPr>
          <w:rFonts w:ascii="Arial" w:hAnsi="Arial" w:eastAsia="Arial"/>
          <w:color w:val="17212B"/>
        </w:rPr>
        <w:t>L'osservazione segnala inoltre che, nelle matrici ambientali, alcuni indicatori selezionati dal Rapporto risultano N.C. o non quantificati: superfici edificate in aree a rischio di frana, aree boschive, versanti instabili, fasce fluviali, aree agricolo-forestali e aree tutelate. Si chiede di quantificarli quando ragionevolmente possibile e pertinente oppure di spiegare limiti conoscitivi e metodo qualitativo usato per sostenere i giudizi.</w:t>
      </w:r>
    </w:p>
    <w:p>
      <w:pPr/>
      <w:r>
        <w:rPr>
          <w:rFonts w:ascii="Arial" w:hAnsi="Arial" w:eastAsia="Arial"/>
          <w:color w:val="17212B"/>
        </w:rPr>
        <w:t>Viene chiesto anche un confronto esplicito tra alternative ragionevoli - alternativa zero, recupero e riuso dell'esistente, riduzione delle quantità e scenari con minore consumo di suolo - e un programma di monitoraggio con valori iniziali, responsabilità, frequenze, soglie e azioni correttive.</w:t>
      </w:r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La VAS è una delle quattro osservazioni</w:t>
      </w:r>
    </w:p>
    <w:p>
      <w:pPr/>
      <w:r>
        <w:rPr>
          <w:rFonts w:ascii="Arial" w:hAnsi="Arial" w:eastAsia="Arial"/>
          <w:color w:val="17212B"/>
        </w:rPr>
        <w:t>Le altre tre osservazioni riguardano il dimensionamento residenziale privato, l'edilizia residenziale pubblica e le previsioni turistico-ricettive. Il PUC localizza 54 nuovi alloggi privati in 12 ambiti, 36 alloggi ERP in 4 ambiti e 21 ambiti turistici. L'iniziativa non chiede di vietare case, edilizia sociale o turismo: chiede che fabbisogni, patrimonio esistente, capacità delle reti ed effetti cumulativi siano resi verificabili prima di trasformazioni irreversibili.</w:t>
      </w:r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Le richieste all'Amministrazione commissariale</w:t>
      </w:r>
    </w:p>
    <w:p>
      <w:pPr>
        <w:numPr>
          <w:ilvl w:val="0"/>
          <w:numId w:val="11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Correggere e coordinare i riferimenti territorialmente incompatibili e verificare tutti i dati e i giudizi collegati.</w:t>
      </w:r>
    </w:p>
    <w:p>
      <w:pPr>
        <w:numPr>
          <w:ilvl w:val="0"/>
          <w:numId w:val="11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Spiegare, per ciascun rilievo, se la correzione lascia invariata la valutazione o richiede un riesame di compatibilità, mitigazioni, quantità o localizzazioni.</w:t>
      </w:r>
    </w:p>
    <w:p>
      <w:pPr>
        <w:numPr>
          <w:ilvl w:val="0"/>
          <w:numId w:val="11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Integrare gli indicatori pertinenti, le alternative ragionevoli, la valutazione cumulativa e il programma di monitoraggio.</w:t>
      </w:r>
    </w:p>
    <w:p>
      <w:pPr>
        <w:numPr>
          <w:ilvl w:val="0"/>
          <w:numId w:val="11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Pubblicare gli atti istruttori decisivi e fornire controdeduzioni analitiche alle quattro osservazioni.</w:t>
      </w:r>
    </w:p>
    <w:p>
      <w:pPr>
        <w:numPr>
          <w:ilvl w:val="0"/>
          <w:numId w:val="11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Convocare un confronto pubblico, tecnico e verbalizzato prima delle determinazioni finali, con possibilità di porre domande sui documenti e sulle osservazioni.</w:t>
      </w:r>
    </w:p>
    <w:p>
      <w:pPr>
        <w:numPr>
          <w:ilvl w:val="0"/>
          <w:numId w:val="11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Se le integrazioni modificano in modo sostanziale Piano o VAS, adottare le conseguenti misure di pubblicità, consultazione e partecipazione; nel frattempo, condizionare le previsioni direttamente dipendenti dalle verifiche mancanti.</w:t>
      </w:r>
    </w:p>
    <w:p>
      <w:pPr>
        <w:spacing w:before="80" w:after="160" w:line="283" w:lineRule="auto"/>
        <w:ind w:left="142" w:right="142"/>
        <w:shd w:fill="EEF3EC"/>
        <w:pBdr>
          <w:left w:val="single" w:sz="24" w:space="8" w:color="5F7A5F"/>
        </w:pBdr>
      </w:pPr>
      <w:r>
        <w:rPr>
          <w:rFonts w:ascii="Arial" w:hAnsi="Arial" w:eastAsia="Arial"/>
          <w:b/>
          <w:color w:val="5F7A5F"/>
          <w:sz w:val="21"/>
        </w:rPr>
        <w:t xml:space="preserve">LA RICHIESTA IN UNA FRASE  </w:t>
      </w:r>
      <w:r>
        <w:rPr>
          <w:rFonts w:ascii="Arial" w:hAnsi="Arial" w:eastAsia="Arial"/>
          <w:color w:val="17212B"/>
          <w:sz w:val="21"/>
        </w:rPr>
        <w:t>Contare ciò che esiste. Capire ciò che serve. Verificare ciò che il territorio può sostenere. Soltanto dopo decidere quanto costruire.</w:t>
      </w:r>
    </w:p>
    <w:p>
      <w:pPr>
        <w:spacing w:before="80" w:after="160" w:line="283" w:lineRule="auto"/>
        <w:ind w:left="142" w:right="142"/>
        <w:shd w:fill="E8F0F6"/>
        <w:pBdr>
          <w:left w:val="single" w:sz="24" w:space="8" w:color="2A73A8"/>
        </w:pBdr>
      </w:pPr>
      <w:r>
        <w:rPr>
          <w:rFonts w:ascii="Arial" w:hAnsi="Arial" w:eastAsia="Arial"/>
          <w:b/>
          <w:color w:val="2A73A8"/>
          <w:sz w:val="21"/>
        </w:rPr>
        <w:t xml:space="preserve">RESPONSABILITÀ ISTITUZIONALE  </w:t>
      </w:r>
      <w:r>
        <w:rPr>
          <w:rFonts w:ascii="Arial" w:hAnsi="Arial" w:eastAsia="Arial"/>
          <w:color w:val="17212B"/>
          <w:sz w:val="21"/>
        </w:rPr>
        <w:t>Un Piano destinato a incidere per anni sul territorio non è un passaggio automatico. L'Amministrazione commissariale ha la responsabilità istituzionale di verificare pubblicamente che dati, VAS e capacità dei servizi compongano un quadro completo, coerente e motivato prima della decisione definitiva.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82F62"/>
          <w:sz w:val="32"/>
        </w:rPr>
        <w:t>Scheda rapida: cosa compare nei documenti</w:t>
      </w:r>
    </w:p>
    <w:p>
      <w:pPr/>
      <w:r>
        <w:rPr>
          <w:rFonts w:ascii="Arial" w:hAnsi="Arial" w:eastAsia="Arial"/>
          <w:color w:val="17212B"/>
        </w:rPr>
        <w:t>La tabella distingue il riferimento testuale riscontrato dalla verifica richiesta. I numeri di pagina sono quelli dei PDF degli elaborati "Proposta definitiva" di maggio 2026 richiamati nell'osservazione.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6E2"/>
          <w:left w:val="single" w:sz="5" w:space="0" w:color="C9D6E2"/>
          <w:bottom w:val="single" w:sz="5" w:space="0" w:color="C9D6E2"/>
          <w:right w:val="single" w:sz="5" w:space="0" w:color="C9D6E2"/>
          <w:insideH w:val="single" w:sz="5" w:space="0" w:color="C9D6E2"/>
          <w:insideV w:val="single" w:sz="5" w:space="0" w:color="C9D6E2"/>
        </w:tblBorders>
      </w:tblPr>
      <w:tblGrid>
        <w:gridCol w:w="2350"/>
        <w:gridCol w:w="3050"/>
        <w:gridCol w:w="4464"/>
      </w:tblGrid>
      <w:tr>
        <w:trPr>
          <w:tblHeader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F62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Documento e pagina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F62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Riferimento riscontrato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F62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Verifica richiesta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R.06, p. 10 PDF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"territorio comunale di Aquara"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Controllare la sezione di coerenza esterna e le fonti collegate.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R.06.all.2, p. 5 PDF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"Il Comune di Felitto"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Verificare l'inquadramento della Sintesi destinata al pubblico.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R.06, p. 61 e R.06.all.2, p. 47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"Riserva fluviale del Calore" con giudizio positivo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Accertare quale riserva, corso d'acqua, perimetro e habitat siano stati valutati.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NTA, art. 74, p. 61 PDF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"Riserva del Fiume Bussento"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Coordinare norma di Piano, Rapporto ambientale e Sintesi non tecnica.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R.06, pp. 60-64 PDF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Indicatori N.C. o non quantificati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17212B"/>
                <w:sz w:val="18"/>
              </w:rPr>
              <w:t>Quantificare quando possibile; altrimenti esplicitare limiti e metodo qualitativo.</w:t>
            </w:r>
          </w:p>
        </w:tc>
      </w:tr>
    </w:tbl>
    <w:p>
      <w:pPr>
        <w:pStyle w:val="SourceNote"/>
      </w:pPr>
      <w:r>
        <w:rPr>
          <w:rFonts w:ascii="Arial" w:hAnsi="Arial" w:eastAsia="Arial"/>
          <w:color w:val="667788"/>
          <w:sz w:val="17"/>
        </w:rPr>
        <w:t>Fonte primaria: PUC Santa Marina - R.06 Rapporto ambientale; R.06.all.2 Sintesi non tecnica; NTA art. 74. Pagina comunale del Rapporto ambientale:</w:t>
      </w:r>
    </w:p>
    <w:p>
      <w:pPr>
        <w:pStyle w:val="SourceNote"/>
      </w:pPr>
      <w:hyperlink r:id="rId12">
        <w:r>
          <w:rPr>
            <w:rFonts w:ascii="Arial" w:hAnsi="Arial"/>
            <w:color w:val="2A73A8"/>
            <w:u w:val="single"/>
          </w:rPr>
          <w:t>Comune di Santa Marina - R.06 VAS Rapporto ambientale</w:t>
        </w:r>
      </w:hyperlink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Perché il riferimento Calore/Bussento è il punto più rilevante</w:t>
      </w:r>
    </w:p>
    <w:p>
      <w:pPr/>
      <w:r>
        <w:rPr>
          <w:rFonts w:ascii="Arial" w:hAnsi="Arial" w:eastAsia="Arial"/>
          <w:color w:val="17212B"/>
        </w:rPr>
        <w:t>Aquara e Felitto possono essere qualificati come refusi redazionali. Il richiamo alla Riserva fluviale del Calore è però collocato nella parte di valutazione e monitoraggio e accompagna un giudizio positivo. Per questo l'osservazione chiede di accertare quale corso d'acqua, quali fasce fluviali, quali habitat e quali trasformazioni siano stati effettivamente considerati prima di confermare il giudizio.</w:t>
      </w:r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Il criterio di comunicazione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6E2"/>
          <w:left w:val="single" w:sz="5" w:space="0" w:color="C9D6E2"/>
          <w:bottom w:val="single" w:sz="5" w:space="0" w:color="C9D6E2"/>
          <w:right w:val="single" w:sz="5" w:space="0" w:color="C9D6E2"/>
          <w:insideH w:val="single" w:sz="5" w:space="0" w:color="C9D6E2"/>
          <w:insideV w:val="single" w:sz="5" w:space="0" w:color="C9D6E2"/>
        </w:tblBorders>
      </w:tblPr>
      <w:tblGrid>
        <w:gridCol w:w="3288"/>
        <w:gridCol w:w="3288"/>
        <w:gridCol w:w="3288"/>
      </w:tblGrid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6" w:val="clear"/>
          </w:tcPr>
          <w:p>
            <w:pPr>
              <w:spacing w:after="120"/>
            </w:pPr>
            <w:r>
              <w:rPr>
                <w:rFonts w:ascii="Arial" w:hAnsi="Arial" w:eastAsia="Arial"/>
                <w:b/>
                <w:color w:val="082F62"/>
                <w:sz w:val="20"/>
              </w:rPr>
              <w:t>È DOCUMENTATO</w:t>
            </w:r>
          </w:p>
          <w:p>
            <w:pPr>
              <w:numPr>
                <w:ilvl w:val="0"/>
                <w:numId w:val="10"/>
              </w:numPr>
              <w:spacing w:after="100" w:line="269" w:lineRule="auto"/>
            </w:pPr>
            <w:r>
              <w:rPr>
                <w:rFonts w:ascii="Arial" w:hAnsi="Arial" w:eastAsia="Arial"/>
                <w:color w:val="17212B"/>
                <w:sz w:val="18"/>
              </w:rPr>
              <w:t>I riferimenti ad Aquara, Felitto e Calore compaiono nelle pagine indicate.</w:t>
            </w:r>
          </w:p>
          <w:p>
            <w:pPr>
              <w:numPr>
                <w:ilvl w:val="0"/>
                <w:numId w:val="10"/>
              </w:numPr>
              <w:spacing w:after="100" w:line="269" w:lineRule="auto"/>
            </w:pPr>
            <w:r>
              <w:rPr>
                <w:rFonts w:ascii="Arial" w:hAnsi="Arial" w:eastAsia="Arial"/>
                <w:color w:val="17212B"/>
                <w:sz w:val="18"/>
              </w:rPr>
              <w:t>La stessa VAS contiene anche riferimenti corretti al Bussento.</w:t>
            </w:r>
          </w:p>
          <w:p>
            <w:pPr>
              <w:numPr>
                <w:ilvl w:val="0"/>
                <w:numId w:val="10"/>
              </w:numPr>
              <w:spacing w:after="100" w:line="269" w:lineRule="auto"/>
            </w:pPr>
            <w:r>
              <w:rPr>
                <w:rFonts w:ascii="Arial" w:hAnsi="Arial" w:eastAsia="Arial"/>
                <w:color w:val="17212B"/>
                <w:sz w:val="18"/>
              </w:rPr>
              <w:t>Diversi indicatori selezionati risultano N.C. o non quantificati.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CEC" w:val="clear"/>
          </w:tcPr>
          <w:p>
            <w:pPr>
              <w:spacing w:after="120"/>
            </w:pPr>
            <w:r>
              <w:rPr>
                <w:rFonts w:ascii="Arial" w:hAnsi="Arial" w:eastAsia="Arial"/>
                <w:b/>
                <w:color w:val="8B2E2E"/>
                <w:sz w:val="20"/>
              </w:rPr>
              <w:t>NON SI AFFERMA</w:t>
            </w:r>
          </w:p>
          <w:p>
            <w:pPr>
              <w:numPr>
                <w:ilvl w:val="0"/>
                <w:numId w:val="10"/>
              </w:numPr>
              <w:spacing w:after="100" w:line="269" w:lineRule="auto"/>
            </w:pPr>
            <w:r>
              <w:rPr>
                <w:rFonts w:ascii="Arial" w:hAnsi="Arial" w:eastAsia="Arial"/>
                <w:color w:val="17212B"/>
                <w:sz w:val="18"/>
              </w:rPr>
              <w:t>Che l'intera VAS sia copiata o priva di contenuti su Santa Marina.</w:t>
            </w:r>
          </w:p>
          <w:p>
            <w:pPr>
              <w:numPr>
                <w:ilvl w:val="0"/>
                <w:numId w:val="10"/>
              </w:numPr>
              <w:spacing w:after="100" w:line="269" w:lineRule="auto"/>
            </w:pPr>
            <w:r>
              <w:rPr>
                <w:rFonts w:ascii="Arial" w:hAnsi="Arial" w:eastAsia="Arial"/>
                <w:color w:val="17212B"/>
                <w:sz w:val="18"/>
              </w:rPr>
              <w:t>Che tre nomi sbagliati rendano automaticamente nullo il PUC.</w:t>
            </w:r>
          </w:p>
          <w:p>
            <w:pPr>
              <w:numPr>
                <w:ilvl w:val="0"/>
                <w:numId w:val="10"/>
              </w:numPr>
              <w:spacing w:after="100" w:line="269" w:lineRule="auto"/>
            </w:pPr>
            <w:r>
              <w:rPr>
                <w:rFonts w:ascii="Arial" w:hAnsi="Arial" w:eastAsia="Arial"/>
                <w:color w:val="17212B"/>
                <w:sz w:val="18"/>
              </w:rPr>
              <w:t>Che vi siano responsabilità intenzionali o illeciti.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EC" w:val="clear"/>
          </w:tcPr>
          <w:p>
            <w:pPr>
              <w:spacing w:after="120"/>
            </w:pPr>
            <w:r>
              <w:rPr>
                <w:rFonts w:ascii="Arial" w:hAnsi="Arial" w:eastAsia="Arial"/>
                <w:b/>
                <w:color w:val="5F7A5F"/>
                <w:sz w:val="20"/>
              </w:rPr>
              <w:t>SI CHIEDE</w:t>
            </w:r>
          </w:p>
          <w:p>
            <w:pPr>
              <w:numPr>
                <w:ilvl w:val="0"/>
                <w:numId w:val="10"/>
              </w:numPr>
              <w:spacing w:after="100" w:line="269" w:lineRule="auto"/>
            </w:pPr>
            <w:r>
              <w:rPr>
                <w:rFonts w:ascii="Arial" w:hAnsi="Arial" w:eastAsia="Arial"/>
                <w:color w:val="17212B"/>
                <w:sz w:val="18"/>
              </w:rPr>
              <w:t>Una verifica tracciabile di fonti, mappe, indicatori e giudizi collegati.</w:t>
            </w:r>
          </w:p>
          <w:p>
            <w:pPr>
              <w:numPr>
                <w:ilvl w:val="0"/>
                <w:numId w:val="10"/>
              </w:numPr>
              <w:spacing w:after="100" w:line="269" w:lineRule="auto"/>
            </w:pPr>
            <w:r>
              <w:rPr>
                <w:rFonts w:ascii="Arial" w:hAnsi="Arial" w:eastAsia="Arial"/>
                <w:color w:val="17212B"/>
                <w:sz w:val="18"/>
              </w:rPr>
              <w:t>Una risposta motivata che distingua refusi, verifiche e integrazioni.</w:t>
            </w:r>
          </w:p>
          <w:p>
            <w:pPr>
              <w:numPr>
                <w:ilvl w:val="0"/>
                <w:numId w:val="10"/>
              </w:numPr>
              <w:spacing w:after="100" w:line="269" w:lineRule="auto"/>
            </w:pPr>
            <w:r>
              <w:rPr>
                <w:rFonts w:ascii="Arial" w:hAnsi="Arial" w:eastAsia="Arial"/>
                <w:color w:val="17212B"/>
                <w:sz w:val="18"/>
              </w:rPr>
              <w:t>Garanzie partecipative se cambiano in modo sostanziale Piano o VAS.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82F62"/>
          <w:sz w:val="32"/>
        </w:rPr>
        <w:t>Le altre tre osservazioni in sintesi</w:t>
      </w:r>
    </w:p>
    <w:p>
      <w:pPr/>
      <w:r>
        <w:rPr>
          <w:rFonts w:ascii="Arial" w:hAnsi="Arial" w:eastAsia="Arial"/>
          <w:color w:val="17212B"/>
        </w:rPr>
        <w:t>La VAS è il gancio giornalistico più immediato, ma la notizia completa è la presentazione di quattro osservazioni coordinate e autonome. Le cifre seguenti provengono dagli elaborati del PUC come riepilogati nella guida civica.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6E2"/>
          <w:left w:val="single" w:sz="5" w:space="0" w:color="C9D6E2"/>
          <w:bottom w:val="single" w:sz="5" w:space="0" w:color="C9D6E2"/>
          <w:right w:val="single" w:sz="5" w:space="0" w:color="C9D6E2"/>
          <w:insideH w:val="single" w:sz="5" w:space="0" w:color="C9D6E2"/>
          <w:insideV w:val="single" w:sz="5" w:space="0" w:color="C9D6E2"/>
        </w:tblBorders>
      </w:tblPr>
      <w:tblGrid>
        <w:gridCol w:w="2050"/>
        <w:gridCol w:w="7814"/>
      </w:tblGrid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6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82F62"/>
                <w:sz w:val="48"/>
              </w:rPr>
              <w:t>1</w:t>
            </w:r>
          </w:p>
        </w:tc>
        <w:tc>
          <w:tcPr>
            <w:tcW w:type="dxa" w:w="7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6" w:val="clear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082F62"/>
                <w:sz w:val="22"/>
              </w:rPr>
              <w:t>Nuove abitazioni private</w:t>
            </w:r>
          </w:p>
          <w:p>
            <w:pPr>
              <w:spacing w:after="80"/>
            </w:pPr>
            <w:r>
              <w:rPr>
                <w:rFonts w:ascii="Arial" w:hAnsi="Arial" w:eastAsia="Arial"/>
                <w:color w:val="17212B"/>
                <w:sz w:val="19"/>
              </w:rPr>
              <w:t>54 alloggi in 12 ambiti AT/rcu. Il calcolo usa 1.097 abitazioni non occupate da famiglie residenti nel 2011, ma ne considera recuperabili 33, pari al 3%.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2A73A8"/>
                <w:sz w:val="19"/>
              </w:rPr>
              <w:t xml:space="preserve">Domanda chiave: </w:t>
            </w:r>
            <w:r>
              <w:rPr>
                <w:rFonts w:ascii="Arial" w:hAnsi="Arial" w:eastAsia="Arial"/>
                <w:color w:val="17212B"/>
                <w:sz w:val="19"/>
              </w:rPr>
              <w:t>Dov'è l'inventario aggiornato che distingue seconde case, affitti, immobili vuoti, degradati e concretamente recuperabili?</w:t>
            </w:r>
          </w:p>
        </w:tc>
      </w:tr>
    </w:tbl>
    <w:p>
      <w:pPr>
        <w:spacing w:after="40"/>
      </w:pP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6E2"/>
          <w:left w:val="single" w:sz="5" w:space="0" w:color="C9D6E2"/>
          <w:bottom w:val="single" w:sz="5" w:space="0" w:color="C9D6E2"/>
          <w:right w:val="single" w:sz="5" w:space="0" w:color="C9D6E2"/>
          <w:insideH w:val="single" w:sz="5" w:space="0" w:color="C9D6E2"/>
          <w:insideV w:val="single" w:sz="5" w:space="0" w:color="C9D6E2"/>
        </w:tblBorders>
      </w:tblPr>
      <w:tblGrid>
        <w:gridCol w:w="2050"/>
        <w:gridCol w:w="7814"/>
      </w:tblGrid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EC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82F62"/>
                <w:sz w:val="48"/>
              </w:rPr>
              <w:t>2</w:t>
            </w:r>
          </w:p>
        </w:tc>
        <w:tc>
          <w:tcPr>
            <w:tcW w:type="dxa" w:w="7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EC" w:val="clear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082F62"/>
                <w:sz w:val="22"/>
              </w:rPr>
              <w:t>Edilizia residenziale pubblica</w:t>
            </w:r>
          </w:p>
          <w:p>
            <w:pPr>
              <w:spacing w:after="80"/>
            </w:pPr>
            <w:r>
              <w:rPr>
                <w:rFonts w:ascii="Arial" w:hAnsi="Arial" w:eastAsia="Arial"/>
                <w:color w:val="17212B"/>
                <w:sz w:val="19"/>
              </w:rPr>
              <w:t>36 alloggi ERP in 4 ambiti, su una superficie territoriale complessiva indicata in 16.668 m² e su aree da acquisire.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2A73A8"/>
                <w:sz w:val="19"/>
              </w:rPr>
              <w:t xml:space="preserve">Domanda chiave: </w:t>
            </w:r>
            <w:r>
              <w:rPr>
                <w:rFonts w:ascii="Arial" w:hAnsi="Arial" w:eastAsia="Arial"/>
                <w:color w:val="17212B"/>
                <w:sz w:val="19"/>
              </w:rPr>
              <w:t>Quante famiglie ne hanno bisogno, quali immobili pubblici esistono e quali sono costi, fondi, soggetto attuatore e tempi?</w:t>
            </w:r>
          </w:p>
        </w:tc>
      </w:tr>
    </w:tbl>
    <w:p>
      <w:pPr>
        <w:spacing w:after="40"/>
      </w:pP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6E2"/>
          <w:left w:val="single" w:sz="5" w:space="0" w:color="C9D6E2"/>
          <w:bottom w:val="single" w:sz="5" w:space="0" w:color="C9D6E2"/>
          <w:right w:val="single" w:sz="5" w:space="0" w:color="C9D6E2"/>
          <w:insideH w:val="single" w:sz="5" w:space="0" w:color="C9D6E2"/>
          <w:insideV w:val="single" w:sz="5" w:space="0" w:color="C9D6E2"/>
        </w:tblBorders>
      </w:tblPr>
      <w:tblGrid>
        <w:gridCol w:w="2050"/>
        <w:gridCol w:w="7814"/>
      </w:tblGrid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0E8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82F62"/>
                <w:sz w:val="48"/>
              </w:rPr>
              <w:t>3</w:t>
            </w:r>
          </w:p>
        </w:tc>
        <w:tc>
          <w:tcPr>
            <w:tcW w:type="dxa" w:w="7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0E8" w:val="clear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082F62"/>
                <w:sz w:val="22"/>
              </w:rPr>
              <w:t>Nuovi alberghi e strutture turistiche</w:t>
            </w:r>
          </w:p>
          <w:p>
            <w:pPr>
              <w:spacing w:after="80"/>
            </w:pPr>
            <w:r>
              <w:rPr>
                <w:rFonts w:ascii="Arial" w:hAnsi="Arial" w:eastAsia="Arial"/>
                <w:color w:val="17212B"/>
                <w:sz w:val="19"/>
              </w:rPr>
              <w:t>21 ambiti turistici; 115.681 m² di superficie usata per gli indici e 32.340 m² di SUL teorica riportati nella guida. Nei documenti compaiono quantità diverse di posti letto senza una tabella finale univoca per area.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2A73A8"/>
                <w:sz w:val="19"/>
              </w:rPr>
              <w:t xml:space="preserve">Domanda chiave: </w:t>
            </w:r>
            <w:r>
              <w:rPr>
                <w:rFonts w:ascii="Arial" w:hAnsi="Arial" w:eastAsia="Arial"/>
                <w:color w:val="17212B"/>
                <w:sz w:val="19"/>
              </w:rPr>
              <w:t>Quanti posti letto esistono e quanti ne servono? Qual è il tetto vincolante e quali effetti cumulativi ricadono su acqua, depurazione, mobilità e suolo?</w:t>
            </w:r>
          </w:p>
        </w:tc>
      </w:tr>
    </w:tbl>
    <w:p>
      <w:pPr>
        <w:spacing w:after="40"/>
      </w:pPr>
    </w:p>
    <w:p>
      <w:pPr>
        <w:spacing w:before="80" w:after="160" w:line="283" w:lineRule="auto"/>
        <w:ind w:left="142" w:right="142"/>
        <w:shd w:fill="FFF5DA"/>
        <w:pBdr>
          <w:left w:val="single" w:sz="24" w:space="8" w:color="8A6400"/>
        </w:pBdr>
      </w:pPr>
      <w:r>
        <w:rPr>
          <w:rFonts w:ascii="Arial" w:hAnsi="Arial" w:eastAsia="Arial"/>
          <w:b/>
          <w:color w:val="8A6400"/>
          <w:sz w:val="21"/>
        </w:rPr>
        <w:t xml:space="preserve">POSIZIONAMENTO  </w:t>
      </w:r>
      <w:r>
        <w:rPr>
          <w:rFonts w:ascii="Arial" w:hAnsi="Arial" w:eastAsia="Arial"/>
          <w:color w:val="17212B"/>
          <w:sz w:val="21"/>
        </w:rPr>
        <w:t>Sviluppo sì, ma fondato su dati contemporanei, recupero dell'esistente e capacità reale del territorio. L'iniziativa non è collegata a partiti, liste o candidature.</w:t>
      </w:r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Cosa si chiede al Commissario</w:t>
      </w:r>
    </w:p>
    <w:p>
      <w:pPr>
        <w:numPr>
          <w:ilvl w:val="0"/>
          <w:numId w:val="12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Valutare separatamente e nel merito le quattro osservazioni.</w:t>
      </w:r>
    </w:p>
    <w:p>
      <w:pPr>
        <w:numPr>
          <w:ilvl w:val="0"/>
          <w:numId w:val="12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Rendere pubblici dati, fonti e atti istruttori decisivi non già presenti nel fascicolo.</w:t>
      </w:r>
    </w:p>
    <w:p>
      <w:pPr>
        <w:numPr>
          <w:ilvl w:val="0"/>
          <w:numId w:val="12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Convocare, prima delle determinazioni finali, un confronto pubblico di carattere tecnico e amministrativo con uffici, progettisti del PUC e della VAS, osservanti e cittadini.</w:t>
      </w:r>
    </w:p>
    <w:p>
      <w:pPr>
        <w:numPr>
          <w:ilvl w:val="0"/>
          <w:numId w:val="12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Pubblicare ordine dei lavori, documenti utili e quesiti; rendere poi disponibile un verbale con risposte, impegni e punti rimasti aperti.</w:t>
      </w:r>
    </w:p>
    <w:p>
      <w:pPr>
        <w:numPr>
          <w:ilvl w:val="0"/>
          <w:numId w:val="12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Ridurre, stralciare o condizionare le previsioni che dipendono da verifiche non completate.</w:t>
      </w:r>
    </w:p>
    <w:p>
      <w:pPr>
        <w:numPr>
          <w:ilvl w:val="0"/>
          <w:numId w:val="12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Motivare in modo comprensibile le determinazioni finali.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82F62"/>
          <w:sz w:val="32"/>
        </w:rPr>
        <w:t>Domande e risposte per le redazioni</w:t>
      </w:r>
    </w:p>
    <w:p>
      <w:pPr>
        <w:pStyle w:val="Heading2"/>
        <w:spacing w:before="200" w:after="60"/>
      </w:pPr>
      <w:r>
        <w:rPr>
          <w:rFonts w:ascii="Arial" w:hAnsi="Arial" w:eastAsia="Arial"/>
          <w:b/>
          <w:color w:val="082F62"/>
          <w:sz w:val="23"/>
        </w:rPr>
        <w:t>State dicendo che il PUC è nullo?</w:t>
      </w:r>
    </w:p>
    <w:p>
      <w:pPr>
        <w:spacing w:after="140"/>
      </w:pPr>
      <w:r>
        <w:rPr>
          <w:rFonts w:ascii="Arial" w:hAnsi="Arial" w:eastAsia="Arial"/>
          <w:color w:val="17212B"/>
        </w:rPr>
        <w:t>No. La presenza dei riferimenti territoriali segnalati non viene presentata come causa automatica di nullità. Si chiede di verificare se siano semplici refusi o se abbiano inciso su parti sostanziali della valutazione. Le conseguenze dipendono dall'esito dell'istruttoria.</w:t>
      </w:r>
    </w:p>
    <w:p>
      <w:pPr>
        <w:pStyle w:val="Heading2"/>
        <w:spacing w:before="200" w:after="60"/>
      </w:pPr>
      <w:r>
        <w:rPr>
          <w:rFonts w:ascii="Arial" w:hAnsi="Arial" w:eastAsia="Arial"/>
          <w:b/>
          <w:color w:val="082F62"/>
          <w:sz w:val="23"/>
        </w:rPr>
        <w:t>Potrebbero essere soltanto errori di battitura?</w:t>
      </w:r>
    </w:p>
    <w:p>
      <w:pPr>
        <w:spacing w:after="140"/>
      </w:pPr>
      <w:r>
        <w:rPr>
          <w:rFonts w:ascii="Arial" w:hAnsi="Arial" w:eastAsia="Arial"/>
          <w:color w:val="17212B"/>
        </w:rPr>
        <w:t>Sì, è possibile per alcuni riferimenti. Proprio per questo l'osservazione non trae conclusioni automatiche: chiede una verifica documentata. Il passaggio Calore/Bussento merita un controllo più approfondito perché compare in una matrice valutativa associata a un giudizio positivo.</w:t>
      </w:r>
    </w:p>
    <w:p>
      <w:pPr>
        <w:pStyle w:val="Heading2"/>
        <w:spacing w:before="200" w:after="60"/>
      </w:pPr>
      <w:r>
        <w:rPr>
          <w:rFonts w:ascii="Arial" w:hAnsi="Arial" w:eastAsia="Arial"/>
          <w:b/>
          <w:color w:val="082F62"/>
          <w:sz w:val="23"/>
        </w:rPr>
        <w:t>L'iniziativa vuole bloccare ogni costruzione?</w:t>
      </w:r>
    </w:p>
    <w:p>
      <w:pPr>
        <w:spacing w:after="140"/>
      </w:pPr>
      <w:r>
        <w:rPr>
          <w:rFonts w:ascii="Arial" w:hAnsi="Arial" w:eastAsia="Arial"/>
          <w:color w:val="17212B"/>
        </w:rPr>
        <w:t>No. Chiede che nuove previsioni siano giustificate da fabbisogni aggiornati, dal censimento del patrimonio esistente, dalla capacità delle reti e da una valutazione ambientale tracciabile. Le misure cautelative riguardano le previsioni che dipendono direttamente da verifiche ancora mancanti.</w:t>
      </w:r>
    </w:p>
    <w:p>
      <w:pPr>
        <w:pStyle w:val="Heading2"/>
        <w:spacing w:before="200" w:after="60"/>
      </w:pPr>
      <w:r>
        <w:rPr>
          <w:rFonts w:ascii="Arial" w:hAnsi="Arial" w:eastAsia="Arial"/>
          <w:b/>
          <w:color w:val="082F62"/>
          <w:sz w:val="23"/>
        </w:rPr>
        <w:t>Siete contro l'edilizia sociale o il turismo?</w:t>
      </w:r>
    </w:p>
    <w:p>
      <w:pPr>
        <w:spacing w:after="140"/>
      </w:pPr>
      <w:r>
        <w:rPr>
          <w:rFonts w:ascii="Arial" w:hAnsi="Arial" w:eastAsia="Arial"/>
          <w:color w:val="17212B"/>
        </w:rPr>
        <w:t>No. L'osservazione ERP chiede di conoscere domanda reale, patrimonio pubblico, costi, fondi e alternative. Quella turistica chiede di censire l'offerta esistente, fissare limiti chiari e verificare acqua, depurazione, traffico, rifiuti, paesaggio e consumo di suolo.</w:t>
      </w:r>
    </w:p>
    <w:p>
      <w:pPr>
        <w:pStyle w:val="Heading2"/>
        <w:spacing w:before="200" w:after="60"/>
      </w:pPr>
      <w:r>
        <w:rPr>
          <w:rFonts w:ascii="Arial" w:hAnsi="Arial" w:eastAsia="Arial"/>
          <w:b/>
          <w:color w:val="082F62"/>
          <w:sz w:val="23"/>
        </w:rPr>
        <w:t>Chi è "Prima i numeri"?</w:t>
      </w:r>
    </w:p>
    <w:p>
      <w:pPr>
        <w:spacing w:after="140"/>
      </w:pPr>
      <w:r>
        <w:rPr>
          <w:rFonts w:ascii="Arial" w:hAnsi="Arial" w:eastAsia="Arial"/>
          <w:color w:val="17212B"/>
        </w:rPr>
        <w:t>È un'iniziativa civica e documentale sul PUC di Santa Marina. Non è un partito né una lista. Le osservazioni sono sottoscritte e protocollate secondo la procedura comunale; nella comunicazione pubblica si sceglie di non personalizzare il lavoro e di lasciare in primo piano documenti, dati e domande tecniche.</w:t>
      </w:r>
    </w:p>
    <w:p>
      <w:pPr>
        <w:pStyle w:val="Heading2"/>
        <w:spacing w:before="200" w:after="60"/>
      </w:pPr>
      <w:r>
        <w:rPr>
          <w:rFonts w:ascii="Arial" w:hAnsi="Arial" w:eastAsia="Arial"/>
          <w:b/>
          <w:color w:val="082F62"/>
          <w:sz w:val="23"/>
        </w:rPr>
        <w:t>Dove si possono verificare i rilievi?</w:t>
      </w:r>
    </w:p>
    <w:p>
      <w:pPr>
        <w:spacing w:after="140"/>
      </w:pPr>
      <w:r>
        <w:rPr>
          <w:rFonts w:ascii="Arial" w:hAnsi="Arial" w:eastAsia="Arial"/>
          <w:color w:val="17212B"/>
        </w:rPr>
        <w:t>Nel Rapporto ambientale R.06, nella Sintesi non tecnica R.06.all.2 e nelle NTA pubblicate dal Comune. La guida civica e i riferimenti alle quattro osservazioni sono raccolti sul sito dell'iniziativa.</w:t>
      </w:r>
    </w:p>
    <w:p>
      <w:pPr>
        <w:pStyle w:val="Heading2"/>
        <w:spacing w:before="200" w:after="60"/>
      </w:pPr>
      <w:r>
        <w:rPr>
          <w:rFonts w:ascii="Arial" w:hAnsi="Arial" w:eastAsia="Arial"/>
          <w:b/>
          <w:color w:val="082F62"/>
          <w:sz w:val="23"/>
        </w:rPr>
        <w:t>Che tipo di confronto pubblico chiedete?</w:t>
      </w:r>
    </w:p>
    <w:p>
      <w:pPr>
        <w:spacing w:after="140"/>
      </w:pPr>
      <w:r>
        <w:rPr>
          <w:rFonts w:ascii="Arial" w:hAnsi="Arial" w:eastAsia="Arial"/>
          <w:color w:val="17212B"/>
        </w:rPr>
        <w:t>Non un comizio né un confronto tra schieramenti. Si chiede un incontro tecnico e amministrativo aperto al pubblico, con documenti accessibili, domande precise, presenza di chi può rispondere sul PUC e sulla VAS e un verbale finale. Il confronto dovrebbe avvenire prima delle determinazioni definitive, quando chiarimenti e correzioni possono ancora incidere realmente sul procedimento.</w:t>
      </w:r>
    </w:p>
    <w:p>
      <w:pPr>
        <w:pStyle w:val="Heading2"/>
        <w:spacing w:before="200" w:after="60"/>
      </w:pPr>
      <w:r>
        <w:rPr>
          <w:rFonts w:ascii="Arial" w:hAnsi="Arial" w:eastAsia="Arial"/>
          <w:b/>
          <w:color w:val="082F62"/>
          <w:sz w:val="23"/>
        </w:rPr>
        <w:t>Qual è il prossimo passaggio?</w:t>
      </w:r>
    </w:p>
    <w:p>
      <w:pPr>
        <w:spacing w:after="140"/>
      </w:pPr>
      <w:r>
        <w:rPr>
          <w:rFonts w:ascii="Arial" w:hAnsi="Arial" w:eastAsia="Arial"/>
          <w:color w:val="17212B"/>
        </w:rPr>
        <w:t>Le osservazioni devono essere esaminate nell'ambito del procedimento di approvazione. L'iniziativa chiede controdeduzioni analitiche, pubblicazione degli atti decisivi e un confronto pubblico di carattere tecnico prima delle determinazioni finali.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82F62"/>
          <w:sz w:val="32"/>
        </w:rPr>
        <w:t>Fonti, materiali e contatti</w:t>
      </w:r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Elaborati richiamati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PUC Santa Marina - R.06 Rapporto ambientale VAS, maggio 2026, in particolare pp. 3-4, 10, 58 e 60-67 del PDF.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PUC Santa Marina - R.06.all.2 Sintesi non tecnica, maggio 2026, in particolare pp. 5 e 47-50 del PDF.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PUC Santa Marina - NTA, maggio 2026, art. 74 - Riserva del Fiume Bussento.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PUC Santa Marina - R.01 Relazione generale; PO.01; PO.02.a, PO.02.b, PO.02.c; PO.03, per le altre osservazioni e la verifica cumulativa.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Direttiva 2001/42/CE; D.Lgs. 3 aprile 2006, n. 152, Parte II, artt. 13-18 e Allegato VI; Regolamento Regione Campania 18 dicembre 2009, n. 17.</w:t>
      </w:r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Materiali disponibili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Cartella stampa in PDF e formato modificabile.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Guida civica alle quattro osservazioni.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Copia pubblica dell'osservazione VAS effettivamente protocollata e relativa ricevuta, su richiesta.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Tre screenshot ad alta risoluzione dei passaggi su Aquara, Felitto e Riserva fluviale del Calore, inclusi anche nell'allegato visivo di questa cartella.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Estratti integrali delle pagine degli elaborati citati, con titolo del documento e numero di pagina, disponibili per la verifica del contesto completo.</w:t>
      </w:r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Tre titoli utilizzabili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PUC Santa Marina, nella VAS compaiono Aquara, Felitto e Calore: chiesto un confronto pubblico prima della decisione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Quattro osservazioni al PUC di Santa Marina: "Prima i numeri chiede dati verificabili su case, turismo e ambiente"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Arial" w:hAnsi="Arial" w:eastAsia="Arial"/>
          <w:color w:val="17212B"/>
        </w:rPr>
        <w:t>Dalla Riserva del Calore al Bussento: chiesti chiarimenti pubblici sulla VAS del PUC</w:t>
      </w:r>
    </w:p>
    <w:p>
      <w:pPr>
        <w:pStyle w:val="Heading2"/>
        <w:keepNext/>
      </w:pPr>
      <w:r>
        <w:rPr>
          <w:rFonts w:ascii="Arial" w:hAnsi="Arial" w:eastAsia="Arial"/>
          <w:b/>
          <w:color w:val="2A73A8"/>
          <w:sz w:val="26"/>
        </w:rPr>
        <w:t>Contatti</w:t>
      </w:r>
    </w:p>
    <w:p>
      <w:pPr/>
      <w:r>
        <w:rPr>
          <w:rFonts w:ascii="Arial" w:hAnsi="Arial" w:eastAsia="Arial"/>
          <w:b/>
          <w:color w:val="17212B"/>
        </w:rPr>
        <w:t xml:space="preserve">E-mail: </w:t>
      </w:r>
      <w:hyperlink r:id="rId13">
        <w:r>
          <w:rPr>
            <w:rFonts w:ascii="Arial" w:hAnsi="Arial"/>
            <w:color w:val="2A73A8"/>
            <w:u w:val="single"/>
          </w:rPr>
          <w:t>primainumeri@proton.me</w:t>
        </w:r>
      </w:hyperlink>
    </w:p>
    <w:p>
      <w:pPr/>
      <w:r>
        <w:rPr>
          <w:rFonts w:ascii="Arial" w:hAnsi="Arial" w:eastAsia="Arial"/>
          <w:b/>
          <w:color w:val="17212B"/>
        </w:rPr>
        <w:t xml:space="preserve">Sito: </w:t>
      </w:r>
      <w:hyperlink r:id="rId14">
        <w:r>
          <w:rPr>
            <w:rFonts w:ascii="Arial" w:hAnsi="Arial"/>
            <w:color w:val="2A73A8"/>
            <w:u w:val="single"/>
          </w:rPr>
          <w:t>https://santamarina.primainumeri.it</w:t>
        </w:r>
      </w:hyperlink>
    </w:p>
    <w:p>
      <w:pPr>
        <w:spacing w:before="80" w:after="160" w:line="283" w:lineRule="auto"/>
        <w:ind w:left="142" w:right="142"/>
        <w:shd w:fill="E8F0F6"/>
        <w:pBdr>
          <w:left w:val="single" w:sz="24" w:space="8" w:color="2A73A8"/>
        </w:pBdr>
      </w:pPr>
      <w:r>
        <w:rPr>
          <w:rFonts w:ascii="Arial" w:hAnsi="Arial" w:eastAsia="Arial"/>
          <w:b/>
          <w:color w:val="2A73A8"/>
          <w:sz w:val="21"/>
        </w:rPr>
        <w:t xml:space="preserve">NOTA PER LE REDAZIONI  </w:t>
      </w:r>
      <w:r>
        <w:rPr>
          <w:rFonts w:ascii="Arial" w:hAnsi="Arial" w:eastAsia="Arial"/>
          <w:color w:val="17212B"/>
          <w:sz w:val="21"/>
        </w:rPr>
        <w:t>Il presente testo distingue fatti documentati, domande istruttorie e conseguenze eventuali. Per il contenuto giuridicamente rilevante fanno fede le osservazioni protocollate e gli elaborati ufficiali del Comune.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82F62"/>
          <w:sz w:val="32"/>
        </w:rPr>
        <w:t>Allegato visivo: i passaggi segnalati</w:t>
      </w:r>
    </w:p>
    <w:p>
      <w:pPr/>
      <w:r>
        <w:rPr>
          <w:rFonts w:ascii="Arial" w:hAnsi="Arial" w:eastAsia="Arial"/>
          <w:color w:val="17212B"/>
        </w:rPr>
        <w:t>Le immagini seguenti sono ritagli degli elaborati ufficiali pubblicati dal Comune. Le evidenziazioni servono soltanto a individuare il testo richiamato. Le didascalie indicano documento e pagina del PDF; per il contesto integrale vanno consultati gli elaborati originali.</w:t>
      </w:r>
    </w:p>
    <w:p>
      <w:pPr>
        <w:keepNext/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192000" cy="2423508"/>
            <wp:docPr id="2" name="Picture 2" descr="Ritaglio del Rapporto ambientale VAS, pagina 10, con evidenziata la frase territorio comunale di Aqua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AS_R06_p10_Aquar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2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keepNext w:val="0"/>
        <w:spacing w:before="0" w:after="160"/>
      </w:pPr>
      <w:r>
        <w:rPr>
          <w:rFonts w:ascii="Arial" w:hAnsi="Arial" w:eastAsia="Arial"/>
          <w:i/>
          <w:color w:val="667788"/>
          <w:sz w:val="17"/>
        </w:rPr>
        <w:t>Figura 1 - R.06, Rapporto ambientale VAS, p. 10 del PDF: riferimento al "territorio comunale di Aquara". Ritaglio con evidenziazione aggiunta.</w:t>
      </w:r>
    </w:p>
    <w:p>
      <w:pPr>
        <w:keepNext/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192000" cy="2481682"/>
            <wp:docPr id="3" name="Picture 3" descr="Ritaglio della Sintesi non tecnica VAS, pagina 5, con evidenziata la frase Il Comune di Felit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S_Sintesi_p5_Felitt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keepNext w:val="0"/>
        <w:spacing w:before="0" w:after="160"/>
      </w:pPr>
      <w:r>
        <w:rPr>
          <w:rFonts w:ascii="Arial" w:hAnsi="Arial" w:eastAsia="Arial"/>
          <w:i/>
          <w:color w:val="667788"/>
          <w:sz w:val="17"/>
        </w:rPr>
        <w:t>Figura 2 - R.06.all.2, Sintesi non tecnica VAS, p. 5 del PDF: l'inquadramento si apre con "Il Comune di Felitto". Ritaglio con evidenziazione aggiunta.</w:t>
      </w:r>
    </w:p>
    <w:p>
      <w:pPr>
        <w:pStyle w:val="SourceNote"/>
      </w:pPr>
      <w:r>
        <w:rPr>
          <w:rFonts w:ascii="Arial" w:hAnsi="Arial" w:eastAsia="Arial"/>
          <w:color w:val="667788"/>
          <w:sz w:val="17"/>
        </w:rPr>
        <w:t>Elaborati ufficiali: Comune di Santa Marina - sezione P.U.C. Riadozione, Relazioni.</w:t>
      </w:r>
    </w:p>
    <w:p>
      <w:pPr>
        <w:pStyle w:val="SourceNote"/>
      </w:pPr>
      <w:hyperlink r:id="rId17">
        <w:r>
          <w:rPr>
            <w:rFonts w:ascii="Arial" w:hAnsi="Arial"/>
            <w:color w:val="2A73A8"/>
            <w:u w:val="single"/>
          </w:rPr>
          <w:t>Pagina ufficiale R.06 - Rapporto ambientale</w:t>
        </w:r>
      </w:hyperlink>
      <w:r>
        <w:rPr>
          <w:rFonts w:ascii="Arial" w:hAnsi="Arial" w:eastAsia="Arial"/>
          <w:color w:val="667788"/>
          <w:sz w:val="17"/>
        </w:rPr>
        <w:t xml:space="preserve"> | </w:t>
      </w:r>
      <w:hyperlink r:id="rId18">
        <w:r>
          <w:rPr>
            <w:rFonts w:ascii="Arial" w:hAnsi="Arial"/>
            <w:color w:val="2A73A8"/>
            <w:u w:val="single"/>
          </w:rPr>
          <w:t>Pagina ufficiale R.06.all.2 - Sintesi non tecnica</w:t>
        </w:r>
      </w:hyperlink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82F62"/>
          <w:sz w:val="32"/>
        </w:rPr>
        <w:t>Allegato visivo: Calore/Bussento</w:t>
      </w:r>
    </w:p>
    <w:p>
      <w:pPr/>
      <w:r>
        <w:rPr>
          <w:rFonts w:ascii="Arial" w:hAnsi="Arial" w:eastAsia="Arial"/>
          <w:color w:val="17212B"/>
        </w:rPr>
        <w:t>Questo è il passaggio che richiede la verifica più sostanziale: il riferimento territoriale compare dentro una matrice valutativa e viene associato a un giudizio positivo. Le NTA del PUC disciplinano invece, all'articolo 74, la Riserva del Fiume Bussento.</w:t>
      </w:r>
    </w:p>
    <w:p>
      <w:pPr>
        <w:keepNext/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192000" cy="3915316"/>
            <wp:docPr id="4" name="Picture 4" descr="Ritaglio della matrice del Rapporto ambientale VAS, pagina 61, con evidenziata Riserva fluviale del Calore e il giudizio posi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S_R06_p61_Calor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1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  <w:keepNext w:val="0"/>
        <w:spacing w:before="0" w:after="160"/>
      </w:pPr>
      <w:r>
        <w:rPr>
          <w:rFonts w:ascii="Arial" w:hAnsi="Arial" w:eastAsia="Arial"/>
          <w:i/>
          <w:color w:val="667788"/>
          <w:sz w:val="17"/>
        </w:rPr>
        <w:t>Figura 3 - R.06, Rapporto ambientale VAS, p. 61 del PDF (passaggio analogo in R.06.all.2, p. 47): "Riserva fluviale del Calore" associata alla formula "la valutazione è positiva". Ritaglio con evidenziazione aggiunta.</w:t>
      </w:r>
    </w:p>
    <w:p>
      <w:pPr>
        <w:spacing w:before="80" w:after="160" w:line="283" w:lineRule="auto"/>
        <w:ind w:left="142" w:right="142"/>
        <w:shd w:fill="FFF5DA"/>
        <w:pBdr>
          <w:left w:val="single" w:sz="24" w:space="8" w:color="8A6400"/>
        </w:pBdr>
      </w:pPr>
      <w:r>
        <w:rPr>
          <w:rFonts w:ascii="Arial" w:hAnsi="Arial" w:eastAsia="Arial"/>
          <w:b/>
          <w:color w:val="8A6400"/>
          <w:sz w:val="21"/>
        </w:rPr>
        <w:t xml:space="preserve">LA DOMANDA DA PORRE PUBBLICAMENTE  </w:t>
      </w:r>
      <w:r>
        <w:rPr>
          <w:rFonts w:ascii="Arial" w:hAnsi="Arial" w:eastAsia="Arial"/>
          <w:color w:val="17212B"/>
          <w:sz w:val="21"/>
        </w:rPr>
        <w:t>Quale riserva, quale corso d'acqua, quali fasce fluviali, quali dati e quali trasformazioni sono stati effettivamente valutati prima di formulare il giudizio positivo?</w:t>
      </w:r>
    </w:p>
    <w:p>
      <w:pPr>
        <w:pStyle w:val="SourceNote"/>
      </w:pPr>
      <w:r>
        <w:rPr>
          <w:rFonts w:ascii="Arial" w:hAnsi="Arial" w:eastAsia="Arial"/>
          <w:color w:val="667788"/>
          <w:sz w:val="17"/>
        </w:rPr>
        <w:t>NTA ufficiali, art. 74 - Riserva del Fiume Bussento:</w:t>
      </w:r>
    </w:p>
    <w:p>
      <w:pPr>
        <w:pStyle w:val="SourceNote"/>
      </w:pPr>
      <w:hyperlink r:id="rId20">
        <w:r>
          <w:rPr>
            <w:rFonts w:ascii="Arial" w:hAnsi="Arial"/>
            <w:color w:val="2A73A8"/>
            <w:u w:val="single"/>
          </w:rPr>
          <w:t>Comune di Santa Marina - NTA</w:t>
        </w:r>
      </w:hyperlink>
    </w:p>
    <w:sectPr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  <w:spacing w:before="0" w:after="0"/>
      <w:jc w:val="left"/>
    </w:pPr>
    <w:r>
      <w:rPr>
        <w:rFonts w:ascii="Arial" w:hAnsi="Arial" w:eastAsia="Arial"/>
        <w:color w:val="667788"/>
        <w:sz w:val="16"/>
      </w:rPr>
      <w:t>santamarina.primainumeri.it</w:t>
    </w:r>
    <w:r>
      <w:rPr>
        <w:rFonts w:ascii="Arial" w:hAnsi="Arial" w:eastAsia="Arial"/>
        <w:color w:val="667788"/>
        <w:sz w:val="16"/>
      </w:rPr>
      <w:tab/>
      <w:t xml:space="preserve">pagina </w:t>
    </w:r>
    <w:r>
      <w:rPr>
        <w:rFonts w:ascii="Arial" w:hAnsi="Arial" w:eastAsia="Arial"/>
        <w:color w:val="66778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0"/>
      <w:jc w:val="left"/>
    </w:pPr>
    <w:r>
      <w:rPr>
        <w:rFonts w:ascii="Arial" w:hAnsi="Arial" w:eastAsia="Arial"/>
        <w:b/>
        <w:color w:val="667788"/>
        <w:sz w:val="16"/>
      </w:rPr>
      <w:t>PRIMA I NUMERI</w:t>
    </w:r>
    <w:r>
      <w:rPr>
        <w:rFonts w:ascii="Arial" w:hAnsi="Arial" w:eastAsia="Arial"/>
        <w:color w:val="667788"/>
        <w:sz w:val="16"/>
      </w:rPr>
      <w:tab/>
      <w:t>PUC SANTA MARINA | CARTELLA STAMPA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83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82F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A73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82F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082F6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2A73A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160" w:after="80" w:line="283" w:lineRule="auto"/>
    </w:pPr>
    <w:rPr>
      <w:rFonts w:ascii="Arial" w:hAnsi="Arial"/>
      <w:b/>
      <w:i w:val="0"/>
      <w:color w:val="2A73A8"/>
      <w:sz w:val="17"/>
    </w:rPr>
  </w:style>
  <w:style w:type="paragraph" w:customStyle="1" w:styleId="Lead">
    <w:name w:val="Lead"/>
    <w:pPr>
      <w:spacing w:before="0" w:after="180" w:line="283" w:lineRule="auto"/>
    </w:pPr>
    <w:rPr>
      <w:rFonts w:ascii="Arial" w:hAnsi="Arial"/>
      <w:b/>
      <w:i w:val="0"/>
      <w:color w:val="17212B"/>
      <w:sz w:val="23"/>
    </w:rPr>
  </w:style>
  <w:style w:type="paragraph" w:customStyle="1" w:styleId="PullQuote">
    <w:name w:val="PullQuote"/>
    <w:pPr>
      <w:spacing w:before="160" w:after="200" w:line="283" w:lineRule="auto"/>
    </w:pPr>
    <w:rPr>
      <w:rFonts w:ascii="Arial" w:hAnsi="Arial"/>
      <w:b w:val="0"/>
      <w:i/>
      <w:color w:val="082F62"/>
      <w:sz w:val="23"/>
    </w:rPr>
  </w:style>
  <w:style w:type="paragraph" w:customStyle="1" w:styleId="SourceNote">
    <w:name w:val="SourceNote"/>
    <w:pPr>
      <w:spacing w:before="80" w:after="80" w:line="283" w:lineRule="auto"/>
    </w:pPr>
    <w:rPr>
      <w:rFonts w:ascii="Arial" w:hAnsi="Arial"/>
      <w:b w:val="0"/>
      <w:i w:val="0"/>
      <w:color w:val="66778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comune.santamarina.sa.it/amministrazione/trasparenza/pubblicazioni/allegati/allegato_898.html" TargetMode="External"/><Relationship Id="rId13" Type="http://schemas.openxmlformats.org/officeDocument/2006/relationships/hyperlink" Target="mailto:primainumeri@proton.me" TargetMode="External"/><Relationship Id="rId14" Type="http://schemas.openxmlformats.org/officeDocument/2006/relationships/hyperlink" Target="https://santamarina.primainumeri.it" TargetMode="External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hyperlink" Target="https://www.comune.santamarina.sa.it/amministrazione/trasparenza/pubblicazioni/allegati/allegato_1047.html" TargetMode="External"/><Relationship Id="rId18" Type="http://schemas.openxmlformats.org/officeDocument/2006/relationships/hyperlink" Target="https://www.comune.santamarina.sa.it/amministrazione/trasparenza/pubblicazioni/allegati/allegato_1049.html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www.comune.santamarina.sa.it/amministrazione/trasparenza/pubblicazioni/allegati/allegato_114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Cartella stampa - Prima i numeri - PUC Santa Marina</dc:title>
  <dc:subject>Osservazioni al PUC e alla VAS di Santa Marina</dc:subject>
  <dc:creator/>
  <cp:keywords>PUC, VAS, Santa Marina, Prima i numeri, osservazioni</cp:keywords>
  <dc:description>generated by python-docx</dc:description>
  <cp:lastModifiedBy/>
  <cp:revision>1</cp:revision>
  <dcterms:created xsi:type="dcterms:W3CDTF">2026-08-10T00:00:00Z</dcterms:created>
  <dcterms:modified xsi:type="dcterms:W3CDTF">2026-08-10T00:00:00Z</dcterms:modified>
  <cp:category/>
</cp:coreProperties>
</file>