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Microlearning and Explain-to-Learn in Academic Speaking</w:t>
      </w:r>
    </w:p>
    <w:p>
      <w:pPr>
        <w:pStyle w:val="Normal"/>
        <w:rPr/>
      </w:pPr>
      <w:r>
        <w:rPr/>
        <w:t>Restu Bias Primandhika</w:t>
      </w:r>
      <w:r>
        <w:rPr>
          <w:vertAlign w:val="superscript"/>
        </w:rPr>
        <w:t>1</w:t>
      </w:r>
      <w:r>
        <w:rPr/>
        <w:t>, Nani Solihati</w:t>
      </w:r>
      <w:r>
        <w:rPr>
          <w:vertAlign w:val="superscript"/>
        </w:rPr>
        <w:t>1</w:t>
      </w:r>
      <w:r>
        <w:rPr/>
        <w:t>, Siti Zulaiha</w:t>
      </w:r>
      <w:r>
        <w:rPr>
          <w:vertAlign w:val="superscript"/>
        </w:rPr>
        <w:t>1</w:t>
      </w:r>
    </w:p>
    <w:p>
      <w:pPr>
        <w:pStyle w:val="BodyText"/>
        <w:rPr/>
      </w:pPr>
      <w:r>
        <w:rPr>
          <w:vertAlign w:val="superscript"/>
        </w:rPr>
        <w:t>1</w:t>
      </w:r>
      <w:r>
        <w:rPr/>
        <w:t>Post-Graduate School, Universitas Muhammadiyah Prof. Dr. Hamka, Jakarta, Indonesia</w:t>
      </w:r>
    </w:p>
    <w:p>
      <w:pPr>
        <w:pStyle w:val="BodyText"/>
        <w:rPr/>
      </w:pPr>
      <w:r>
        <w:rPr/>
        <w:t>Corresponding author: restubiasprimandhika@uhamka.ac.id</w:t>
      </w:r>
    </w:p>
    <w:p>
      <w:pPr>
        <w:pStyle w:val="Heading2"/>
        <w:rPr/>
      </w:pPr>
      <w:bookmarkStart w:id="0" w:name="abstract"/>
      <w:r>
        <w:rPr/>
        <w:t>Abstract</w:t>
      </w:r>
    </w:p>
    <w:p>
      <w:pPr>
        <w:pStyle w:val="Normal"/>
        <w:rPr/>
      </w:pPr>
      <w:r>
        <w:rPr/>
        <w:t>This study examined whether a technology-mediated microlearning design combined with explain-to-learn activities could strengthen metacognitive regulation and academic speaking performance in higher education. The intervention was implemented with 96 Indonesian undergraduate students over eight weeks using short multimedia modules, oral explanation tasks, and structured reflection prompts. The study was framed as design-based research and evaluated through pre- and post-intervention speaking scores, a metacognitive regulation questionnaire, and learner perception data. Results showed significant gains in metacognitive regulation, with the largest improvements in planning and evaluation, and a large improvement in overall academic speaking performance. Students also reported that short modules reduced cognitive overload, oral explanation revealed gaps in understanding, and reflection prompts increased self-awareness during speaking preparation and review. The findings suggest that microlearning becomes more instructionally powerful when it is paired with generative explanation and explicit metacognitive scaffolding rather than used only for content delivery. The study contributes a practical design for technology-enhanced speaking instruction and offers evidence that explain-to-learn microlearning can support both regulatory processes and speaking development in university language education.</w:t>
      </w:r>
    </w:p>
    <w:p>
      <w:pPr>
        <w:pStyle w:val="BodyText"/>
        <w:bidi w:val="0"/>
        <w:rPr/>
      </w:pPr>
      <w:r>
        <w:rPr>
          <w:b/>
          <w:bCs/>
        </w:rPr>
        <w:t>Keywords:</w:t>
      </w:r>
      <w:r>
        <w:rPr/>
        <w:t xml:space="preserve"> microlearning, explain-to-learn, metacognitive regulation, academic speaking, higher education</w:t>
      </w:r>
      <w:bookmarkEnd w:id="0"/>
    </w:p>
    <w:p>
      <w:pPr>
        <w:pStyle w:val="Heading2"/>
        <w:rPr/>
      </w:pPr>
      <w:bookmarkStart w:id="1" w:name="introduction"/>
      <w:r>
        <w:rPr/>
        <w:t>Introduction</w:t>
      </w:r>
    </w:p>
    <w:p>
      <w:pPr>
        <w:pStyle w:val="Normal"/>
        <w:rPr/>
      </w:pPr>
      <w:r>
        <w:rPr/>
        <w:t>Academic speaking is a central university competence because students are expected not only to speak fluently, but also to explain ideas, organize arguments, respond to questions, and make disciplinary knowledge understandable to others. In many classrooms, however, speaking instruction still emphasizes visible performance outcomes such as fluency, pronunciation, or accuracy more than the cognitive and metacognitive processes that make high-quality explanation possible (Goh, 2017; Paterson, 2022). This imbalance matters because students often struggle not only with saying ideas aloud, but with planning what to say, monitoring whether an explanation is clear, and evaluating what should be improved after speaking.</w:t>
      </w:r>
    </w:p>
    <w:p>
      <w:pPr>
        <w:pStyle w:val="BodyText"/>
        <w:rPr/>
      </w:pPr>
      <w:r>
        <w:rPr/>
        <w:t>Research on metacognition has long argued that effective learning depends on learners’ capacity to regulate their own thinking through planning, monitoring, and evaluation (Flavell, 1979; Zimmerman, 2002). In language learning, these processes are particularly important for productive tasks because learners must coordinate content, audience awareness, and real-time delivery at once. Recent work in speaking pedagogy has also shown that stronger metacognitive regulation is associated with better speaking performance and greater learner autonomy, while targeted metacognitive reflection can improve speaking development in classroom settings (Paterson, 2022; Zhang et al., 2022). Yet metacognitive support is often treated as implicit rather than deliberately designed into speaking instruction.</w:t>
      </w:r>
    </w:p>
    <w:p>
      <w:pPr>
        <w:pStyle w:val="BodyText"/>
        <w:rPr/>
      </w:pPr>
      <w:r>
        <w:rPr/>
        <w:t>At the same time, digital learning environments have expanded opportunities for more focused and flexible forms of instruction. One approach that has attracted increasing attention is microlearning, which delivers content in short, targeted segments. Its main pedagogical promise is not simply brevity, but cognitive manageability. Recent reviews describe microlearning as especially useful when content is tightly focused, mobile-friendly, and aligned with active learner engagement rather than passive exposure (Leong et al., 2020; Taylor &amp; Hung, 2022; Lee, 2023). In language education, more recent evidence also suggests that microlearning can support speaking development when it is paired with meaningful communicative tasks rather than isolated drill work (Prasittichok &amp; Smithsarakarn, 2024). However, short modules alone do not guarantee deep learning. If microlearning is used only to distribute fragmented information, it may encourage surface-level engagement rather than conceptual understanding (Taylor &amp; Hung, 2022).</w:t>
      </w:r>
    </w:p>
    <w:p>
      <w:pPr>
        <w:pStyle w:val="BodyText"/>
        <w:rPr/>
      </w:pPr>
      <w:r>
        <w:rPr/>
        <w:t>For this reason, microlearning needs complementary learning activities that require students to do something intellectually demanding with the content. Explain-to-learn strategies offer one such pathway. The Feynman technique, in particular, asks learners to explain a concept in their own words, identify what they cannot yet explain clearly, and refine understanding through revision. From an instructional perspective, the value of this approach is that explanation becomes a learning process rather than just a demonstration of finished knowledge. Research on generative learning and self-explanation has consistently shown that explanation prompts can strengthen deeper processing when learners must organize and integrate ideas actively (Fiorella &amp; Mayer, 2016; Lachner et al., 2021). For academic speaking, that logic is highly relevant: students must select key ideas, organize them coherently, adapt them for listeners, and notice where their own understanding remains weak.</w:t>
      </w:r>
    </w:p>
    <w:p>
      <w:pPr>
        <w:pStyle w:val="BodyText"/>
        <w:rPr/>
      </w:pPr>
      <w:r>
        <w:rPr/>
        <w:t>This study brings these strands together by examining a technology-mediated instructional design that combines microlearning with explain-to-learn tasks for academic speaking. The design was informed by two complementary perspectives. First, the cognitive theory of multimedia learning suggests that learning improves when instruction supports selecting, organizing, and integrating information through manageable multimedia input (Mayer, 2014). Second, self-regulated learning theory highlights the importance of planning, monitoring, and evaluation in complex task performance (Zimmerman, 2002). Combining these perspectives suggests that short multimedia input may reduce cognitive burden, while oral explanation and structured reflection may activate the regulatory processes needed for stronger speaking performance.</w:t>
      </w:r>
    </w:p>
    <w:p>
      <w:pPr>
        <w:pStyle w:val="BodyText"/>
        <w:rPr/>
      </w:pPr>
      <w:r>
        <w:rPr/>
        <w:t>The study also responds to a practical problem in Indonesian higher education. University students are increasingly expected to demonstrate communicative competence, disciplinary explanation, and reflective learning, yet speaking instruction often remains product-oriented. A design that links short digital input, oral explanation, and metacognitive prompting may therefore offer a feasible model for technology-enhanced language learning in that context.</w:t>
      </w:r>
    </w:p>
    <w:p>
      <w:pPr>
        <w:pStyle w:val="BodyText"/>
        <w:rPr/>
      </w:pPr>
      <w:r>
        <w:rPr/>
        <w:t>Based on this rationale, the study addressed three questions. First, to what extent does the integration of microlearning and explain-to-learn activities influence students’ metacognitive regulation in academic speaking? Second, how does the intervention affect academic speaking performance across key dimensions of speaking quality? Third, how do students perceive the usefulness, cognitive engagement, and clarity of the instructional design?</w:t>
      </w:r>
      <w:bookmarkEnd w:id="1"/>
    </w:p>
    <w:p>
      <w:pPr>
        <w:pStyle w:val="Heading2"/>
        <w:rPr/>
      </w:pPr>
      <w:bookmarkStart w:id="2" w:name="research-method"/>
      <w:r>
        <w:rPr/>
        <w:t>Research Method</w:t>
      </w:r>
    </w:p>
    <w:p>
      <w:pPr>
        <w:pStyle w:val="Normal"/>
        <w:rPr/>
      </w:pPr>
      <w:r>
        <w:rPr/>
        <w:t>This study used a design-based research orientation to examine how a technology-mediated speaking intervention functioned in an authentic higher education setting while also generating practical design knowledge (Design-Based Research Collective, 2003; McKenney &amp; Reeves, 2019). The participants were 96 undergraduate students enrolled in a language education program at a public university in Indonesia. They had prior exposure to academic speaking coursework, but varied in speaking proficiency and metacognitive awareness. Students participated through intact classes to preserve classroom realism, and participation followed standard institutional procedures for consent, anonymity, and non-evaluative use of the data.</w:t>
      </w:r>
    </w:p>
    <w:p>
      <w:pPr>
        <w:pStyle w:val="BodyText"/>
        <w:rPr/>
      </w:pPr>
      <w:r>
        <w:rPr/>
        <w:t>The intervention lasted eight weeks. During the first stage, the instructional problem was analyzed through baseline assessment of speaking performance and metacognitive regulation. During the second stage, a web-based microlearning environment was prepared using short multimedia materials and oral explanation tasks. During the third stage, the intervention was implemented and refined through repeated use in classroom learning. Each module focused on a specific speaking function, such as explaining concepts, structuring arguments, or responding to questions. Students first engaged with short multimedia input, usually in the form of brief videos, annotated examples, or infographics. They then completed an explain-to-learn task by recording an oral explanation in their own words. Finally, they responded to structured prompts designed to support planning before speaking, monitoring during explanation, and evaluation after performance. The instructional sequence was adapted from work on multimedia learning, microlearning design, and metacognitive reflection in speaking pedagogy (Mayer, 2014; Taylor &amp; Hung, 2022; Paterson, 2022).</w:t>
      </w:r>
    </w:p>
    <w:p>
      <w:pPr>
        <w:pStyle w:val="BodyText"/>
        <w:rPr/>
      </w:pPr>
      <w:r>
        <w:rPr/>
        <w:t>Three kinds of data were collected. Academic speaking performance was measured through task-based oral presentations rated on idea organization, clarity of explanation, strategic delivery, and responsiveness to audience cues. Two independent raters scored the performances using a five-point rubric, with satisfactory inter-rater agreement at both measurement points. Metacognitive regulation was measured with a 15-item questionnaire covering planning, monitoring, and evaluation in academic speaking tasks. Learner perception data were collected through an eight-item survey on usefulness, cognitive engagement, and instructional clarity, followed by open-ended responses about the learning experience.</w:t>
      </w:r>
    </w:p>
    <w:p>
      <w:pPr>
        <w:pStyle w:val="BodyText"/>
        <w:rPr/>
      </w:pPr>
      <w:r>
        <w:rPr/>
        <w:t>Instrument quality was checked through expert review and pilot testing. Internal consistency coefficients for the metacognitive and perception measures were acceptable for classroom-based educational research. Quantitative analysis used descriptive statistics, paired comparisons, and repeated-measures multivariate analysis to examine changes from pre-test to post-test. Effect sizes were reported using partial eta squared and Cohen’s d. Qualitative responses were analyzed thematically to identify recurring patterns in how students experienced the intervention (Braun &amp; Clarke, 2006). These qualitative findings were used to interpret, rather than replace, the quantitative results.</w:t>
      </w:r>
      <w:bookmarkEnd w:id="2"/>
    </w:p>
    <w:p>
      <w:pPr>
        <w:pStyle w:val="Heading2"/>
        <w:rPr/>
      </w:pPr>
      <w:bookmarkStart w:id="3" w:name="results-and-discussion"/>
      <w:r>
        <w:rPr/>
        <w:t>Results and Discussion</w:t>
      </w:r>
    </w:p>
    <w:p>
      <w:pPr>
        <w:pStyle w:val="Normal"/>
        <w:rPr/>
      </w:pPr>
      <w:r>
        <w:rPr/>
        <w:t>The results indicate that the instructional design was associated with improvement in both metacognitive regulation and academic speaking performance. Across the full set of measures, post-intervention scores were higher than pre-intervention scores, with the clearest gains appearing in regulatory dimensions linked to preparation and reflection.</w:t>
      </w:r>
    </w:p>
    <w:p>
      <w:pPr>
        <w:pStyle w:val="Heading3"/>
        <w:rPr/>
      </w:pPr>
      <w:bookmarkStart w:id="4" w:name="metacognitive-regulation-gains"/>
      <w:r>
        <w:rPr/>
        <w:t>Metacognitive regulation gains</w:t>
      </w:r>
    </w:p>
    <w:p>
      <w:pPr>
        <w:pStyle w:val="Normal"/>
        <w:rPr/>
      </w:pPr>
      <w:r>
        <w:rPr/>
        <w:t>Metacognitive regulation improved significantly at the multivariate level, Wilks’ Λ = .41, F(3, 93) = 44.62, p &lt; .001, partial η² = .59. This suggests a substantial shift across planning, monitoring, and evaluation taken together. The strongest univariate gains were found in evaluation, F(1, 95) = 68.12, p &lt; .001, partial η² = .42, and planning, F(1, 95) = 61.84, p &lt; .001, partial η² = .39, while monitoring also improved but with a smaller effect, F(1, 95) = 27.46, p &lt; .001, partial η² = .22.</w:t>
      </w:r>
    </w:p>
    <w:tbl>
      <w:tblPr>
        <w:tblStyle w:val="Table"/>
        <w:tblW w:w="7920"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r>
          </w:p>
        </w:tc>
      </w:tr>
      <w:tr>
        <w:trPr/>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r>
          </w:p>
        </w:tc>
      </w:tr>
      <w:tr>
        <w:trPr/>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r>
          </w:p>
        </w:tc>
      </w:tr>
      <w:tr>
        <w:trPr/>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r>
          </w:p>
        </w:tc>
      </w:tr>
      <w:tr>
        <w:trPr/>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r>
          </w:p>
        </w:tc>
        <w:tc>
          <w:tcPr>
            <w:tcW w:w="1980" w:type="dxa"/>
            <w:tcBorders/>
          </w:tcPr>
          <w:p>
            <w:pPr>
              <w:pStyle w:val="BodyText"/>
              <w:spacing w:before="0" w:after="120"/>
              <w:rPr/>
            </w:pPr>
            <w:r>
              <w:rPr/>
              <w:t>Table 1 shows the descriptive pattern.</w:t>
            </w:r>
          </w:p>
        </w:tc>
      </w:tr>
    </w:tbl>
    <w:p>
      <w:pPr>
        <w:pStyle w:val="Normal"/>
        <w:rPr/>
      </w:pPr>
      <w:r>
        <w:rPr/>
        <w:t>Variable</w:t>
      </w:r>
    </w:p>
    <w:p>
      <w:pPr>
        <w:pStyle w:val="Normal"/>
        <w:rPr/>
      </w:pPr>
      <w:r>
        <w:rPr/>
        <w:t>Pre-test M (SD)</w:t>
      </w:r>
    </w:p>
    <w:p>
      <w:pPr>
        <w:pStyle w:val="Normal"/>
        <w:rPr/>
      </w:pPr>
      <w:r>
        <w:rPr/>
        <w:t>Post-test M (SD)</w:t>
      </w:r>
    </w:p>
    <w:p>
      <w:pPr>
        <w:pStyle w:val="Normal"/>
        <w:rPr/>
      </w:pPr>
      <w:r>
        <w:rPr/>
        <w:t>Mean Difference</w:t>
      </w:r>
    </w:p>
    <w:p>
      <w:pPr>
        <w:pStyle w:val="Normal"/>
        <w:rPr/>
      </w:pPr>
      <w:r>
        <w:rPr/>
        <w:t>Planning</w:t>
      </w:r>
    </w:p>
    <w:p>
      <w:pPr>
        <w:pStyle w:val="Normal"/>
        <w:rPr/>
      </w:pPr>
      <w:r>
        <w:rPr/>
        <w:t>3.12 (0.78)</w:t>
      </w:r>
    </w:p>
    <w:p>
      <w:pPr>
        <w:pStyle w:val="Normal"/>
        <w:rPr/>
      </w:pPr>
      <w:r>
        <w:rPr/>
        <w:t>4.17 (0.62)</w:t>
      </w:r>
    </w:p>
    <w:p>
      <w:pPr>
        <w:pStyle w:val="Normal"/>
        <w:rPr/>
      </w:pPr>
      <w:r>
        <w:rPr/>
        <w:t>1.05</w:t>
      </w:r>
    </w:p>
    <w:p>
      <w:pPr>
        <w:pStyle w:val="Normal"/>
        <w:rPr/>
      </w:pPr>
      <w:r>
        <w:rPr/>
        <w:t>Monitoring</w:t>
      </w:r>
    </w:p>
    <w:p>
      <w:pPr>
        <w:pStyle w:val="Normal"/>
        <w:rPr/>
      </w:pPr>
      <w:r>
        <w:rPr/>
        <w:t>3.45 (0.71)</w:t>
      </w:r>
    </w:p>
    <w:p>
      <w:pPr>
        <w:pStyle w:val="Normal"/>
        <w:rPr/>
      </w:pPr>
      <w:r>
        <w:rPr/>
        <w:t>4.02 (0.68)</w:t>
      </w:r>
    </w:p>
    <w:p>
      <w:pPr>
        <w:pStyle w:val="Normal"/>
        <w:rPr/>
      </w:pPr>
      <w:r>
        <w:rPr/>
        <w:t>0.57</w:t>
      </w:r>
    </w:p>
    <w:p>
      <w:pPr>
        <w:pStyle w:val="Normal"/>
        <w:rPr/>
      </w:pPr>
      <w:r>
        <w:rPr/>
        <w:t>Evaluation</w:t>
      </w:r>
    </w:p>
    <w:p>
      <w:pPr>
        <w:pStyle w:val="Normal"/>
        <w:rPr/>
      </w:pPr>
      <w:r>
        <w:rPr/>
        <w:t>3.08 (0.82)</w:t>
      </w:r>
    </w:p>
    <w:p>
      <w:pPr>
        <w:pStyle w:val="Normal"/>
        <w:rPr/>
      </w:pPr>
      <w:r>
        <w:rPr/>
        <w:t>4.26 (0.59)</w:t>
      </w:r>
    </w:p>
    <w:p>
      <w:pPr>
        <w:pStyle w:val="Normal"/>
        <w:rPr/>
      </w:pPr>
      <w:r>
        <w:rPr/>
        <w:t>1.18</w:t>
      </w:r>
    </w:p>
    <w:p>
      <w:pPr>
        <w:pStyle w:val="Normal"/>
        <w:rPr/>
      </w:pPr>
      <w:r>
        <w:rPr/>
        <w:t>Overall speaking performance</w:t>
      </w:r>
    </w:p>
    <w:p>
      <w:pPr>
        <w:pStyle w:val="Normal"/>
        <w:rPr/>
      </w:pPr>
      <w:r>
        <w:rPr/>
        <w:t>2.89 (0.74)</w:t>
      </w:r>
    </w:p>
    <w:p>
      <w:pPr>
        <w:pStyle w:val="Normal"/>
        <w:rPr/>
      </w:pPr>
      <w:r>
        <w:rPr/>
        <w:t>3.94 (0.65)</w:t>
      </w:r>
    </w:p>
    <w:p>
      <w:pPr>
        <w:pStyle w:val="Normal"/>
        <w:rPr/>
      </w:pPr>
      <w:r>
        <w:rPr/>
        <w:t>1.05</w:t>
      </w:r>
    </w:p>
    <w:p>
      <w:pPr>
        <w:pStyle w:val="BodyText"/>
        <w:rPr/>
      </w:pPr>
      <w:r>
        <w:rPr/>
        <w:t>This pattern is instructionally meaningful. Planning and evaluation were the most improved dimensions, suggesting that the design more strongly supported what students did before and after speaking than what they managed in real time while speaking. That result is plausible. The intervention included explicit prompts for pre-task organization and post-task reflection, so these regulatory processes were directly scaffolded. Monitoring, by contrast, occurs under the pressure of ongoing speech production and is therefore harder to strengthen quickly. Similar asymmetries have been noted in recent speaking research, where reflection and planning often respond more readily to instructional support than real-time monitoring (Paterson, 2022; Zhang et al., 2022). Rather than treating this as a weakness alone, the result helps specify where the design is most effective and where later refinement may be needed.</w:t>
      </w:r>
    </w:p>
    <w:p>
      <w:pPr>
        <w:pStyle w:val="BodyText"/>
        <w:rPr/>
      </w:pPr>
      <w:r>
        <w:rPr/>
        <w:t>The finding also aligns with the theoretical logic of the intervention. Short, segmented input can reduce extraneous cognitive load and leave more capacity for learners to prepare explanations carefully. Explain-to-learn tasks then force learners to test whether they truly understand a concept. Reflection prompts extend this process by making students review clarity, organization, and communicative success. In that sense, the intervention appears to have made metacognitive activity more visible and more routinized, which is consistent with prior work on microlearning and self-explanation as supports for active processing (Taylor &amp; Hung, 2022; Lachner et al., 2021).</w:t>
      </w:r>
      <w:bookmarkEnd w:id="4"/>
    </w:p>
    <w:tbl>
      <w:tblPr>
        <w:tblStyle w:val="Table"/>
        <w:tblW w:w="7920"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r>
      <w:tr>
        <w:trPr/>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r>
      <w:tr>
        <w:trPr/>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r>
      <w:tr>
        <w:trPr/>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r>
      <w:tr>
        <w:trPr/>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r>
      <w:tr>
        <w:trPr/>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r>
          </w:p>
        </w:tc>
        <w:tc>
          <w:tcPr>
            <w:tcW w:w="1980" w:type="dxa"/>
            <w:tcBorders/>
          </w:tcPr>
          <w:p>
            <w:pPr>
              <w:pStyle w:val="Heading3"/>
              <w:keepNext w:val="true"/>
              <w:spacing w:before="240" w:after="60"/>
              <w:rPr/>
            </w:pPr>
            <w:r>
              <w:rPr/>
              <w:t>Academic speaking improvement</w:t>
            </w:r>
          </w:p>
        </w:tc>
      </w:tr>
    </w:tbl>
    <w:p>
      <w:pPr>
        <w:pStyle w:val="Normal"/>
        <w:rPr/>
      </w:pPr>
      <w:bookmarkStart w:id="5" w:name="academic-speaking-improvement"/>
      <w:r>
        <w:rPr/>
        <w:t>Speaking performance also improved significantly, t(95) = 9.87, p &lt; .001, Cohen’s d = 1.01. Gains were found across all assessed dimensions, with the largest improvements in idea organization and clarity of explanation. Table 2 summarizes these results.</w:t>
      </w:r>
    </w:p>
    <w:p>
      <w:pPr>
        <w:pStyle w:val="Normal"/>
        <w:rPr/>
      </w:pPr>
      <w:r>
        <w:rPr/>
        <w:t>Dimension</w:t>
      </w:r>
    </w:p>
    <w:p>
      <w:pPr>
        <w:pStyle w:val="Normal"/>
        <w:rPr/>
      </w:pPr>
      <w:r>
        <w:rPr/>
        <w:t>t(95)</w:t>
      </w:r>
    </w:p>
    <w:p>
      <w:pPr>
        <w:pStyle w:val="Normal"/>
        <w:rPr/>
      </w:pPr>
      <w:r>
        <w:rPr/>
        <w:t>p-value</w:t>
      </w:r>
    </w:p>
    <w:p>
      <w:pPr>
        <w:pStyle w:val="Normal"/>
        <w:rPr/>
      </w:pPr>
      <w:r>
        <w:rPr/>
        <w:t>Cohen’s d</w:t>
      </w:r>
    </w:p>
    <w:p>
      <w:pPr>
        <w:pStyle w:val="Normal"/>
        <w:rPr/>
      </w:pPr>
      <w:r>
        <w:rPr/>
        <w:t>Idea organization</w:t>
      </w:r>
    </w:p>
    <w:p>
      <w:pPr>
        <w:pStyle w:val="Normal"/>
        <w:rPr/>
      </w:pPr>
      <w:r>
        <w:rPr/>
        <w:t>10.12</w:t>
      </w:r>
    </w:p>
    <w:p>
      <w:pPr>
        <w:pStyle w:val="Normal"/>
        <w:rPr/>
      </w:pPr>
      <w:r>
        <w:rPr/>
        <w:t>&lt; .001</w:t>
      </w:r>
    </w:p>
    <w:p>
      <w:pPr>
        <w:pStyle w:val="Normal"/>
        <w:rPr/>
      </w:pPr>
      <w:r>
        <w:rPr/>
        <w:t>1.15</w:t>
      </w:r>
    </w:p>
    <w:p>
      <w:pPr>
        <w:pStyle w:val="Normal"/>
        <w:rPr/>
      </w:pPr>
      <w:r>
        <w:rPr/>
        <w:t>Clarity of explanation</w:t>
      </w:r>
    </w:p>
    <w:p>
      <w:pPr>
        <w:pStyle w:val="Normal"/>
        <w:rPr/>
      </w:pPr>
      <w:r>
        <w:rPr/>
        <w:t>9.56</w:t>
      </w:r>
    </w:p>
    <w:p>
      <w:pPr>
        <w:pStyle w:val="Normal"/>
        <w:rPr/>
      </w:pPr>
      <w:r>
        <w:rPr/>
        <w:t>&lt; .001</w:t>
      </w:r>
    </w:p>
    <w:p>
      <w:pPr>
        <w:pStyle w:val="Normal"/>
        <w:rPr/>
      </w:pPr>
      <w:r>
        <w:rPr/>
        <w:t>0.98</w:t>
      </w:r>
    </w:p>
    <w:p>
      <w:pPr>
        <w:pStyle w:val="Normal"/>
        <w:rPr/>
      </w:pPr>
      <w:r>
        <w:rPr/>
        <w:t>Strategic delivery</w:t>
      </w:r>
    </w:p>
    <w:p>
      <w:pPr>
        <w:pStyle w:val="Normal"/>
        <w:rPr/>
      </w:pPr>
      <w:r>
        <w:rPr/>
        <w:t>8.43</w:t>
      </w:r>
    </w:p>
    <w:p>
      <w:pPr>
        <w:pStyle w:val="Normal"/>
        <w:rPr/>
      </w:pPr>
      <w:r>
        <w:rPr/>
        <w:t>&lt; .001</w:t>
      </w:r>
    </w:p>
    <w:p>
      <w:pPr>
        <w:pStyle w:val="Normal"/>
        <w:rPr/>
      </w:pPr>
      <w:r>
        <w:rPr/>
        <w:t>0.87</w:t>
      </w:r>
    </w:p>
    <w:p>
      <w:pPr>
        <w:pStyle w:val="Normal"/>
        <w:rPr/>
      </w:pPr>
      <w:r>
        <w:rPr/>
        <w:t>Responsiveness</w:t>
      </w:r>
    </w:p>
    <w:p>
      <w:pPr>
        <w:pStyle w:val="Normal"/>
        <w:rPr/>
      </w:pPr>
      <w:r>
        <w:rPr/>
        <w:t>7.89</w:t>
      </w:r>
    </w:p>
    <w:p>
      <w:pPr>
        <w:pStyle w:val="Normal"/>
        <w:rPr/>
      </w:pPr>
      <w:r>
        <w:rPr/>
        <w:t>&lt; .001</w:t>
      </w:r>
    </w:p>
    <w:p>
      <w:pPr>
        <w:pStyle w:val="Normal"/>
        <w:rPr/>
      </w:pPr>
      <w:r>
        <w:rPr/>
        <w:t>0.82</w:t>
      </w:r>
    </w:p>
    <w:p>
      <w:pPr>
        <w:pStyle w:val="Normal"/>
        <w:rPr/>
      </w:pPr>
      <w:r>
        <w:rPr/>
        <w:t>Overall performance</w:t>
      </w:r>
    </w:p>
    <w:p>
      <w:pPr>
        <w:pStyle w:val="Normal"/>
        <w:rPr/>
      </w:pPr>
      <w:r>
        <w:rPr/>
        <w:t>9.87</w:t>
      </w:r>
    </w:p>
    <w:p>
      <w:pPr>
        <w:pStyle w:val="Normal"/>
        <w:rPr/>
      </w:pPr>
      <w:r>
        <w:rPr/>
        <w:t>&lt; .001</w:t>
      </w:r>
    </w:p>
    <w:p>
      <w:pPr>
        <w:pStyle w:val="Normal"/>
        <w:rPr/>
      </w:pPr>
      <w:r>
        <w:rPr/>
        <w:t>1.01</w:t>
      </w:r>
    </w:p>
    <w:p>
      <w:pPr>
        <w:pStyle w:val="BodyText"/>
        <w:rPr/>
      </w:pPr>
      <w:r>
        <w:rPr/>
        <w:t>The distribution of gains matters as much as the overall effect size. The intervention seemed especially helpful for structuring ideas and making explanations clearer. This is consistent with the use of oral explanation as a learning task. If students repeatedly have to explain a concept in their own words, they must make decisions about what is essential, what order makes sense, and where listeners might become confused. That repeated explanatory work should improve the organizational and conceptual side of speaking before it improves more interactive dimensions such as responsiveness. The interpretation is also compatible with recent findings that explanation-centered and reflection-centered instruction can improve speaking quality by making learners externalize and inspect their own understanding (Paterson, 2022; Adipat, 2023).</w:t>
      </w:r>
    </w:p>
    <w:p>
      <w:pPr>
        <w:pStyle w:val="BodyText"/>
        <w:rPr/>
      </w:pPr>
      <w:r>
        <w:rPr/>
        <w:t>The comparatively smaller gain in responsiveness also deserves attention. The intervention focused mainly on individual explanation tasks rather than dialogic exchange, so students had fewer opportunities to practice adapting their speech to live audience feedback. This suggests that future versions of the design may need peer questioning, structured discussion, or real-time prompts if improving responsiveness becomes a major objective. That extension would align with recent calls to combine digital microlearning with more socially interactive speaking practice rather than relying on content segmentation alone (Lee, 2023; Prasittichok &amp; Smithsarakarn, 2024).</w:t>
      </w:r>
    </w:p>
    <w:p>
      <w:pPr>
        <w:pStyle w:val="BodyText"/>
        <w:rPr/>
      </w:pPr>
      <w:r>
        <w:rPr/>
        <w:t>Correlational analysis further showed meaningful associations between speaking performance and metacognitive regulation: planning (r = .68, p &lt; .01), monitoring (r = .54, p &lt; .01), and evaluation (r = .71, p &lt; .01). These correlations do not establish mediation on their own, and the present design does not justify a strong causal mediation claim. Still, they support a more cautious interpretation: improvement in speaking performance appears to be closely linked with stronger regulatory activity, especially post-task evaluation. For this reason, metacognitive regulation is better described here as a plausible explanatory pathway rather than a statistically demonstrated mediator.</w:t>
      </w:r>
      <w:bookmarkEnd w:id="5"/>
    </w:p>
    <w:p>
      <w:pPr>
        <w:pStyle w:val="Heading3"/>
        <w:rPr/>
      </w:pPr>
      <w:bookmarkStart w:id="6" w:name="student-perceptions-of-the-design"/>
      <w:r>
        <w:rPr/>
        <w:t>Student perceptions of the design</w:t>
      </w:r>
    </w:p>
    <w:p>
      <w:pPr>
        <w:pStyle w:val="Normal"/>
        <w:rPr/>
      </w:pPr>
      <w:r>
        <w:rPr/>
        <w:t>Student perception data were consistently positive. Perceived usefulness was rated at M = 4.23 (SD = 0.71), cognitive engagement at M = 4.15 (SD = 0.76), and instructional clarity at M = 4.08 (SD = 0.79). These results suggest that the intervention was not only associated with measurable gains, but was also experienced as manageable and meaningful by learners.</w:t>
      </w:r>
    </w:p>
    <w:p>
      <w:pPr>
        <w:pStyle w:val="BodyText"/>
        <w:rPr/>
      </w:pPr>
      <w:r>
        <w:rPr/>
        <w:t>The open-ended responses help explain why. Three themes appeared repeatedly. First, students reported that short modules reduced overwhelm and made it easier to focus on one speaking problem at a time. Second, they described oral explanation as a way to discover gaps in understanding. Third, they viewed reflection prompts as useful tools for planning and self-correction. These themes match the intended instructional design rather closely. Students did not simply report enjoying the platform; they identified the specific design features that were supposed to support deeper processing and self-regulation.</w:t>
      </w:r>
    </w:p>
    <w:p>
      <w:pPr>
        <w:pStyle w:val="BodyText"/>
        <w:rPr/>
      </w:pPr>
      <w:r>
        <w:rPr/>
        <w:t>This convergence between quantitative and qualitative evidence strengthens the interpretation of the findings. The positive perception data do not prove effectiveness by themselves, but they do show that students experienced the design in ways consistent with its theoretical rationale. In other words, the intervention appears to have worked not only at the level of outcome scores, but also at the level of learner experience.</w:t>
      </w:r>
      <w:bookmarkEnd w:id="6"/>
    </w:p>
    <w:p>
      <w:pPr>
        <w:pStyle w:val="Heading3"/>
        <w:rPr/>
      </w:pPr>
      <w:bookmarkStart w:id="7" w:name="implications-of-the-combined-findings"/>
      <w:r>
        <w:rPr/>
        <w:t>Implications of the combined findings</w:t>
      </w:r>
    </w:p>
    <w:p>
      <w:pPr>
        <w:pStyle w:val="Normal"/>
        <w:rPr/>
      </w:pPr>
      <w:r>
        <w:rPr/>
        <w:t>Taken together, the findings suggest that microlearning is more valuable for speaking instruction when it is paired with generative explanation and explicit metacognitive support. Short content units may help learners manage complexity, but the deeper gains in this study likely depended on what students had to do after consuming that content. The explain-to-learn stage transformed input into active knowledge reconstruction, while the reflection stage converted performance into feedback for future improvement. This interpretation is consistent with the wider microlearning literature, which increasingly argues that learning benefits come less from brevity itself than from the way short units are embedded in purposeful instructional activity (Leong et al., 2020; Taylor &amp; Hung, 2022; Samala et al., 2023).</w:t>
      </w:r>
    </w:p>
    <w:p>
      <w:pPr>
        <w:pStyle w:val="BodyText"/>
        <w:rPr/>
      </w:pPr>
      <w:r>
        <w:rPr/>
        <w:t>For language educators, this means that technology-enhanced speaking instruction should not stop at delivering concise multimedia content. It should also require students to externalize understanding and review their own communicative performance. For instructional designers, the study offers a practical sequence that appears workable in higher education contexts: brief concept exposure, learner explanation, and targeted metacognitive prompting. For researchers, the results point to a more refined agenda. Future work should test whether the same design remains effective across longer periods, different student populations, and more interactive speaking formats.</w:t>
      </w:r>
    </w:p>
    <w:p>
      <w:pPr>
        <w:pStyle w:val="BodyText"/>
        <w:rPr/>
      </w:pPr>
      <w:r>
        <w:rPr/>
        <w:t>Several limits should temper interpretation. The study was conducted in one institutional context, used self-report for metacognitive regulation, and did not include a comparison group. These features reduce the strength of causal claims and limit generalizability. The results therefore support a design claim of promise rather than a definitive claim of superiority over alternative methods. Future studies would be stronger if they triangulated questionnaires with process-based evidence such as stimulated recall, speech analytics, or interaction logs, as recommended in recent work on speaking strategy use and metacognitive instruction (Zhang et al., 2022). Even so, the consistency across performance, regulatory, and perception data suggests that the intervention merits further testing and refinement.</w:t>
      </w:r>
      <w:bookmarkEnd w:id="3"/>
      <w:bookmarkEnd w:id="7"/>
    </w:p>
    <w:p>
      <w:pPr>
        <w:pStyle w:val="Heading2"/>
        <w:rPr/>
      </w:pPr>
      <w:bookmarkStart w:id="8" w:name="conclusion"/>
      <w:r>
        <w:rPr/>
        <w:t>Conclusion</w:t>
      </w:r>
    </w:p>
    <w:p>
      <w:pPr>
        <w:pStyle w:val="Normal"/>
        <w:rPr/>
      </w:pPr>
      <w:r>
        <w:rPr/>
        <w:t>This study examined an instructional design that combined microlearning, oral explanation, and structured reflection for academic speaking in higher education. The results showed substantial gains in metacognitive regulation and overall speaking performance, with especially strong improvements in planning, evaluation, idea organization, and clarity of explanation. Students also viewed the design as useful, engaging, and easy to follow.</w:t>
      </w:r>
    </w:p>
    <w:p>
      <w:pPr>
        <w:pStyle w:val="BodyText"/>
        <w:rPr/>
      </w:pPr>
      <w:r>
        <w:rPr/>
        <w:t>The main contribution of the study is not simply that digital microlearning can support speaking instruction, but that its value appears to increase when short content delivery is integrated with explain-to-learn activity and explicit metacognitive scaffolding. Under these conditions, students do not only receive information in smaller units; they are prompted to reorganize that information, express it aloud, and reflect on how well they communicated it.</w:t>
      </w:r>
    </w:p>
    <w:p>
      <w:pPr>
        <w:pStyle w:val="BodyText"/>
        <w:rPr/>
      </w:pPr>
      <w:r>
        <w:rPr/>
        <w:t>Because the study did not include a control group, the findings should be interpreted cautiously. They indicate that the intervention is promising and theoretically coherent, not that it has been conclusively proven superior to other approaches. Even with that caution, the study offers a practical model for technology-enhanced language education and a useful starting point for future work on self-regulated speaking development.</w:t>
      </w:r>
      <w:bookmarkEnd w:id="8"/>
    </w:p>
    <w:p>
      <w:pPr>
        <w:pStyle w:val="Heading2"/>
        <w:rPr/>
      </w:pPr>
      <w:bookmarkStart w:id="9" w:name="references"/>
      <w:r>
        <w:rPr/>
        <w:t>References</w:t>
      </w:r>
    </w:p>
    <w:p>
      <w:pPr>
        <w:pStyle w:val="Normal"/>
        <w:rPr/>
      </w:pPr>
      <w:r>
        <w:rPr/>
        <w:t xml:space="preserve">Adipat, S. (2023). An artificial intelligence-enhanced phenomenon-based learning approach for interdisciplinary understanding and speaking skills. </w:t>
      </w:r>
      <w:r>
        <w:rPr>
          <w:i/>
          <w:iCs/>
        </w:rPr>
        <w:t>International Journal of Instruction, 16</w:t>
      </w:r>
      <w:r>
        <w:rPr/>
        <w:t>(3), 531–550. https://doi.org/10.29333/iji.2023.16329a</w:t>
      </w:r>
    </w:p>
    <w:p>
      <w:pPr>
        <w:pStyle w:val="BodyText"/>
        <w:rPr/>
      </w:pPr>
      <w:r>
        <w:rPr/>
        <w:t xml:space="preserve">Braun, V., &amp; Clarke, V. (2006). Using thematic analysis in psychology. </w:t>
      </w:r>
      <w:r>
        <w:rPr>
          <w:i/>
          <w:iCs/>
        </w:rPr>
        <w:t>Qualitative Research in Psychology, 3</w:t>
      </w:r>
      <w:r>
        <w:rPr/>
        <w:t>(2), 77–101. https://doi.org/10.1191/1478088706qp063oa</w:t>
      </w:r>
    </w:p>
    <w:p>
      <w:pPr>
        <w:pStyle w:val="BodyText"/>
        <w:rPr/>
      </w:pPr>
      <w:r>
        <w:rPr/>
        <w:t xml:space="preserve">Creswell, J. W., &amp; Plano Clark, V. L. (2018). </w:t>
      </w:r>
      <w:r>
        <w:rPr>
          <w:i/>
          <w:iCs/>
        </w:rPr>
        <w:t>Designing and conducting mixed methods research</w:t>
      </w:r>
      <w:r>
        <w:rPr/>
        <w:t xml:space="preserve"> (3rd ed.). Sage.</w:t>
      </w:r>
    </w:p>
    <w:p>
      <w:pPr>
        <w:pStyle w:val="BodyText"/>
        <w:rPr/>
      </w:pPr>
      <w:r>
        <w:rPr/>
        <w:t xml:space="preserve">Design-Based Research Collective. (2003). Design-based research: An emerging paradigm for educational inquiry. </w:t>
      </w:r>
      <w:r>
        <w:rPr>
          <w:i/>
          <w:iCs/>
        </w:rPr>
        <w:t>Educational Researcher, 32</w:t>
      </w:r>
      <w:r>
        <w:rPr/>
        <w:t>(1), 5–8. https://doi.org/10.3102/0013189X032001005</w:t>
      </w:r>
    </w:p>
    <w:p>
      <w:pPr>
        <w:pStyle w:val="BodyText"/>
        <w:rPr/>
      </w:pPr>
      <w:r>
        <w:rPr/>
        <w:t xml:space="preserve">Fiorella, L., &amp; Mayer, R. E. (2016). </w:t>
      </w:r>
      <w:r>
        <w:rPr>
          <w:i/>
          <w:iCs/>
        </w:rPr>
        <w:t>Learning as a generative activity: Eight learning strategies that promote understanding</w:t>
      </w:r>
      <w:r>
        <w:rPr/>
        <w:t>. Cambridge University Press. https://doi.org/10.1017/CBO9781107707085</w:t>
      </w:r>
    </w:p>
    <w:p>
      <w:pPr>
        <w:pStyle w:val="BodyText"/>
        <w:rPr/>
      </w:pPr>
      <w:r>
        <w:rPr/>
        <w:t xml:space="preserve">Flavell, J. H. (1979). Metacognition and cognitive monitoring: A new area of cognitive-developmental inquiry. </w:t>
      </w:r>
      <w:r>
        <w:rPr>
          <w:i/>
          <w:iCs/>
        </w:rPr>
        <w:t>American Psychologist, 34</w:t>
      </w:r>
      <w:r>
        <w:rPr/>
        <w:t>(10), 906–911. https://doi.org/10.1037/0003-066X.34.10.906</w:t>
      </w:r>
    </w:p>
    <w:p>
      <w:pPr>
        <w:pStyle w:val="BodyText"/>
        <w:rPr/>
      </w:pPr>
      <w:r>
        <w:rPr/>
        <w:t xml:space="preserve">Goh, C. C. M. (2017). Research into practice: Scaffolding learning processes to improve speaking performance. </w:t>
      </w:r>
      <w:r>
        <w:rPr>
          <w:i/>
          <w:iCs/>
        </w:rPr>
        <w:t>Language Teaching, 50</w:t>
      </w:r>
      <w:r>
        <w:rPr/>
        <w:t>(2), 247–260. https://doi.org/10.1017/S0261444816000483</w:t>
      </w:r>
    </w:p>
    <w:p>
      <w:pPr>
        <w:pStyle w:val="BodyText"/>
        <w:rPr/>
      </w:pPr>
      <w:r>
        <w:rPr/>
        <w:t xml:space="preserve">Lachner, A., Weinhuber, M., Hoogerheide, V., &amp; Renkl, A. (2021). Benefits of writing an explanation during pauses in multimedia lessons. </w:t>
      </w:r>
      <w:r>
        <w:rPr>
          <w:i/>
          <w:iCs/>
        </w:rPr>
        <w:t>Educational Psychology Review, 33</w:t>
      </w:r>
      <w:r>
        <w:rPr/>
        <w:t>, 1859–1885. https://doi.org/10.1007/s10648-021-09594-w</w:t>
      </w:r>
    </w:p>
    <w:p>
      <w:pPr>
        <w:pStyle w:val="BodyText"/>
        <w:rPr/>
      </w:pPr>
      <w:r>
        <w:rPr/>
        <w:t xml:space="preserve">Lee, Y. M. (2023). Mobile microlearning: A systematic literature review and its implications. </w:t>
      </w:r>
      <w:r>
        <w:rPr>
          <w:i/>
          <w:iCs/>
        </w:rPr>
        <w:t>Interactive Learning Environments, 31</w:t>
      </w:r>
      <w:r>
        <w:rPr/>
        <w:t>(7), 4636–4651. https://doi.org/10.1080/10494820.2021.1977964</w:t>
      </w:r>
    </w:p>
    <w:p>
      <w:pPr>
        <w:pStyle w:val="BodyText"/>
        <w:rPr/>
      </w:pPr>
      <w:r>
        <w:rPr/>
        <w:t xml:space="preserve">Leong, K., Sung, A., Au, D., &amp; Blanchard, C. (2020). A review of the trend of microlearning. </w:t>
      </w:r>
      <w:r>
        <w:rPr>
          <w:i/>
          <w:iCs/>
        </w:rPr>
        <w:t>Journal of Work-Applied Management, 13</w:t>
      </w:r>
      <w:r>
        <w:rPr/>
        <w:t>(1), 88–102. https://doi.org/10.1108/JWAM-10-2020-0044</w:t>
      </w:r>
    </w:p>
    <w:p>
      <w:pPr>
        <w:pStyle w:val="BodyText"/>
        <w:rPr/>
      </w:pPr>
      <w:r>
        <w:rPr/>
        <w:t xml:space="preserve">Mayer, R. E. (2014). </w:t>
      </w:r>
      <w:r>
        <w:rPr>
          <w:i/>
          <w:iCs/>
        </w:rPr>
        <w:t>The Cambridge handbook of multimedia learning</w:t>
      </w:r>
      <w:r>
        <w:rPr/>
        <w:t xml:space="preserve"> (2nd ed.). Cambridge University Press. https://doi.org/10.1017/CBO9781139547369</w:t>
      </w:r>
    </w:p>
    <w:p>
      <w:pPr>
        <w:pStyle w:val="BodyText"/>
        <w:rPr/>
      </w:pPr>
      <w:r>
        <w:rPr/>
        <w:t xml:space="preserve">McKenney, S., &amp; Reeves, T. C. (2019). </w:t>
      </w:r>
      <w:r>
        <w:rPr>
          <w:i/>
          <w:iCs/>
        </w:rPr>
        <w:t>Conducting educational design research</w:t>
      </w:r>
      <w:r>
        <w:rPr/>
        <w:t xml:space="preserve"> (2nd ed.). Routledge. https://doi.org/10.4324/9781315105642</w:t>
      </w:r>
    </w:p>
    <w:p>
      <w:pPr>
        <w:pStyle w:val="BodyText"/>
        <w:rPr/>
      </w:pPr>
      <w:r>
        <w:rPr/>
        <w:t xml:space="preserve">Paterson, R. (2022). Prompting metacognitive reflection to facilitate speaking improvements in learners of English as a foreign language. </w:t>
      </w:r>
      <w:r>
        <w:rPr>
          <w:i/>
          <w:iCs/>
        </w:rPr>
        <w:t>English Teaching &amp; Learning, 46</w:t>
      </w:r>
      <w:r>
        <w:rPr/>
        <w:t>(2), 157–177. https://doi.org/10.1007/s42321-021-00086-2</w:t>
      </w:r>
    </w:p>
    <w:p>
      <w:pPr>
        <w:pStyle w:val="BodyText"/>
        <w:rPr/>
      </w:pPr>
      <w:r>
        <w:rPr/>
        <w:t xml:space="preserve">Prasittichok, P., &amp; Smithsarakarn, P. N. (2024). The effects of microlearning on EFL students’ English speaking: A systematic review and meta-analysis. </w:t>
      </w:r>
      <w:r>
        <w:rPr>
          <w:i/>
          <w:iCs/>
        </w:rPr>
        <w:t>International Journal of Learning, Teaching and Educational Research, 23</w:t>
      </w:r>
      <w:r>
        <w:rPr/>
        <w:t>(4). https://www.ijlter.org/index.php/ijlter/article/view/10006</w:t>
      </w:r>
    </w:p>
    <w:p>
      <w:pPr>
        <w:pStyle w:val="BodyText"/>
        <w:rPr/>
      </w:pPr>
      <w:r>
        <w:rPr/>
        <w:t xml:space="preserve">Samala, A. D., Bojic, L., Bekiroğlu, D., Watrianthos, R., &amp; Hendriyani, Y. (2023). Microlearning: Transforming education with bite-sized learning on the go—insights and applications. </w:t>
      </w:r>
      <w:r>
        <w:rPr>
          <w:i/>
          <w:iCs/>
        </w:rPr>
        <w:t>International Journal of Interactive Mobile Technologies, 17</w:t>
      </w:r>
      <w:r>
        <w:rPr/>
        <w:t>(21), 4–24. https://doi.org/10.3991/ijim.v17i21.42951</w:t>
      </w:r>
    </w:p>
    <w:p>
      <w:pPr>
        <w:pStyle w:val="BodyText"/>
        <w:rPr/>
      </w:pPr>
      <w:r>
        <w:rPr/>
        <w:t xml:space="preserve">Zhang, W., Zhao, M., &amp; Zhu, Y. (2022). Understanding individual differences in metacognitive strategy use, task demand, and performance in integrated L2 speaking assessment tasks. </w:t>
      </w:r>
      <w:r>
        <w:rPr>
          <w:i/>
          <w:iCs/>
        </w:rPr>
        <w:t>Frontiers in Psychology, 13</w:t>
      </w:r>
      <w:r>
        <w:rPr/>
        <w:t>, 876208. https://doi.org/10.3389/fpsyg.2022.876208</w:t>
      </w:r>
    </w:p>
    <w:p>
      <w:pPr>
        <w:pStyle w:val="BodyText"/>
        <w:rPr/>
      </w:pPr>
      <w:r>
        <w:rPr/>
        <w:t xml:space="preserve">Taylor, A.-d., &amp; Hung, W. (2022). The effects of microlearning: A scoping review. </w:t>
      </w:r>
      <w:r>
        <w:rPr>
          <w:i/>
          <w:iCs/>
        </w:rPr>
        <w:t>Educational Technology Research and Development, 70</w:t>
      </w:r>
      <w:r>
        <w:rPr/>
        <w:t>(2), 363–395. https://doi.org/10.1007/s11423-022-10084-1</w:t>
      </w:r>
    </w:p>
    <w:p>
      <w:pPr>
        <w:pStyle w:val="BodyText"/>
        <w:rPr/>
      </w:pPr>
      <w:r>
        <w:rPr/>
        <w:t xml:space="preserve">Zimmerman, B. J. (2002). Becoming a self-regulated learner: An overview. </w:t>
      </w:r>
      <w:r>
        <w:rPr>
          <w:i/>
          <w:iCs/>
        </w:rPr>
        <w:t>Theory Into Practice, 41</w:t>
      </w:r>
      <w:r>
        <w:rPr/>
        <w:t>(2), 64–70. https://doi.org/10.1207/s15430421tip4102_2</w:t>
      </w:r>
    </w:p>
    <w:p>
      <w:pPr>
        <w:pStyle w:val="BodyText"/>
        <w:spacing w:before="0" w:after="120"/>
        <w:rPr/>
      </w:pPr>
      <w:r>
        <w:rPr>
          <w:i/>
          <w:iCs/>
        </w:rPr>
        <w:t>Draft note: the next pass should convert these references and all in-text citations to EduLearn’s required IEEE numbering style.</w:t>
      </w:r>
      <w:bookmarkEnd w:id="9"/>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418" w:gutter="0" w:header="1134" w:top="1418" w:footer="1134" w:bottom="1418"/>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NimbusRomNo9L-Medi">
    <w:charset w:val="01" w:characterSet="utf-8"/>
    <w:family w:val="roman"/>
    <w:pitch w:val="variable"/>
  </w:font>
  <w:font w:name="NimbusRomNo9L-Regu">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Palatino">
    <w:charset w:val="01" w:characterSet="utf-8"/>
    <w:family w:val="roman"/>
    <w:pitch w:val="variable"/>
  </w:font>
  <w:font w:name="Calibri">
    <w:charset w:val="01" w:characterSet="utf-8"/>
    <w:family w:val="swiss"/>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2992" w:leader="none"/>
      </w:tabs>
      <w:spacing w:before="240" w:after="0"/>
      <w:rPr/>
    </w:pPr>
    <w:r>
      <mc:AlternateContent>
        <mc:Choice Requires="wps">
          <w:drawing>
            <wp:anchor distT="0" distB="0" distL="0" distR="0" simplePos="0" relativeHeight="11" behindDoc="1" locked="0" layoutInCell="1" allowOverlap="1" wp14:anchorId="307E942D">
              <wp:simplePos x="0" y="0"/>
              <wp:positionH relativeFrom="column">
                <wp:posOffset>-17780</wp:posOffset>
              </wp:positionH>
              <wp:positionV relativeFrom="paragraph">
                <wp:posOffset>144145</wp:posOffset>
              </wp:positionV>
              <wp:extent cx="5615940" cy="0"/>
              <wp:effectExtent l="5080" t="5080" r="5080" b="5080"/>
              <wp:wrapNone/>
              <wp:docPr id="6" name="Line 3"/>
              <a:graphic xmlns:a="http://schemas.openxmlformats.org/drawingml/2006/main">
                <a:graphicData uri="http://schemas.microsoft.com/office/word/2010/wordprocessingShape">
                  <wps:wsp>
                    <wps:cNvSpPr/>
                    <wps:spPr>
                      <a:xfrm>
                        <a:off x="0" y="0"/>
                        <a:ext cx="56160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11.35pt" to="440.75pt,11.35pt" stroked="t" o:allowincell="f" style="position:absolute" wp14:anchorId="307E942D">
              <v:stroke color="black" weight="9360" joinstyle="round" endcap="flat"/>
              <v:fill o:detectmouseclick="t" on="false"/>
              <w10:wrap type="none"/>
            </v:line>
          </w:pict>
        </mc:Fallback>
      </mc:AlternateContent>
    </w:r>
    <w:r>
      <w:rPr/>
      <w:t>J Edu &amp; Learn, Vol. 99, No. 1, Month 2099: ab-cd</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i/>
      </w:rPr>
    </w:pPr>
    <w:r>
      <mc:AlternateContent>
        <mc:Choice Requires="wps">
          <w:drawing>
            <wp:anchor distT="0" distB="0" distL="0" distR="0" simplePos="0" relativeHeight="7" behindDoc="1" locked="0" layoutInCell="1" allowOverlap="1" wp14:anchorId="62A3734C">
              <wp:simplePos x="0" y="0"/>
              <wp:positionH relativeFrom="column">
                <wp:posOffset>-17780</wp:posOffset>
              </wp:positionH>
              <wp:positionV relativeFrom="paragraph">
                <wp:posOffset>635</wp:posOffset>
              </wp:positionV>
              <wp:extent cx="5615940" cy="635"/>
              <wp:effectExtent l="5080" t="5080" r="5080" b="5080"/>
              <wp:wrapNone/>
              <wp:docPr id="7" name="Line 3"/>
              <a:graphic xmlns:a="http://schemas.openxmlformats.org/drawingml/2006/main">
                <a:graphicData uri="http://schemas.microsoft.com/office/word/2010/wordprocessingShape">
                  <wps:wsp>
                    <wps:cNvSpPr/>
                    <wps:spPr>
                      <a:xfrm>
                        <a:off x="0" y="0"/>
                        <a:ext cx="56160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pt,0pt" to="440.75pt,0pt" stroked="t" o:allowincell="f" style="position:absolute" wp14:anchorId="62A3734C">
              <v:stroke color="black" weight="9360" joinstyle="round" endcap="flat"/>
              <v:fill o:detectmouseclick="t" on="false"/>
              <w10:wrap type="none"/>
            </v:line>
          </w:pict>
        </mc:Fallback>
      </mc:AlternateContent>
    </w:r>
    <w:r>
      <w:rPr>
        <w:i/>
        <w:iCs/>
      </w:rPr>
      <w:t xml:space="preserve">Paper’s should be the fewest possible that accurately describe </w:t>
    </w:r>
    <w:r>
      <w:rPr>
        <w:i/>
      </w:rPr>
      <w:t>… (First Author)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i/>
        <w:szCs w:val="18"/>
      </w:rPr>
    </w:pPr>
    <w:r>
      <mc:AlternateContent>
        <mc:Choice Requires="wps">
          <w:drawing>
            <wp:anchor distT="0" distB="0" distL="0" distR="0" simplePos="0" relativeHeight="8" behindDoc="1" locked="0" layoutInCell="1" allowOverlap="1" wp14:anchorId="066E0B6C">
              <wp:simplePos x="0" y="0"/>
              <wp:positionH relativeFrom="column">
                <wp:posOffset>-17780</wp:posOffset>
              </wp:positionH>
              <wp:positionV relativeFrom="paragraph">
                <wp:posOffset>144145</wp:posOffset>
              </wp:positionV>
              <wp:extent cx="5615940" cy="635"/>
              <wp:effectExtent l="5080" t="5715" r="5715" b="5080"/>
              <wp:wrapNone/>
              <wp:docPr id="8"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4pt;margin-top:11.35pt;width:442.15pt;height:0pt;mso-wrap-style:none;v-text-anchor:middle" wp14:anchorId="066E0B6C" type="_x0000_t32" path="m0,0l-2147483648,-2147483647e">
              <v:fill o:detectmouseclick="t" on="false"/>
              <v:stroke color="black" weight="9360" joinstyle="round" endcap="flat"/>
              <w10:wrap type="none"/>
            </v:shape>
          </w:pict>
        </mc:Fallback>
      </mc:AlternateContent>
    </w:r>
    <w:r>
      <w:rPr>
        <w:b/>
        <w:i/>
        <w:szCs w:val="18"/>
      </w:rPr>
      <w:t>Journal homepage</w:t>
    </w:r>
    <w:r>
      <w:rPr>
        <w:i/>
        <w:szCs w:val="18"/>
      </w:rPr>
      <w:t>: http://edulearn.intelektual.org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851" w:leader="none"/>
        <w:tab w:val="left" w:pos="3405" w:leader="none"/>
        <w:tab w:val="right" w:pos="8789" w:leader="none"/>
      </w:tabs>
      <w:spacing w:before="0" w:after="240"/>
      <w:rPr/>
    </w:pPr>
    <w:r>
      <mc:AlternateContent>
        <mc:Choice Requires="wps">
          <w:drawing>
            <wp:anchor distT="0" distB="0" distL="0" distR="0" simplePos="0" relativeHeight="4" behindDoc="1" locked="0" layoutInCell="1" allowOverlap="1" wp14:anchorId="36240665">
              <wp:simplePos x="0" y="0"/>
              <wp:positionH relativeFrom="column">
                <wp:posOffset>-17780</wp:posOffset>
              </wp:positionH>
              <wp:positionV relativeFrom="paragraph">
                <wp:posOffset>180340</wp:posOffset>
              </wp:positionV>
              <wp:extent cx="5615940" cy="635"/>
              <wp:effectExtent l="5080" t="5715" r="5715" b="5080"/>
              <wp:wrapNone/>
              <wp:docPr id="1"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4pt;margin-top:14.2pt;width:442.15pt;height:0pt;mso-wrap-style:none;v-text-anchor:middle" wp14:anchorId="36240665" type="_x0000_t32" path="m0,0l-2147483648,-2147483647e">
              <v:fill o:detectmouseclick="t" on="false"/>
              <v:stroke color="black" weight="9360" joinstyle="round" endcap="flat"/>
              <w10:wrap type="none"/>
            </v:shape>
          </w:pict>
        </mc:Fallback>
      </mc:AlternateContent>
    </w:r>
    <w:r>
      <w:rPr/>
      <w:t xml:space="preserve">     </w:t>
    </w:r>
    <w:r>
      <w:rPr/>
      <w:tab/>
    </w:r>
    <w:r>
      <w:rPr>
        <w:rFonts w:eastAsia="Wingdings" w:cs="Wingdings" w:ascii="Wingdings" w:hAnsi="Wingdings"/>
      </w:rPr>
      <w:sym w:font="Wingdings" w:char="f072"/>
    </w:r>
    <w:r>
      <w:rPr/>
      <w:t xml:space="preserve"> </w:t>
      <w:tab/>
      <w:tab/>
      <w:t xml:space="preserve">       ISSN: 2089-9823</w:t>
    </w:r>
    <w:r>
      <mc:AlternateContent>
        <mc:Choice Requires="wps">
          <w:drawing>
            <wp:anchor distT="0" distB="0" distL="0" distR="0" simplePos="0" relativeHeight="18" behindDoc="0" locked="0" layoutInCell="0" allowOverlap="1">
              <wp:simplePos x="0" y="0"/>
              <wp:positionH relativeFrom="page">
                <wp:posOffset>1077595</wp:posOffset>
              </wp:positionH>
              <wp:positionV relativeFrom="paragraph">
                <wp:posOffset>-1270</wp:posOffset>
              </wp:positionV>
              <wp:extent cx="64135" cy="146685"/>
              <wp:effectExtent l="0" t="0" r="0" b="0"/>
              <wp:wrapSquare wrapText="bothSides"/>
              <wp:docPr id="2"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1pt;mso-position-vertical-relative:text;margin-left:84.85pt;mso-position-horizontal-relative:page">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0" w:leader="none"/>
        <w:tab w:val="center" w:pos="4301" w:leader="none"/>
        <w:tab w:val="left" w:pos="7938" w:leader="none"/>
      </w:tabs>
      <w:rPr/>
    </w:pPr>
    <w:r>
      <w:rPr/>
      <w:t xml:space="preserve">J Edu &amp; Learn </w:t>
      <w:tab/>
      <w:t>ISSN: 2089-9823</w:t>
      <w:tab/>
    </w:r>
    <w:r>
      <w:rPr>
        <w:rFonts w:eastAsia="Wingdings" w:cs="Wingdings" w:ascii="Wingdings" w:hAnsi="Wingdings"/>
      </w:rPr>
      <w:sym w:font="Wingdings" w:char="f072"/>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4135" cy="146685"/>
              <wp:effectExtent l="0" t="0" r="0" b="0"/>
              <wp:wrapSquare wrapText="bothSides"/>
              <wp:docPr id="3"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p>
    <w:pPr>
      <w:pStyle w:val="Header"/>
      <w:ind w:firstLine="360" w:end="360"/>
      <w:rPr/>
    </w:pPr>
    <w:r>
      <w:rPr/>
      <mc:AlternateContent>
        <mc:Choice Requires="wps">
          <w:drawing>
            <wp:anchor distT="0" distB="0" distL="0" distR="0" simplePos="0" relativeHeight="14" behindDoc="1" locked="0" layoutInCell="1" allowOverlap="1" wp14:anchorId="485510DB">
              <wp:simplePos x="0" y="0"/>
              <wp:positionH relativeFrom="column">
                <wp:posOffset>-17780</wp:posOffset>
              </wp:positionH>
              <wp:positionV relativeFrom="paragraph">
                <wp:posOffset>17780</wp:posOffset>
              </wp:positionV>
              <wp:extent cx="5615940" cy="635"/>
              <wp:effectExtent l="5080" t="5715" r="5715" b="5080"/>
              <wp:wrapNone/>
              <wp:docPr id="4" name="AutoShape 7"/>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4pt;margin-top:1.4pt;width:442.15pt;height:0pt;mso-wrap-style:none;v-text-anchor:middle" wp14:anchorId="485510DB" type="_x0000_t32" path="m0,0l-2147483648,-2147483647e">
              <v:fill o:detectmouseclick="t" on="false"/>
              <v:stroke color="black" weight="9360"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ind w:end="45"/>
      <w:rPr>
        <w:b/>
      </w:rPr>
    </w:pPr>
    <w:r>
      <w:rPr>
        <w:b/>
      </w:rPr>
      <w:t>Journal of Education and Learning (EduLearn)</w:t>
    </w:r>
  </w:p>
  <w:p>
    <w:pPr>
      <w:pStyle w:val="Header"/>
      <w:tabs>
        <w:tab w:val="clear" w:pos="4320"/>
        <w:tab w:val="clear" w:pos="8640"/>
      </w:tabs>
      <w:ind w:end="45"/>
      <w:rPr/>
    </w:pPr>
    <w:r>
      <w:rPr/>
      <w:t>Vol. 99, No. 1, Month 2099, pp. 1~1x</w:t>
    </w:r>
  </w:p>
  <w:p>
    <w:pPr>
      <w:pStyle w:val="Header"/>
      <w:tabs>
        <w:tab w:val="clear" w:pos="4320"/>
        <w:tab w:val="clear" w:pos="8640"/>
        <w:tab w:val="left" w:pos="7938" w:leader="none"/>
        <w:tab w:val="right" w:pos="8789" w:leader="none"/>
      </w:tabs>
      <w:rPr>
        <w:rStyle w:val="PageNumber"/>
      </w:rPr>
    </w:pPr>
    <w:r>
      <w:rPr/>
      <w:t>ISSN: 2089-9823, DOI: 10.11591/edulearn.v99i1.paperID</w:t>
      <w:tab/>
    </w:r>
    <w:r>
      <w:rPr>
        <w:rFonts w:eastAsia="Wingdings" w:cs="Wingdings" w:ascii="Wingdings" w:hAnsi="Wingdings"/>
      </w:rPr>
      <w:sym w:font="Wingdings" w:char="f072"/>
    </w:r>
    <w:r>
      <w:rPr/>
      <w:t xml:space="preserve">    </w:t>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mc:AlternateContent>
        <mc:Choice Requires="wps">
          <w:drawing>
            <wp:anchor distT="0" distB="0" distL="0" distR="0" simplePos="0" relativeHeight="15" behindDoc="1" locked="0" layoutInCell="1" allowOverlap="1" wp14:anchorId="480481AD">
              <wp:simplePos x="0" y="0"/>
              <wp:positionH relativeFrom="column">
                <wp:posOffset>-19050</wp:posOffset>
              </wp:positionH>
              <wp:positionV relativeFrom="paragraph">
                <wp:posOffset>180975</wp:posOffset>
              </wp:positionV>
              <wp:extent cx="5615940" cy="635"/>
              <wp:effectExtent l="5080" t="5715" r="5715" b="5080"/>
              <wp:wrapNone/>
              <wp:docPr id="5" name="AutoShape 6"/>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1.5pt;margin-top:14.25pt;width:442.15pt;height:0pt;mso-wrap-style:none;v-text-anchor:middle" wp14:anchorId="480481AD" type="_x0000_t32" path="m0,0l-2147483648,-2147483647e">
              <v:fill o:detectmouseclick="t" on="false"/>
              <v:stroke color="black" weight="9360" joinstyle="round" endcap="flat"/>
              <w10:wrap type="none"/>
            </v:shape>
          </w:pict>
        </mc:Fallback>
      </mc:AlternateContent>
    </w:r>
    <w:r>
      <w:rPr>
        <w:rStyle w:val="PageNumber"/>
      </w:rPr>
      <w:tab/>
    </w:r>
  </w:p>
  <w:p>
    <w:pPr>
      <w:pStyle w:val="Header"/>
      <w:tabs>
        <w:tab w:val="clear" w:pos="4320"/>
        <w:tab w:val="clear" w:pos="8640"/>
        <w:tab w:val="left" w:pos="7938" w:leader="none"/>
        <w:tab w:val="right" w:pos="8789" w:leader="none"/>
      </w:tabs>
      <w:rPr>
        <w:rStyle w:val="PageNumb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360"/>
        </w:tabs>
        <w:ind w:start="360" w:hanging="360"/>
      </w:pPr>
      <w:rPr>
        <w:rFonts w:ascii="Times New Roman" w:hAnsi="Times New Roman"/>
        <w:b w:val="false"/>
        <w:i w:val="false"/>
        <w:sz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upperRoman"/>
      <w:lvlText w:val="TABLE %1. "/>
      <w:lvlJc w:val="start"/>
      <w:pPr>
        <w:tabs>
          <w:tab w:val="num" w:pos="1080"/>
        </w:tabs>
        <w:ind w:start="0" w:hanging="0"/>
      </w:pPr>
      <w:rPr>
        <w:rFonts w:ascii="Times New Roman" w:hAnsi="Times New Roman"/>
        <w:b w:val="false"/>
        <w:i w:val="false"/>
        <w:sz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hyphenationZone w:val="0"/>
  <w:evenAndOddHeader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ms-MY"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1546"/>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c15a56"/>
    <w:pPr>
      <w:keepNext w:val="true"/>
      <w:spacing w:lineRule="auto" w:line="480"/>
      <w:jc w:val="center"/>
      <w:outlineLvl w:val="0"/>
    </w:pPr>
    <w:rPr>
      <w:b/>
      <w:bCs/>
    </w:rPr>
  </w:style>
  <w:style w:type="paragraph" w:styleId="Heading2">
    <w:name w:val="heading 2"/>
    <w:basedOn w:val="Normal"/>
    <w:next w:val="Normal"/>
    <w:qFormat/>
    <w:rsid w:val="00fa0403"/>
    <w:pPr>
      <w:keepNext w:val="true"/>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val="true"/>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val="true"/>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val="true"/>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val="true"/>
      <w:outlineLvl w:val="7"/>
    </w:pPr>
    <w:rPr>
      <w:b/>
      <w:bCs/>
      <w:lang w:val="pl-PL" w:eastAsia="pl-PL"/>
    </w:rPr>
  </w:style>
  <w:style w:type="paragraph" w:styleId="Heading9">
    <w:name w:val="heading 9"/>
    <w:basedOn w:val="Normal"/>
    <w:next w:val="Normal"/>
    <w:qFormat/>
    <w:rsid w:val="00097958"/>
    <w:pPr>
      <w:keepNext w:val="true"/>
      <w:ind w:end="-4041"/>
      <w:outlineLvl w:val="8"/>
    </w:pPr>
    <w:rPr>
      <w:b/>
      <w:bCs/>
      <w:lang w:val="en-AU" w:eastAsia="pl-PL"/>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102a61"/>
    <w:rPr>
      <w:color w:val="0000FF"/>
      <w:u w:val="single"/>
    </w:rPr>
  </w:style>
  <w:style w:type="character" w:styleId="PageNumber">
    <w:name w:val="page number"/>
    <w:basedOn w:val="DefaultParagraphFont"/>
    <w:rsid w:val="0094367d"/>
    <w:rPr/>
  </w:style>
  <w:style w:type="character" w:styleId="FootnoteCharacters">
    <w:name w:val="Footnote Characters"/>
    <w:basedOn w:val="DefaultParagraphFont"/>
    <w:semiHidden/>
    <w:qFormat/>
    <w:rsid w:val="00fa0403"/>
    <w:rPr>
      <w:vertAlign w:val="superscript"/>
    </w:rPr>
  </w:style>
  <w:style w:type="character" w:styleId="FootnoteReference">
    <w:name w:val="footnote reference"/>
    <w:rPr>
      <w:vertAlign w:val="superscript"/>
    </w:rPr>
  </w:style>
  <w:style w:type="character" w:styleId="Style10ptJustifiedChar" w:customStyle="1">
    <w:name w:val="Style 10 pt Justified Char"/>
    <w:basedOn w:val="DefaultParagraphFont"/>
    <w:link w:val="Style10ptJustified"/>
    <w:qFormat/>
    <w:rsid w:val="00353885"/>
    <w:rPr>
      <w:rFonts w:ascii="Arial" w:hAnsi="Arial" w:eastAsia="MS Mincho" w:cs="Arial"/>
      <w:iCs/>
      <w:lang w:val="en-GB" w:eastAsia="en-US" w:bidi="ar-SA"/>
    </w:rPr>
  </w:style>
  <w:style w:type="character" w:styleId="CharChar" w:customStyle="1">
    <w:name w:val="Char Char"/>
    <w:basedOn w:val="DefaultParagraphFont"/>
    <w:qFormat/>
    <w:rsid w:val="00097958"/>
    <w:rPr>
      <w:rFonts w:ascii="Courier New" w:hAnsi="Courier New" w:eastAsia="BatangChe"/>
      <w:sz w:val="24"/>
      <w:szCs w:val="24"/>
      <w:lang w:val="en-US" w:eastAsia="en-US"/>
    </w:rPr>
  </w:style>
  <w:style w:type="character" w:styleId="Strong">
    <w:name w:val="Strong"/>
    <w:basedOn w:val="DefaultParagraphFont"/>
    <w:qFormat/>
    <w:rsid w:val="00335be8"/>
    <w:rPr>
      <w:rFonts w:cs="Times New Roman"/>
      <w:b/>
      <w:bCs/>
    </w:rPr>
  </w:style>
  <w:style w:type="character" w:styleId="Emphasis">
    <w:name w:val="Emphasis"/>
    <w:basedOn w:val="DefaultParagraphFont"/>
    <w:uiPriority w:val="20"/>
    <w:qFormat/>
    <w:rsid w:val="00232da1"/>
    <w:rPr>
      <w:i/>
      <w:iCs/>
    </w:rPr>
  </w:style>
  <w:style w:type="character" w:styleId="shorttext" w:customStyle="1">
    <w:name w:val="short_text"/>
    <w:basedOn w:val="DefaultParagraphFont"/>
    <w:qFormat/>
    <w:rsid w:val="007017c6"/>
    <w:rPr/>
  </w:style>
  <w:style w:type="character" w:styleId="longtext" w:customStyle="1">
    <w:name w:val="long_text"/>
    <w:basedOn w:val="DefaultParagraphFont"/>
    <w:qFormat/>
    <w:rsid w:val="004947b9"/>
    <w:rPr/>
  </w:style>
  <w:style w:type="character" w:styleId="apple-style-span" w:customStyle="1">
    <w:name w:val="apple-style-span"/>
    <w:basedOn w:val="DefaultParagraphFont"/>
    <w:qFormat/>
    <w:rsid w:val="00c35b8f"/>
    <w:rPr/>
  </w:style>
  <w:style w:type="character" w:styleId="apple-converted-space" w:customStyle="1">
    <w:name w:val="apple-converted-space"/>
    <w:basedOn w:val="DefaultParagraphFont"/>
    <w:qFormat/>
    <w:rsid w:val="00c35b8f"/>
    <w:rPr/>
  </w:style>
  <w:style w:type="character" w:styleId="hps" w:customStyle="1">
    <w:name w:val="hps"/>
    <w:basedOn w:val="DefaultParagraphFont"/>
    <w:qFormat/>
    <w:rsid w:val="008f05b8"/>
    <w:rPr/>
  </w:style>
  <w:style w:type="character" w:styleId="st" w:customStyle="1">
    <w:name w:val="st"/>
    <w:basedOn w:val="DefaultParagraphFont"/>
    <w:qFormat/>
    <w:rsid w:val="00956eb6"/>
    <w:rPr/>
  </w:style>
  <w:style w:type="character" w:styleId="fontstyle01" w:customStyle="1">
    <w:name w:val="fontstyle01"/>
    <w:basedOn w:val="DefaultParagraphFont"/>
    <w:qFormat/>
    <w:rsid w:val="00f15bf4"/>
    <w:rPr>
      <w:rFonts w:ascii="NimbusRomNo9L-Medi" w:hAnsi="NimbusRomNo9L-Medi"/>
      <w:b/>
      <w:bCs/>
      <w:i w:val="false"/>
      <w:iCs w:val="false"/>
      <w:color w:val="000000"/>
      <w:sz w:val="20"/>
      <w:szCs w:val="20"/>
    </w:rPr>
  </w:style>
  <w:style w:type="character" w:styleId="fontstyle21" w:customStyle="1">
    <w:name w:val="fontstyle21"/>
    <w:basedOn w:val="DefaultParagraphFont"/>
    <w:qFormat/>
    <w:rsid w:val="00f15bf4"/>
    <w:rPr>
      <w:rFonts w:ascii="NimbusRomNo9L-Regu" w:hAnsi="NimbusRomNo9L-Regu"/>
      <w:b w:val="false"/>
      <w:bCs w:val="false"/>
      <w:i w:val="false"/>
      <w:iCs w:val="false"/>
      <w:color w:val="000000"/>
      <w:sz w:val="20"/>
      <w:szCs w:val="20"/>
    </w:rPr>
  </w:style>
  <w:style w:type="character" w:styleId="UnresolvedMention1" w:customStyle="1">
    <w:name w:val="Unresolved Mention1"/>
    <w:basedOn w:val="DefaultParagraphFont"/>
    <w:uiPriority w:val="99"/>
    <w:semiHidden/>
    <w:unhideWhenUsed/>
    <w:qFormat/>
    <w:rsid w:val="00e619d6"/>
    <w:rPr>
      <w:color w:val="605E5C"/>
      <w:shd w:fill="E1DFDD" w:val="clear"/>
    </w:rPr>
  </w:style>
  <w:style w:type="character" w:styleId="HeaderChar" w:customStyle="1">
    <w:name w:val="Header Char"/>
    <w:basedOn w:val="DefaultParagraphFont"/>
    <w:link w:val="Header"/>
    <w:qFormat/>
    <w:rsid w:val="00981f5c"/>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c15a56"/>
    <w:pPr>
      <w:spacing w:before="0" w:after="120"/>
    </w:pPr>
    <w:rPr>
      <w:lang w:val="id-ID" w:eastAsia="id-ID"/>
    </w:rPr>
  </w:style>
  <w:style w:type="paragraph" w:styleId="List">
    <w:name w:val="List"/>
    <w:basedOn w:val="Normal"/>
    <w:rsid w:val="00da0390"/>
    <w:pPr>
      <w:ind w:hanging="360" w:start="360"/>
      <w:jc w:val="center"/>
    </w:pPr>
    <w:rPr>
      <w:sz w:val="24"/>
      <w:szCs w:val="24"/>
    </w:rPr>
  </w:style>
  <w:style w:type="paragraph" w:styleId="Caption">
    <w:name w:val="caption"/>
    <w:basedOn w:val="Normal"/>
    <w:next w:val="Normal"/>
    <w:qFormat/>
    <w:rsid w:val="00c15a56"/>
    <w:pPr>
      <w:spacing w:lineRule="auto" w:line="480"/>
      <w:jc w:val="center"/>
    </w:pPr>
    <w:rPr>
      <w:i/>
      <w:iCs/>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rsid w:val="0094367d"/>
    <w:pPr>
      <w:tabs>
        <w:tab w:val="clear" w:pos="720"/>
        <w:tab w:val="center" w:pos="4320" w:leader="none"/>
        <w:tab w:val="right" w:pos="8640" w:leader="none"/>
      </w:tabs>
    </w:pPr>
    <w:rPr/>
  </w:style>
  <w:style w:type="paragraph" w:styleId="Footer">
    <w:name w:val="footer"/>
    <w:basedOn w:val="Normal"/>
    <w:rsid w:val="0094367d"/>
    <w:pPr>
      <w:tabs>
        <w:tab w:val="clear" w:pos="720"/>
        <w:tab w:val="center" w:pos="4320" w:leader="none"/>
        <w:tab w:val="right" w:pos="8640" w:leader="none"/>
      </w:tabs>
    </w:pPr>
    <w:rPr/>
  </w:style>
  <w:style w:type="paragraph" w:styleId="BalloonText">
    <w:name w:val="Balloon Text"/>
    <w:basedOn w:val="Normal"/>
    <w:semiHidden/>
    <w:qFormat/>
    <w:rsid w:val="00061d77"/>
    <w:pPr/>
    <w:rPr>
      <w:rFonts w:ascii="Tahoma" w:hAnsi="Tahoma"/>
      <w:sz w:val="16"/>
      <w:szCs w:val="16"/>
    </w:rPr>
  </w:style>
  <w:style w:type="paragraph" w:styleId="BodyTextIndent">
    <w:name w:val="Body Text Indent"/>
    <w:basedOn w:val="Normal"/>
    <w:rsid w:val="00c15a56"/>
    <w:pPr>
      <w:spacing w:lineRule="auto" w:line="360"/>
      <w:ind w:firstLine="984" w:start="456"/>
      <w:jc w:val="both"/>
    </w:pPr>
    <w:rPr>
      <w:lang w:val="id-ID"/>
    </w:rPr>
  </w:style>
  <w:style w:type="paragraph" w:styleId="BodyTextIndent2">
    <w:name w:val="Body Text Indent 2"/>
    <w:basedOn w:val="Normal"/>
    <w:qFormat/>
    <w:rsid w:val="00c15a56"/>
    <w:pPr>
      <w:spacing w:lineRule="auto" w:line="480" w:before="0" w:after="120"/>
      <w:ind w:start="360"/>
    </w:pPr>
    <w:rPr/>
  </w:style>
  <w:style w:type="paragraph" w:styleId="FootnoteText">
    <w:name w:val="footnote text"/>
    <w:basedOn w:val="Normal"/>
    <w:semiHidden/>
    <w:rsid w:val="00fa0403"/>
    <w:pPr/>
    <w:rPr>
      <w:rFonts w:cs="Traditional Arabic"/>
      <w:lang w:eastAsia="ko-KR"/>
    </w:rPr>
  </w:style>
  <w:style w:type="paragraph" w:styleId="Judulbab" w:customStyle="1">
    <w:name w:val="Judul bab"/>
    <w:basedOn w:val="Normal"/>
    <w:qFormat/>
    <w:rsid w:val="004710ee"/>
    <w:pPr>
      <w:spacing w:lineRule="atLeast" w:line="475"/>
      <w:jc w:val="center"/>
    </w:pPr>
    <w:rPr>
      <w:b/>
      <w:sz w:val="32"/>
    </w:rPr>
  </w:style>
  <w:style w:type="paragraph" w:styleId="IsiBabforKomputek" w:customStyle="1">
    <w:name w:val="Isi Bab for Komputek"/>
    <w:basedOn w:val="Normal"/>
    <w:qFormat/>
    <w:rsid w:val="004710ee"/>
    <w:pPr>
      <w:ind w:firstLine="720"/>
      <w:jc w:val="both"/>
    </w:pPr>
    <w:rPr/>
  </w:style>
  <w:style w:type="paragraph" w:styleId="tole" w:customStyle="1">
    <w:name w:val="tole"/>
    <w:basedOn w:val="Normal"/>
    <w:qFormat/>
    <w:rsid w:val="00e91546"/>
    <w:pPr>
      <w:jc w:val="center"/>
      <w:outlineLvl w:val="0"/>
    </w:pPr>
    <w:rPr>
      <w:b/>
      <w:bCs/>
      <w:sz w:val="28"/>
      <w:szCs w:val="28"/>
    </w:rPr>
  </w:style>
  <w:style w:type="paragraph" w:styleId="tolesBold" w:customStyle="1">
    <w:name w:val="toles + Bold"/>
    <w:basedOn w:val="Normal"/>
    <w:qFormat/>
    <w:rsid w:val="00e91546"/>
    <w:pPr>
      <w:jc w:val="center"/>
      <w:outlineLvl w:val="0"/>
    </w:pPr>
    <w:rPr>
      <w:i/>
      <w:iCs/>
      <w:sz w:val="24"/>
      <w:szCs w:val="24"/>
    </w:rPr>
  </w:style>
  <w:style w:type="paragraph" w:styleId="toleLinespacingsingle" w:customStyle="1">
    <w:name w:val="tole + Line spacing:  single"/>
    <w:basedOn w:val="Normal"/>
    <w:qFormat/>
    <w:rsid w:val="00e91546"/>
    <w:pPr>
      <w:jc w:val="both"/>
    </w:pPr>
    <w:rPr>
      <w:sz w:val="24"/>
      <w:szCs w:val="24"/>
    </w:rPr>
  </w:style>
  <w:style w:type="paragraph" w:styleId="bunga" w:customStyle="1">
    <w:name w:val="bunga"/>
    <w:basedOn w:val="Normal"/>
    <w:qFormat/>
    <w:rsid w:val="00e91546"/>
    <w:pPr>
      <w:jc w:val="both"/>
    </w:pPr>
    <w:rPr>
      <w:rFonts w:ascii="Arial" w:hAnsi="Arial" w:cs="Arial"/>
      <w:szCs w:val="24"/>
    </w:rPr>
  </w:style>
  <w:style w:type="paragraph" w:styleId="bunga2" w:customStyle="1">
    <w:name w:val="bunga2"/>
    <w:basedOn w:val="Normal"/>
    <w:qFormat/>
    <w:rsid w:val="00e91546"/>
    <w:pPr>
      <w:jc w:val="both"/>
      <w:outlineLvl w:val="0"/>
    </w:pPr>
    <w:rPr>
      <w:rFonts w:ascii="Arial" w:hAnsi="Arial" w:cs="Arial"/>
      <w:b/>
      <w:bCs/>
      <w:szCs w:val="24"/>
    </w:rPr>
  </w:style>
  <w:style w:type="paragraph" w:styleId="DiQi" w:customStyle="1">
    <w:name w:val="DiQi"/>
    <w:basedOn w:val="Normal"/>
    <w:qFormat/>
    <w:rsid w:val="00da0390"/>
    <w:pPr>
      <w:spacing w:lineRule="auto" w:line="360"/>
      <w:jc w:val="both"/>
    </w:pPr>
    <w:rPr>
      <w:sz w:val="24"/>
      <w:szCs w:val="24"/>
    </w:rPr>
  </w:style>
  <w:style w:type="paragraph" w:styleId="tole3" w:customStyle="1">
    <w:name w:val="tole3"/>
    <w:basedOn w:val="DiQi"/>
    <w:qFormat/>
    <w:rsid w:val="00da0390"/>
    <w:pPr>
      <w:spacing w:lineRule="auto" w:line="240"/>
      <w:outlineLvl w:val="0"/>
    </w:pPr>
    <w:rPr>
      <w:rFonts w:ascii="Arial" w:hAnsi="Arial" w:cs="Arial"/>
      <w:b/>
      <w:bCs/>
      <w:sz w:val="20"/>
    </w:rPr>
  </w:style>
  <w:style w:type="paragraph" w:styleId="yange" w:customStyle="1">
    <w:name w:val="yange"/>
    <w:basedOn w:val="DiQi"/>
    <w:qFormat/>
    <w:rsid w:val="00da0390"/>
    <w:pPr>
      <w:spacing w:lineRule="auto" w:line="240"/>
      <w:ind w:start="360"/>
    </w:pPr>
    <w:rPr>
      <w:rFonts w:ascii="Arial" w:hAnsi="Arial" w:cs="Arial"/>
      <w:sz w:val="20"/>
    </w:rPr>
  </w:style>
  <w:style w:type="paragraph" w:styleId="yange2" w:customStyle="1">
    <w:name w:val="yange2"/>
    <w:basedOn w:val="DiQi"/>
    <w:qFormat/>
    <w:rsid w:val="00da0390"/>
    <w:pPr>
      <w:numPr>
        <w:ilvl w:val="0"/>
        <w:numId w:val="1"/>
      </w:numPr>
      <w:spacing w:lineRule="auto" w:line="240"/>
    </w:pPr>
    <w:rPr>
      <w:rFonts w:ascii="Arial" w:hAnsi="Arial" w:cs="Arial"/>
      <w:sz w:val="20"/>
    </w:rPr>
  </w:style>
  <w:style w:type="paragraph" w:styleId="JossTole" w:customStyle="1">
    <w:name w:val="JossTole"/>
    <w:basedOn w:val="DiQi"/>
    <w:qFormat/>
    <w:rsid w:val="00da0390"/>
    <w:pPr>
      <w:spacing w:lineRule="auto" w:line="240"/>
      <w:ind w:firstLine="709"/>
    </w:pPr>
    <w:rPr>
      <w:rFonts w:ascii="Arial" w:hAnsi="Arial" w:cs="Arial"/>
      <w:sz w:val="20"/>
    </w:rPr>
  </w:style>
  <w:style w:type="paragraph" w:styleId="BodyTextIndent3">
    <w:name w:val="Body Text Indent 3"/>
    <w:basedOn w:val="Normal"/>
    <w:qFormat/>
    <w:rsid w:val="00db3d8c"/>
    <w:pPr>
      <w:spacing w:before="0" w:after="120"/>
      <w:ind w:start="360"/>
    </w:pPr>
    <w:rPr>
      <w:sz w:val="16"/>
      <w:szCs w:val="16"/>
    </w:rPr>
  </w:style>
  <w:style w:type="paragraph" w:styleId="Body0" w:customStyle="1">
    <w:name w:val="Body 0"/>
    <w:basedOn w:val="Normal"/>
    <w:qFormat/>
    <w:rsid w:val="00db3d8c"/>
    <w:pPr>
      <w:spacing w:lineRule="atLeast" w:line="360"/>
      <w:jc w:val="both"/>
    </w:pPr>
    <w:rPr>
      <w:rFonts w:ascii="Palatino" w:hAnsi="Palatino"/>
      <w:sz w:val="24"/>
      <w:szCs w:val="24"/>
    </w:rPr>
  </w:style>
  <w:style w:type="paragraph" w:styleId="BodyText2">
    <w:name w:val="Body Text 2"/>
    <w:basedOn w:val="Normal"/>
    <w:qFormat/>
    <w:rsid w:val="005e736a"/>
    <w:pPr>
      <w:spacing w:lineRule="auto" w:line="480" w:before="0" w:after="120"/>
    </w:pPr>
    <w:rPr/>
  </w:style>
  <w:style w:type="paragraph" w:styleId="Title">
    <w:name w:val="Title"/>
    <w:basedOn w:val="Normal"/>
    <w:qFormat/>
    <w:rsid w:val="00f866b0"/>
    <w:pPr>
      <w:jc w:val="center"/>
    </w:pPr>
    <w:rPr>
      <w:b/>
      <w:bCs/>
      <w:sz w:val="28"/>
      <w:szCs w:val="24"/>
      <w:lang w:val="id-ID"/>
    </w:rPr>
  </w:style>
  <w:style w:type="paragraph" w:styleId="AutoBiography" w:customStyle="1">
    <w:name w:val="AutoBiography"/>
    <w:basedOn w:val="Normal"/>
    <w:qFormat/>
    <w:rsid w:val="004e154b"/>
    <w:pPr>
      <w:jc w:val="both"/>
    </w:pPr>
    <w:rPr>
      <w:rFonts w:eastAsia="MS Mincho" w:cs="Angsana New"/>
      <w:sz w:val="18"/>
      <w:szCs w:val="18"/>
      <w:lang w:bidi="th-TH"/>
    </w:rPr>
  </w:style>
  <w:style w:type="paragraph" w:styleId="Default" w:customStyle="1">
    <w:name w:val="Default"/>
    <w:qFormat/>
    <w:rsid w:val="004e154b"/>
    <w:pPr>
      <w:widowControl w:val="false"/>
      <w:bidi w:val="0"/>
      <w:spacing w:before="0" w:after="0"/>
      <w:jc w:val="start"/>
    </w:pPr>
    <w:rPr>
      <w:rFonts w:cs="Angsana New" w:ascii="Times New Roman" w:hAnsi="Times New Roman" w:eastAsia="Times New Roman"/>
      <w:color w:val="000000"/>
      <w:kern w:val="0"/>
      <w:sz w:val="24"/>
      <w:szCs w:val="24"/>
      <w:lang w:val="en-US" w:eastAsia="en-US" w:bidi="ar-SA"/>
    </w:rPr>
  </w:style>
  <w:style w:type="paragraph" w:styleId="SectionTitle" w:customStyle="1">
    <w:name w:val="Section Title"/>
    <w:basedOn w:val="Normal"/>
    <w:autoRedefine/>
    <w:qFormat/>
    <w:rsid w:val="00771a7c"/>
    <w:pPr>
      <w:snapToGrid w:val="false"/>
      <w:jc w:val="both"/>
    </w:pPr>
    <w:rPr>
      <w:rFonts w:eastAsia="MS Mincho" w:cs="Angsana New"/>
      <w:lang w:val="en-GB" w:bidi="th-TH"/>
    </w:rPr>
  </w:style>
  <w:style w:type="paragraph" w:styleId="Style10ptJustified" w:customStyle="1">
    <w:name w:val="Style 10 pt Justified"/>
    <w:basedOn w:val="Normal"/>
    <w:link w:val="Style10ptJustifiedChar"/>
    <w:autoRedefine/>
    <w:qFormat/>
    <w:rsid w:val="00353885"/>
    <w:pPr>
      <w:snapToGrid w:val="false"/>
      <w:ind w:firstLine="720"/>
      <w:jc w:val="both"/>
    </w:pPr>
    <w:rPr>
      <w:rFonts w:ascii="Arial" w:hAnsi="Arial" w:eastAsia="MS Mincho" w:cs="Arial"/>
      <w:iCs/>
      <w:lang w:val="en-GB"/>
    </w:rPr>
  </w:style>
  <w:style w:type="paragraph" w:styleId="paperbody" w:customStyle="1">
    <w:name w:val="paper body"/>
    <w:basedOn w:val="Normal"/>
    <w:qFormat/>
    <w:rsid w:val="00097958"/>
    <w:pPr>
      <w:jc w:val="both"/>
    </w:pPr>
    <w:rPr>
      <w:sz w:val="24"/>
      <w:szCs w:val="24"/>
      <w:lang w:val="en-AU"/>
    </w:rPr>
  </w:style>
  <w:style w:type="paragraph" w:styleId="PlainText">
    <w:name w:val="Plain Text"/>
    <w:basedOn w:val="Normal"/>
    <w:semiHidden/>
    <w:qFormat/>
    <w:rsid w:val="00097958"/>
    <w:pPr/>
    <w:rPr>
      <w:rFonts w:ascii="Courier New" w:hAnsi="Courier New" w:eastAsia="BatangChe"/>
      <w:sz w:val="24"/>
      <w:szCs w:val="24"/>
    </w:rPr>
  </w:style>
  <w:style w:type="paragraph" w:styleId="Subtitle">
    <w:name w:val="Subtitle"/>
    <w:basedOn w:val="Normal"/>
    <w:qFormat/>
    <w:rsid w:val="00097958"/>
    <w:pPr>
      <w:jc w:val="center"/>
    </w:pPr>
    <w:rPr>
      <w:b/>
      <w:bCs/>
      <w:sz w:val="32"/>
      <w:szCs w:val="32"/>
      <w:lang w:val="en-GB"/>
    </w:rPr>
  </w:style>
  <w:style w:type="paragraph" w:styleId="Body" w:customStyle="1">
    <w:name w:val="Body"/>
    <w:basedOn w:val="Normal"/>
    <w:qFormat/>
    <w:rsid w:val="00097958"/>
    <w:pPr>
      <w:widowControl w:val="false"/>
      <w:ind w:firstLine="340"/>
      <w:jc w:val="both"/>
      <w:textAlignment w:val="baseline"/>
    </w:pPr>
    <w:rPr>
      <w:rFonts w:eastAsia="BatangChe"/>
      <w:lang w:eastAsia="ko-KR"/>
    </w:rPr>
  </w:style>
  <w:style w:type="paragraph" w:styleId="Reference" w:customStyle="1">
    <w:name w:val="Reference"/>
    <w:basedOn w:val="Normal"/>
    <w:qFormat/>
    <w:rsid w:val="00097958"/>
    <w:pPr>
      <w:widowControl w:val="false"/>
      <w:spacing w:before="60" w:after="60"/>
      <w:ind w:hanging="288" w:start="288"/>
      <w:jc w:val="both"/>
      <w:textAlignment w:val="baseline"/>
    </w:pPr>
    <w:rPr>
      <w:rFonts w:eastAsia="BatangChe"/>
      <w:lang w:eastAsia="ko-KR"/>
    </w:rPr>
  </w:style>
  <w:style w:type="paragraph" w:styleId="Demenko" w:customStyle="1">
    <w:name w:val="Demenko"/>
    <w:basedOn w:val="Normal"/>
    <w:qFormat/>
    <w:rsid w:val="00097958"/>
    <w:pPr>
      <w:widowControl w:val="false"/>
      <w:tabs>
        <w:tab w:val="clear" w:pos="720"/>
        <w:tab w:val="left" w:pos="567" w:leader="none"/>
        <w:tab w:val="center" w:pos="4820" w:leader="none"/>
        <w:tab w:val="right" w:pos="9639" w:leader="none"/>
      </w:tabs>
      <w:spacing w:lineRule="auto" w:line="360" w:before="0" w:after="113"/>
      <w:jc w:val="both"/>
    </w:pPr>
    <w:rPr>
      <w:sz w:val="22"/>
      <w:szCs w:val="22"/>
      <w:lang w:val="en-GB" w:eastAsia="pl-PL"/>
    </w:rPr>
  </w:style>
  <w:style w:type="paragraph" w:styleId="Text" w:customStyle="1">
    <w:name w:val="Text"/>
    <w:basedOn w:val="Normal"/>
    <w:qFormat/>
    <w:rsid w:val="00097958"/>
    <w:pPr>
      <w:widowControl w:val="false"/>
      <w:spacing w:lineRule="auto" w:line="252"/>
      <w:ind w:firstLine="202"/>
      <w:jc w:val="both"/>
    </w:pPr>
    <w:rPr>
      <w:rFonts w:eastAsia="Batang"/>
      <w:lang w:eastAsia="ko-KR"/>
    </w:rPr>
  </w:style>
  <w:style w:type="paragraph" w:styleId="Equation" w:customStyle="1">
    <w:name w:val="Equation"/>
    <w:basedOn w:val="Normal"/>
    <w:next w:val="Normal"/>
    <w:qFormat/>
    <w:rsid w:val="00097958"/>
    <w:pPr>
      <w:widowControl w:val="false"/>
      <w:tabs>
        <w:tab w:val="clear" w:pos="720"/>
        <w:tab w:val="right" w:pos="5040" w:leader="none"/>
      </w:tabs>
      <w:spacing w:lineRule="auto" w:line="252"/>
      <w:jc w:val="both"/>
    </w:pPr>
    <w:rPr>
      <w:rFonts w:eastAsia="Batang"/>
      <w:lang w:eastAsia="ko-KR"/>
    </w:rPr>
  </w:style>
  <w:style w:type="paragraph" w:styleId="TableTitle" w:customStyle="1">
    <w:name w:val="Table Title"/>
    <w:basedOn w:val="Normal"/>
    <w:qFormat/>
    <w:rsid w:val="00097958"/>
    <w:pPr>
      <w:jc w:val="center"/>
    </w:pPr>
    <w:rPr>
      <w:smallCaps/>
      <w:sz w:val="16"/>
      <w:szCs w:val="16"/>
    </w:rPr>
  </w:style>
  <w:style w:type="paragraph" w:styleId="Sub-titles" w:customStyle="1">
    <w:name w:val="Sub-titles"/>
    <w:basedOn w:val="Normal"/>
    <w:qFormat/>
    <w:rsid w:val="00097958"/>
    <w:pPr>
      <w:jc w:val="both"/>
    </w:pPr>
    <w:rPr>
      <w:b/>
      <w:bCs/>
      <w:color w:val="000000"/>
      <w:sz w:val="24"/>
      <w:szCs w:val="24"/>
      <w:lang w:val="pt-PT" w:eastAsia="pt-PT"/>
    </w:rPr>
  </w:style>
  <w:style w:type="paragraph" w:styleId="text1" w:customStyle="1">
    <w:name w:val="text1"/>
    <w:basedOn w:val="Normal"/>
    <w:qFormat/>
    <w:rsid w:val="00097958"/>
    <w:pPr>
      <w:ind w:firstLine="227"/>
      <w:jc w:val="both"/>
    </w:pPr>
    <w:rPr/>
  </w:style>
  <w:style w:type="paragraph" w:styleId="tables" w:customStyle="1">
    <w:name w:val="tables"/>
    <w:basedOn w:val="Normal"/>
    <w:qFormat/>
    <w:rsid w:val="00097958"/>
    <w:pPr>
      <w:jc w:val="both"/>
    </w:pPr>
    <w:rPr>
      <w:sz w:val="18"/>
      <w:szCs w:val="18"/>
    </w:rPr>
  </w:style>
  <w:style w:type="paragraph" w:styleId="NormalWeb">
    <w:name w:val="Normal (Web)"/>
    <w:basedOn w:val="Normal"/>
    <w:qFormat/>
    <w:rsid w:val="00232da1"/>
    <w:pPr>
      <w:spacing w:beforeAutospacing="1" w:afterAutospacing="1"/>
    </w:pPr>
    <w:rPr>
      <w:sz w:val="24"/>
      <w:szCs w:val="24"/>
    </w:rPr>
  </w:style>
  <w:style w:type="paragraph" w:styleId="Abstract" w:customStyle="1">
    <w:name w:val="Abstract"/>
    <w:qFormat/>
    <w:rsid w:val="007017c6"/>
    <w:pPr>
      <w:widowControl/>
      <w:bidi w:val="0"/>
      <w:spacing w:before="0" w:after="200"/>
      <w:jc w:val="both"/>
    </w:pPr>
    <w:rPr>
      <w:rFonts w:eastAsia="SimSun" w:ascii="Times New Roman" w:hAnsi="Times New Roman" w:cs="Times New Roman"/>
      <w:b/>
      <w:color w:val="auto"/>
      <w:kern w:val="0"/>
      <w:sz w:val="18"/>
      <w:szCs w:val="20"/>
      <w:lang w:val="en-US" w:eastAsia="en-US" w:bidi="ar-SA"/>
    </w:rPr>
  </w:style>
  <w:style w:type="paragraph" w:styleId="Affiliation" w:customStyle="1">
    <w:name w:val="Affiliation"/>
    <w:qFormat/>
    <w:rsid w:val="007017c6"/>
    <w:pPr>
      <w:widowControl/>
      <w:bidi w:val="0"/>
      <w:spacing w:before="0" w:after="0"/>
      <w:jc w:val="center"/>
    </w:pPr>
    <w:rPr>
      <w:rFonts w:eastAsia="SimSun" w:ascii="Times New Roman" w:hAnsi="Times New Roman" w:cs="Times New Roman"/>
      <w:color w:val="auto"/>
      <w:kern w:val="0"/>
      <w:sz w:val="20"/>
      <w:szCs w:val="20"/>
      <w:lang w:val="en-US" w:eastAsia="en-US" w:bidi="ar-SA"/>
    </w:rPr>
  </w:style>
  <w:style w:type="paragraph" w:styleId="equation1" w:customStyle="1">
    <w:name w:val="equation1"/>
    <w:basedOn w:val="Normal"/>
    <w:qFormat/>
    <w:rsid w:val="007017c6"/>
    <w:pPr>
      <w:tabs>
        <w:tab w:val="clear" w:pos="720"/>
        <w:tab w:val="center" w:pos="2520" w:leader="none"/>
        <w:tab w:val="right" w:pos="5040" w:leader="none"/>
      </w:tabs>
      <w:spacing w:lineRule="auto" w:line="216" w:before="240" w:after="240"/>
      <w:jc w:val="center"/>
    </w:pPr>
    <w:rPr>
      <w:rFonts w:eastAsia="SimSun"/>
    </w:rPr>
  </w:style>
  <w:style w:type="paragraph" w:styleId="figurecaption" w:customStyle="1">
    <w:name w:val="figure caption"/>
    <w:qFormat/>
    <w:rsid w:val="007017c6"/>
    <w:pPr>
      <w:widowControl/>
      <w:bidi w:val="0"/>
      <w:spacing w:before="80" w:after="200"/>
      <w:jc w:val="center"/>
    </w:pPr>
    <w:rPr>
      <w:rFonts w:eastAsia="SimSun" w:ascii="Times New Roman" w:hAnsi="Times New Roman" w:cs="Times New Roman"/>
      <w:color w:val="auto"/>
      <w:kern w:val="0"/>
      <w:sz w:val="16"/>
      <w:szCs w:val="20"/>
      <w:lang w:val="en-US" w:eastAsia="en-US" w:bidi="ar-SA"/>
    </w:rPr>
  </w:style>
  <w:style w:type="paragraph" w:styleId="papertitle" w:customStyle="1">
    <w:name w:val="paper title"/>
    <w:qFormat/>
    <w:rsid w:val="007017c6"/>
    <w:pPr>
      <w:widowControl/>
      <w:bidi w:val="0"/>
      <w:spacing w:before="0" w:after="120"/>
      <w:jc w:val="center"/>
    </w:pPr>
    <w:rPr>
      <w:rFonts w:eastAsia="SimSun" w:ascii="Times New Roman" w:hAnsi="Times New Roman" w:cs="Times New Roman"/>
      <w:color w:val="auto"/>
      <w:kern w:val="0"/>
      <w:sz w:val="48"/>
      <w:szCs w:val="20"/>
      <w:lang w:val="en-US" w:eastAsia="en-US" w:bidi="ar-SA"/>
    </w:rPr>
  </w:style>
  <w:style w:type="paragraph" w:styleId="references" w:customStyle="1">
    <w:name w:val="references"/>
    <w:qFormat/>
    <w:rsid w:val="007017c6"/>
    <w:pPr>
      <w:widowControl/>
      <w:numPr>
        <w:ilvl w:val="0"/>
        <w:numId w:val="2"/>
      </w:numPr>
      <w:bidi w:val="0"/>
      <w:spacing w:lineRule="exact" w:line="180" w:before="0" w:after="40"/>
      <w:jc w:val="both"/>
    </w:pPr>
    <w:rPr>
      <w:rFonts w:eastAsia="SimSun" w:ascii="Times New Roman" w:hAnsi="Times New Roman" w:cs="Times New Roman"/>
      <w:color w:val="auto"/>
      <w:kern w:val="0"/>
      <w:sz w:val="16"/>
      <w:szCs w:val="20"/>
      <w:lang w:val="en-US" w:eastAsia="en-US" w:bidi="ar-SA"/>
    </w:rPr>
  </w:style>
  <w:style w:type="paragraph" w:styleId="tablecolsubhead" w:customStyle="1">
    <w:name w:val="table col subhead"/>
    <w:basedOn w:val="Normal"/>
    <w:qFormat/>
    <w:rsid w:val="007017c6"/>
    <w:pPr>
      <w:jc w:val="center"/>
    </w:pPr>
    <w:rPr>
      <w:rFonts w:eastAsia="SimSun"/>
      <w:b/>
      <w:i/>
      <w:sz w:val="15"/>
    </w:rPr>
  </w:style>
  <w:style w:type="paragraph" w:styleId="tablecopy" w:customStyle="1">
    <w:name w:val="table copy"/>
    <w:qFormat/>
    <w:rsid w:val="007017c6"/>
    <w:pPr>
      <w:widowControl/>
      <w:bidi w:val="0"/>
      <w:spacing w:before="0" w:after="0"/>
      <w:jc w:val="both"/>
    </w:pPr>
    <w:rPr>
      <w:rFonts w:eastAsia="SimSun" w:ascii="Times New Roman" w:hAnsi="Times New Roman" w:cs="Times New Roman"/>
      <w:color w:val="auto"/>
      <w:kern w:val="0"/>
      <w:sz w:val="16"/>
      <w:szCs w:val="20"/>
      <w:lang w:val="en-US" w:eastAsia="en-US" w:bidi="ar-SA"/>
    </w:rPr>
  </w:style>
  <w:style w:type="paragraph" w:styleId="tablehead" w:customStyle="1">
    <w:name w:val="table head"/>
    <w:qFormat/>
    <w:rsid w:val="007017c6"/>
    <w:pPr>
      <w:widowControl/>
      <w:numPr>
        <w:ilvl w:val="0"/>
        <w:numId w:val="3"/>
      </w:numPr>
      <w:bidi w:val="0"/>
      <w:spacing w:lineRule="auto" w:line="216" w:before="240" w:after="120"/>
      <w:jc w:val="center"/>
    </w:pPr>
    <w:rPr>
      <w:rFonts w:eastAsia="SimSun" w:ascii="Times New Roman" w:hAnsi="Times New Roman" w:cs="Times New Roman"/>
      <w:smallCaps/>
      <w:color w:val="auto"/>
      <w:kern w:val="0"/>
      <w:sz w:val="16"/>
      <w:szCs w:val="20"/>
      <w:lang w:val="en-US" w:eastAsia="en-US" w:bidi="ar-SA"/>
    </w:rPr>
  </w:style>
  <w:style w:type="paragraph" w:styleId="HTMLPreformatted">
    <w:name w:val="HTML Preformatted"/>
    <w:basedOn w:val="Normal"/>
    <w:qFormat/>
    <w:rsid w:val="00c35b8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Paragraph">
    <w:name w:val="List Paragraph"/>
    <w:basedOn w:val="Normal"/>
    <w:uiPriority w:val="34"/>
    <w:qFormat/>
    <w:rsid w:val="00c35b8f"/>
    <w:pPr>
      <w:spacing w:lineRule="auto" w:line="276" w:before="0" w:after="200"/>
      <w:ind w:start="720"/>
      <w:contextualSpacing/>
    </w:pPr>
    <w:rPr>
      <w:rFonts w:ascii="Calibri" w:hAnsi="Calibri"/>
      <w:sz w:val="22"/>
      <w:szCs w:val="22"/>
      <w:lang w:val="en-GB" w:eastAsia="en-GB"/>
    </w:rPr>
  </w:style>
  <w:style w:type="paragraph" w:styleId="NoSpacing">
    <w:name w:val="No Spacing"/>
    <w:qFormat/>
    <w:rsid w:val="00c35b8f"/>
    <w:pPr>
      <w:widowControl/>
      <w:bidi w:val="0"/>
      <w:spacing w:before="0" w:after="0"/>
      <w:jc w:val="start"/>
    </w:pPr>
    <w:rPr>
      <w:rFonts w:ascii="Calibri" w:hAnsi="Calibri" w:eastAsia="Calibri" w:cs="Times New Roman"/>
      <w:color w:val="auto"/>
      <w:kern w:val="0"/>
      <w:sz w:val="22"/>
      <w:szCs w:val="22"/>
      <w:lang w:val="en-US" w:eastAsia="en-US" w:bidi="ar-SA"/>
    </w:rPr>
  </w:style>
  <w:style w:type="paragraph" w:styleId="SourceCode" w:customStyle="1">
    <w:name w:val="Source Code"/>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40e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531</TotalTime>
  <Application>LibreOffice/26.2.3.2$Linux_X86_64 LibreOffice_project/d4d5ed47b6084125f28d269a5650105d54dde034</Application>
  <AppVersion>15.0000</AppVersion>
  <Pages>7</Pages>
  <Words>3319</Words>
  <Characters>21690</Characters>
  <CharactersWithSpaces>24895</CharactersWithSpaces>
  <Paragraphs>118</Paragraphs>
  <Company>IAES | Institute of Advanced Engineering and Science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2026-05-19T02:09:27Z</dcterms:created>
  <dc:creator/>
  <dc:description/>
  <dc:language>id-ID</dc:language>
  <cp:lastModifiedBy>Restu Bias Primandhika</cp:lastModifiedBy>
  <dcterms:modified xsi:type="dcterms:W3CDTF">2026-05-19T13:33:15Z</dcterms:modified>
  <cp:revision>1</cp:revision>
  <dc:subject/>
  <dc:title>Microlearning and Explain-to-Learn in Academic Speaking</dc:title>
</cp:coreProperties>
</file>

<file path=docProps/custom.xml><?xml version="1.0" encoding="utf-8"?>
<Properties xmlns="http://schemas.openxmlformats.org/officeDocument/2006/custom-properties" xmlns:vt="http://schemas.openxmlformats.org/officeDocument/2006/docPropsVTypes"/>
</file>