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eastAsia="Cambria"/>
          <w:b/>
          <w:sz w:val="28"/>
        </w:rPr>
        <w:t>Rekapitulasi Data Validasi Produk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796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6"/>
              </w:rPr>
              <w:t>Sumber data: data/validasi/validasi_materi.csv dan data/validasi/validasi_media.csv.</w:t>
              <w:br/>
              <w:t>Skala penilaian: 1-4 dengan tiga validator pada tiap instrumen.</w:t>
              <w:br/>
              <w:t>Persentase = skor total / skor maksimum x 100%.</w:t>
              <w:br/>
              <w:t>Aiken's V = jumlah(r - lo) / [n(c - lo)], dengan lo = 1 dan c = 4.</w:t>
            </w:r>
          </w:p>
        </w:tc>
        <w:tc>
          <w:tcPr>
            <w:tcW w:type="dxa" w:w="796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6"/>
              </w:rPr>
              <w:t>Jumlah butir gabungan: 45 butir</w:t>
              <w:br/>
              <w:t>Jumlah skor terisi: 135 skor</w:t>
              <w:br/>
              <w:t>Skor total/maksimum: 517 / 540</w:t>
              <w:br/>
              <w:t>Persentase validasi produk: 95,74% (Sangat Valid)</w:t>
              <w:br/>
              <w:t>Aiken's V gabungan: 0,943 (Valid)</w:t>
            </w:r>
          </w:p>
        </w:tc>
      </w:tr>
    </w:tbl>
    <w:p>
      <w:pPr>
        <w:spacing w:before="80" w:after="40"/>
      </w:pPr>
      <w:r>
        <w:rPr>
          <w:rFonts w:ascii="Cambria" w:hAnsi="Cambria" w:eastAsia="Cambria"/>
          <w:b/>
          <w:sz w:val="21"/>
        </w:rPr>
        <w:t>Ringkasan Validasi Produk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770"/>
        <w:gridCol w:w="1770"/>
        <w:gridCol w:w="1770"/>
        <w:gridCol w:w="1770"/>
        <w:gridCol w:w="1770"/>
        <w:gridCol w:w="1770"/>
        <w:gridCol w:w="1770"/>
        <w:gridCol w:w="1770"/>
        <w:gridCol w:w="1770"/>
      </w:tblGrid>
      <w:tr>
        <w:trPr>
          <w:tblHeader w:val="true"/>
        </w:trPr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5"/>
              </w:rPr>
              <w:t>Jenis Validasi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5"/>
              </w:rPr>
              <w:t>Jumlah Butir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5"/>
              </w:rPr>
              <w:t>Skor Terisi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5"/>
              </w:rPr>
              <w:t>Skor Total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5"/>
              </w:rPr>
              <w:t>Skor Maks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5"/>
              </w:rPr>
              <w:t>Persentase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5"/>
              </w:rPr>
              <w:t>Kategori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5"/>
              </w:rPr>
              <w:t>Aiken V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5"/>
              </w:rPr>
              <w:t>Kategori Aiken</w:t>
            </w:r>
          </w:p>
        </w:tc>
      </w:tr>
      <w:tr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5"/>
              </w:rPr>
              <w:t>Materi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30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90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351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360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97,50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5"/>
              </w:rPr>
              <w:t>Sangat Valid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0,967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5"/>
              </w:rPr>
              <w:t>Valid</w:t>
            </w:r>
          </w:p>
        </w:tc>
      </w:tr>
      <w:tr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5"/>
              </w:rPr>
              <w:t>Media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15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45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166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180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92,22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5"/>
              </w:rPr>
              <w:t>Sangat Valid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0,896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5"/>
              </w:rPr>
              <w:t>Valid</w:t>
            </w:r>
          </w:p>
        </w:tc>
      </w:tr>
      <w:tr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5"/>
              </w:rPr>
              <w:t>Gabungan Produk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45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135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517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540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95,74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5"/>
              </w:rPr>
              <w:t>Sangat Valid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0,943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5"/>
              </w:rPr>
              <w:t>Valid</w:t>
            </w:r>
          </w:p>
        </w:tc>
      </w:tr>
    </w:tbl>
    <w:p>
      <w:pPr>
        <w:spacing w:before="80" w:after="40"/>
      </w:pPr>
      <w:r>
        <w:rPr>
          <w:rFonts w:ascii="Cambria" w:hAnsi="Cambria" w:eastAsia="Cambria"/>
          <w:b/>
          <w:sz w:val="21"/>
        </w:rPr>
        <w:t>Ringkasan Per Aspek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770"/>
        <w:gridCol w:w="1770"/>
        <w:gridCol w:w="1770"/>
        <w:gridCol w:w="1770"/>
        <w:gridCol w:w="1770"/>
        <w:gridCol w:w="1770"/>
        <w:gridCol w:w="1770"/>
        <w:gridCol w:w="1770"/>
        <w:gridCol w:w="1770"/>
      </w:tblGrid>
      <w:tr>
        <w:trPr>
          <w:tblHeader w:val="true"/>
        </w:trPr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4"/>
              </w:rPr>
              <w:t>Jenis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4"/>
              </w:rPr>
              <w:t>Aspek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4"/>
              </w:rPr>
              <w:t>Jumlah Butir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4"/>
              </w:rPr>
              <w:t>Skor Total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4"/>
              </w:rPr>
              <w:t>Skor Maks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4"/>
              </w:rPr>
              <w:t>Persentase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4"/>
              </w:rPr>
              <w:t>Kategori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4"/>
              </w:rPr>
              <w:t>Aiken V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4"/>
              </w:rPr>
              <w:t>Kategori Aiken</w:t>
            </w:r>
          </w:p>
        </w:tc>
      </w:tr>
      <w:tr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Materi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Kelayakan Isi Materi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6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69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72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95,83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Sangat Valid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0,944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Valid</w:t>
            </w:r>
          </w:p>
        </w:tc>
      </w:tr>
      <w:tr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Materi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Desain Pembelajaran Microlearning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6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71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72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98,61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Sangat Valid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0,981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Valid</w:t>
            </w:r>
          </w:p>
        </w:tc>
      </w:tr>
      <w:tr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Materi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Kesesuaian dengan Teknik Feynman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5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59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60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98,33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Sangat Valid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0,978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Valid</w:t>
            </w:r>
          </w:p>
        </w:tc>
      </w:tr>
      <w:tr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Materi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Pengembangan Kemampuan Metakognitif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5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58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60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96,67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Sangat Valid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0,956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Valid</w:t>
            </w:r>
          </w:p>
        </w:tc>
      </w:tr>
      <w:tr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Materi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Keterampilan Berbicara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5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58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60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96,67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Sangat Valid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0,956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Valid</w:t>
            </w:r>
          </w:p>
        </w:tc>
      </w:tr>
      <w:tr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Materi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Aspek Motivasi dan Kebahasaan Umum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3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36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36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100,00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Sangat Valid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1,000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Valid</w:t>
            </w:r>
          </w:p>
        </w:tc>
      </w:tr>
      <w:tr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Media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Bentuk Media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4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47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48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97,92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Sangat Valid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0,972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Valid</w:t>
            </w:r>
          </w:p>
        </w:tc>
      </w:tr>
      <w:tr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Media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Kualitas Media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3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30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36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83,33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Sangat Valid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0,778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Perlu Revisi</w:t>
            </w:r>
          </w:p>
        </w:tc>
      </w:tr>
      <w:tr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Media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Fungsi Media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4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44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48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91,67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Sangat Valid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0,889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Valid</w:t>
            </w:r>
          </w:p>
        </w:tc>
      </w:tr>
      <w:tr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Media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Aspek Microlearning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4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45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48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93,75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Sangat Valid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0,917</w:t>
            </w:r>
          </w:p>
        </w:tc>
        <w:tc>
          <w:tcPr>
            <w:tcW w:type="dxa" w:w="17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Valid</w:t>
            </w:r>
          </w:p>
        </w:tc>
      </w:tr>
    </w:tbl>
    <w:p>
      <w:pPr>
        <w:spacing w:before="80" w:after="40"/>
      </w:pPr>
      <w:r>
        <w:rPr>
          <w:rFonts w:ascii="Cambria" w:hAnsi="Cambria" w:eastAsia="Cambria"/>
          <w:b/>
          <w:sz w:val="21"/>
        </w:rPr>
        <w:t>Data Rinci dan Perhitungan Per Butir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327"/>
        <w:gridCol w:w="1327"/>
        <w:gridCol w:w="1327"/>
        <w:gridCol w:w="1327"/>
        <w:gridCol w:w="1327"/>
        <w:gridCol w:w="1327"/>
        <w:gridCol w:w="1327"/>
        <w:gridCol w:w="1327"/>
        <w:gridCol w:w="1327"/>
        <w:gridCol w:w="1327"/>
        <w:gridCol w:w="1327"/>
        <w:gridCol w:w="1327"/>
      </w:tblGrid>
      <w:tr>
        <w:trPr>
          <w:tblHeader w:val="true"/>
        </w:trP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2"/>
              </w:rPr>
              <w:t>Jenis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2"/>
              </w:rPr>
              <w:t>No.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2"/>
              </w:rPr>
              <w:t>Aspek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2"/>
              </w:rPr>
              <w:t>Pernyataan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2"/>
              </w:rPr>
              <w:t>V1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2"/>
              </w:rPr>
              <w:t>V2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2"/>
              </w:rPr>
              <w:t>V3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2"/>
              </w:rPr>
              <w:t>Total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2"/>
              </w:rPr>
              <w:t>Maks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2"/>
              </w:rPr>
              <w:t>%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2"/>
              </w:rPr>
              <w:t>Aiken V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2"/>
              </w:rPr>
              <w:t>Ket.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Kelayakan Isi 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Kesesuaian materi dengan kompetensi keterampilan berbicara mahasiswa Pendidikan Bahasa Indonesia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100,00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1,000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Kelayakan Isi 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Keakuratan konsep dan teori keterampilan berbicara yang disajikan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83,33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0,778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Perlu Revisi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Kelayakan Isi 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Kedalaman dan kelengkapan materi keterampilan berbicara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11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91,67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0,889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Kelayakan Isi 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Kesesuaian materi dengan kurikulum Pendidikan Bahasa Indonesia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100,00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1,000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Kelayakan Isi 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Relevansi materi dengan kebutuhan pembelajaran mahasiswa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100,00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1,000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Kelayakan Isi 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Keaktualan dan kemutakhiran materi yang disajikan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100,00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1,000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Desain Pembelajaran Microlearning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Kesesuaian segmentasi materi dalam format microlearning (bite-sized)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100,00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1,000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Desain Pembelajaran Microlearning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Sistematika penyajian materi yang runtut dan logis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100,00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1,000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9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Desain Pembelajaran Microlearning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Kemudahan materi untuk dipahami mahasiswa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100,00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1,000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Desain Pembelajaran Microlearning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Durasi setiap modul pembelajaran yang tepat dan efektif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11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91,67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0,889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11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Desain Pembelajaran Microlearning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Keterpaduan antar modul dalam satu kesatuan pembelajaran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100,00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1,000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Desain Pembelajaran Microlearning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Fleksibilitas akses materi sesuai kebutuhan belajar mandiri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100,00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1,000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Kesesuaian dengan Teknik Feynman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Kesesuaian materi dengan prinsip teknik Feynman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11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91,67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0,889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Kesesuaian dengan Teknik Feynman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Dukungan materi terhadap kemampuan menjelaskan konsep dengan bahasa sederhana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100,00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1,000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15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Kesesuaian dengan Teknik Feynman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Tersedianya contoh dan latihan penerapan teknik Feynman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100,00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1,000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16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Kesesuaian dengan Teknik Feynman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Kesesuaian aktivitas pembelajaran dengan filosofi learning by teaching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100,00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1,000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17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Kesesuaian dengan Teknik Feynman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Dukungan materi untuk identifikasi kesenjangan pemahaman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100,00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1,000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18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Pengembangan Kemampuan Metakognitif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Dukungan materi untuk pengembangan kemampuan perencanaan (planning)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11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91,67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0,889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19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Pengembangan Kemampuan Metakognitif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Dukungan materi untuk pengembangan kemampuan pemantauan (monitoring)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11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91,67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0,889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20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Pengembangan Kemampuan Metakognitif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Dukungan materi untuk pengembangan kemampuan evaluasi diri (evaluation)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100,00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1,000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21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Pengembangan Kemampuan Metakognitif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Tersedianya panduan refleksi dan self-assessment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100,00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1,000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22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Pengembangan Kemampuan Metakognitif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Aktivitas yang mendorong kesadaran metakognitif mahasiswa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100,00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1,000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23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Keterampilan Berbicara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Kesesuaian materi dengan aspek pengorganisasian ide dalam berbicara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11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91,67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0,889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24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Keterampilan Berbicara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Dukungan materi untuk pengembangan kejelasan penyampaian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100,00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1,000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25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Keterampilan Berbicara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Kesesuaian materi dengan pengembangan ketepatan bahasa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100,00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1,000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26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Keterampilan Berbicara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Dukungan materi untuk pengembangan strategi komunikasi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11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91,67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0,889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27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Keterampilan Berbicara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Tersedianya contoh dan model keterampilan berbicara yang baik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100,00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1,000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28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Aspek Motivasi dan Kebahasaan Umum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Kemampuan materi memotivasi mahasiswa dalam pembelajaran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100,00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1,000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29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Aspek Motivasi dan Kebahasaan Umum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Daya tarik dan engagement materi pembelajaran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100,00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1,000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Materi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Aspek Motivasi dan Kebahasaan Umum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Kontekstualitas materi dengan kehidupan mahasiswa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100,00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1,000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Media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Bentuk Media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Desain antarmuka menarik secara visual dan profesional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100,00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1,000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Media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Bentuk Media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Menu dan navigasi media sederhana jelas dan mudah dipahami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100,00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1,000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Media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Bentuk Media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Tata letak dan desain konsisten di seluruh halaman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100,00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1,000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Media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Bentuk Media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Jenis font ukuran dan warna teks mudah dibaca dan sesuai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11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91,67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0,889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Media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Kualitas Media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Media stabil saat digunakan dengan minim kesalahan teknis (bug)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9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75,00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0,667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Perlu Revisi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Media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Kualitas Media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Media mudah digunakan oleh mahasiswa (user-friendly)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83,33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0,778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Perlu Revisi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Media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Kualitas Media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Konten relevan dengan tujuan pembelajaran keterampilan berbicara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11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91,67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0,889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Media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Fungsi Media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Media mendukung pembelajaran aktif dan mandiri mahasiswa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83,33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0,778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Perlu Revisi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Media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9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Fungsi Media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Media mempermudah mahasiswa memahami konsep dengan lebih cepat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100,00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1,000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Media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Fungsi Media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Media meningkatkan keterampilan berbicara melalui praktik langsung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11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91,67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0,889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Media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11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Fungsi Media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Media mendukung implementasi teknik Feynman dalam pembelajaran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11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91,67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0,889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Media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Aspek Microlearning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Materi tersegmentasi dalam unit-unit kecil yang fokus (bite-sized)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100,00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1,000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Media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Aspek Microlearning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Durasi modul sesuai prinsip microlearning (5-15 menit)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100,00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1,000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Media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Aspek Microlearning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Media dapat diakses kapan saja dan di mana saja melalui perangkat digital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11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91,67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0,889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Valid</w:t>
            </w:r>
          </w:p>
        </w:tc>
      </w:tr>
      <w:tr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Media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15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Aspek Microlearning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Media menyediakan elemen interaktif yang mendukung keterlibatan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83,33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0,778</w:t>
            </w:r>
          </w:p>
        </w:tc>
        <w:tc>
          <w:tcPr>
            <w:tcW w:type="dxa" w:w="132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Perlu Revisi</w:t>
            </w:r>
          </w:p>
        </w:tc>
      </w:tr>
    </w:tbl>
    <w:p>
      <w:pPr>
        <w:spacing w:before="80" w:after="40"/>
      </w:pPr>
      <w:r>
        <w:rPr>
          <w:rFonts w:ascii="Cambria" w:hAnsi="Cambria" w:eastAsia="Cambria"/>
          <w:b/>
          <w:sz w:val="21"/>
        </w:rPr>
        <w:t>Catatan Validator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310"/>
        <w:gridCol w:w="5310"/>
        <w:gridCol w:w="5310"/>
      </w:tblGrid>
      <w:tr>
        <w:trPr>
          <w:tblHeader w:val="true"/>
        </w:trPr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3"/>
              </w:rPr>
              <w:t>Jenis</w:t>
            </w:r>
          </w:p>
        </w:tc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3"/>
              </w:rPr>
              <w:t>Aspek</w:t>
            </w:r>
          </w:p>
        </w:tc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3"/>
              </w:rPr>
              <w:t>Catatan</w:t>
            </w:r>
          </w:p>
        </w:tc>
      </w:tr>
      <w:tr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Materi</w:t>
            </w:r>
          </w:p>
        </w:tc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Kelayakan isi materi</w:t>
            </w:r>
          </w:p>
        </w:tc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aspek kebahasaan pada beberapa materi, khususnya pada materi hubungan keterampilan bicara dengan keterampilan berbahasa yang lain. Istilah "mendengarkan" baiknya diganti dengan "meyimak dan memirsa"</w:t>
            </w:r>
          </w:p>
        </w:tc>
      </w:tr>
      <w:tr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Materi</w:t>
            </w:r>
          </w:p>
        </w:tc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Simpulan validator</w:t>
            </w:r>
          </w:p>
        </w:tc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Modul ajar web cukup menarik dan memiliki kebaruan. Khususnya dari sisi alur pembelajaran.</w:t>
            </w:r>
          </w:p>
        </w:tc>
      </w:tr>
      <w:tr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Materi</w:t>
            </w:r>
          </w:p>
        </w:tc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Saran Pengembangan Lebih lanjut</w:t>
            </w:r>
          </w:p>
        </w:tc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Sesuaikan istilah teknis menjadi lebih sederhana. Kedalaman materi lebih diperluas lagi.</w:t>
            </w:r>
          </w:p>
        </w:tc>
      </w:tr>
      <w:tr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Media</w:t>
            </w:r>
          </w:p>
        </w:tc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Bentuk Media</w:t>
            </w:r>
          </w:p>
        </w:tc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V1 &amp; V2: Antarmuka sudah rapi dah terlihat profesional. Navigasi mudah dipahami terutama pada dashboard dan modul uji. Tingkatkan hirarkis visual supaya lebih fokus. V3: Sangat Menarik.</w:t>
            </w:r>
          </w:p>
        </w:tc>
      </w:tr>
      <w:tr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Media</w:t>
            </w:r>
          </w:p>
        </w:tc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Kualitas Media</w:t>
            </w:r>
          </w:p>
        </w:tc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Secara menyeluruh sudah stabil. Fitur modul uji perlu perbaikan karena beberapa tombol terdapat kekutu (bugs). Alur penggunaan relatif intuitif.</w:t>
            </w:r>
          </w:p>
        </w:tc>
      </w:tr>
      <w:tr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Media</w:t>
            </w:r>
          </w:p>
        </w:tc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Fungsi Media</w:t>
            </w:r>
          </w:p>
        </w:tc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V1: Konsepnya bisa dipahami dan sangat mendukung pembelajaran aktif (dilihat dari beberapa modul contoh). Ada kuis sebagai bentuk implementasi teknik feynman, juga asesmen mandiri (uji rekam). V2: Manfaatkan gamifikasi tidak hanya sekadar fitur pendukung. V3: Perbaiki fungis login, beberapa otentikasi sering ditemukan error</w:t>
            </w:r>
          </w:p>
        </w:tc>
      </w:tr>
      <w:tr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Media</w:t>
            </w:r>
          </w:p>
        </w:tc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Aspek Microlearning</w:t>
            </w:r>
          </w:p>
        </w:tc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V1: Segmentasi sudah sesuai prinsip microlearning dan CTML. Sangat bisa untuk pembelajaran mandiri. Tombol navigasi bisa dieksplor lebih lanjut fiturnya., V2: Tambahkan fitur suka dan tidak suka pada video agar bisa tahu dan bisa perbaiki kualitas, V3: interaksi lewat pertanyaan sebaiknya dibuat menjadi chat</w:t>
            </w:r>
          </w:p>
        </w:tc>
      </w:tr>
      <w:tr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Media</w:t>
            </w:r>
          </w:p>
        </w:tc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Aspek yang Perlu Diperbaiki</w:t>
            </w:r>
          </w:p>
        </w:tc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V3: Bugs pada proses auth (login), agar lebih dipermudah.</w:t>
            </w:r>
          </w:p>
        </w:tc>
      </w:tr>
      <w:tr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Media</w:t>
            </w:r>
          </w:p>
        </w:tc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Saran Spesifik</w:t>
            </w:r>
          </w:p>
        </w:tc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Sesuai saran dari setiap sesi.</w:t>
            </w:r>
          </w:p>
        </w:tc>
      </w:tr>
      <w:tr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Media</w:t>
            </w:r>
          </w:p>
        </w:tc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Rekomendasi</w:t>
            </w:r>
          </w:p>
        </w:tc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 xml:space="preserve">V3: Ketika sudah jadi, mohon disimpan sebagai open-source repository, agar banyak developer lain yang juga bisa berkontribusi terdap fiturnya </w:t>
            </w:r>
          </w:p>
        </w:tc>
      </w:tr>
      <w:tr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Media</w:t>
            </w:r>
          </w:p>
        </w:tc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Alasan rekomendasi</w:t>
            </w:r>
          </w:p>
        </w:tc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-</w:t>
            </w:r>
          </w:p>
        </w:tc>
      </w:tr>
      <w:tr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Media</w:t>
            </w:r>
          </w:p>
        </w:tc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Kelebihan Media</w:t>
            </w:r>
          </w:p>
        </w:tc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V1: UI sudah terstruktur baik, mendukung evaluasi terintegrasi dalam bentuk video. V2 &amp; V3: Terdapat juga sistem gamifikasi (XP, Level dsb.) yang berpotensi meningkatkan motivasi belajar mahasiswa.</w:t>
            </w:r>
          </w:p>
        </w:tc>
      </w:tr>
      <w:tr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Media</w:t>
            </w:r>
          </w:p>
        </w:tc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Kelemahan Media</w:t>
            </w:r>
          </w:p>
        </w:tc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V1: Sistem gamifikasi terlihat seperti "hiasan" semata, karena memang bukan fokus utama pengembangan. Integrasikan dengan alur penggunaan web ini. V2 &amp; V3: Navigasi masih tidak kompatibel di mobile, pertimbangkan karena banyak pemakai mobile</w:t>
            </w:r>
          </w:p>
        </w:tc>
      </w:tr>
      <w:tr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Media</w:t>
            </w:r>
          </w:p>
        </w:tc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Saran Pengembangan Lebih Lanjut</w:t>
            </w:r>
          </w:p>
        </w:tc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V1: Di modul uji perlu diperjelas setiap instruksinya agar penilaian menjadi lebih valid. Lebih baiknnya lagi dengan ikon/emoji. Lebih beragam lagi game inovatif di setiap perpindahan sesi, khususnya yang terkait keterampilan bicara/suara dan juga teknik feynman. V2: Integrasi angket harus bisa mode acak baik dari substansi soal dan pola negatif-positifnya, agar memuat pernyataan yang ketika diisi itu valid. V3: Bisa diintegrasikan dengan LMS kampus manapun.</w:t>
            </w:r>
          </w:p>
        </w:tc>
      </w:tr>
      <w:tr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Media</w:t>
            </w:r>
          </w:p>
        </w:tc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KETERANGAN</w:t>
            </w:r>
          </w:p>
        </w:tc>
        <w:tc>
          <w:tcPr>
            <w:tcW w:type="dxa" w:w="531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V1: Validator 1, V2: Validator 2, V3: Validator 3</w:t>
            </w:r>
          </w:p>
        </w:tc>
      </w:tr>
    </w:tbl>
    <w:p>
      <w:pPr>
        <w:spacing w:before="80" w:after="40"/>
      </w:pPr>
      <w:r>
        <w:rPr>
          <w:rFonts w:ascii="Cambria" w:hAnsi="Cambria" w:eastAsia="Cambria"/>
          <w:b/>
          <w:sz w:val="21"/>
        </w:rPr>
        <w:t>Revisi Produk Berdasarkan Masukan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186"/>
        <w:gridCol w:w="3186"/>
        <w:gridCol w:w="3186"/>
        <w:gridCol w:w="3186"/>
        <w:gridCol w:w="3186"/>
      </w:tblGrid>
      <w:tr>
        <w:trPr>
          <w:tblHeader w:val="true"/>
        </w:trPr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3"/>
              </w:rPr>
              <w:t>No.</w:t>
            </w:r>
          </w:p>
        </w:tc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3"/>
              </w:rPr>
              <w:t>Sumber</w:t>
            </w:r>
          </w:p>
        </w:tc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3"/>
              </w:rPr>
              <w:t>Masukan Validator</w:t>
            </w:r>
          </w:p>
        </w:tc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3"/>
              </w:rPr>
              <w:t>Revisi yang Dilakukan</w:t>
            </w:r>
          </w:p>
        </w:tc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3"/>
              </w:rPr>
              <w:t>Keterangan</w:t>
            </w:r>
          </w:p>
        </w:tc>
      </w:tr>
      <w:tr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3"/>
              </w:rPr>
              <w:t>1</w:t>
            </w:r>
          </w:p>
        </w:tc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Ahli Materi</w:t>
            </w:r>
          </w:p>
        </w:tc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Materi perlu dipecah menjadi unit yang lebih kecil sesuai prinsip microlearning</w:t>
            </w:r>
          </w:p>
        </w:tc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Materi dipecah menjadi 5-7 menit per unit dengan satu topik terfokus</w:t>
            </w:r>
          </w:p>
        </w:tc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[Gambar sebelum-sesudah revisi materi]</w:t>
            </w:r>
          </w:p>
        </w:tc>
      </w:tr>
      <w:tr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3"/>
              </w:rPr>
              <w:t>2</w:t>
            </w:r>
          </w:p>
        </w:tc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Ahli Materi</w:t>
            </w:r>
          </w:p>
        </w:tc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Tambahkan contoh penerapan teknik Feynman yang lebih kontekstual</w:t>
            </w:r>
          </w:p>
        </w:tc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Ditambahkan video contoh penerapan teknik Feynman dalam berbagai topik linguistik</w:t>
            </w:r>
          </w:p>
        </w:tc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[Gambar penambahan contoh]</w:t>
            </w:r>
          </w:p>
        </w:tc>
      </w:tr>
      <w:tr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3"/>
              </w:rPr>
              <w:t>3</w:t>
            </w:r>
          </w:p>
        </w:tc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Ahli Media</w:t>
            </w:r>
          </w:p>
        </w:tc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Navigasi antarmodul perlu diperjelas dengan breadcrumb</w:t>
            </w:r>
          </w:p>
        </w:tc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Ditambahkan breadcrumb navigation dan progress bar di setiap halaman</w:t>
            </w:r>
          </w:p>
        </w:tc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[Gambar sebelum-sesudah navigasi]</w:t>
            </w:r>
          </w:p>
        </w:tc>
      </w:tr>
      <w:tr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3"/>
              </w:rPr>
              <w:t>4</w:t>
            </w:r>
          </w:p>
        </w:tc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Ahli Media</w:t>
            </w:r>
          </w:p>
        </w:tc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Ukuran tombol perekaman perlu diperbesar untuk kemudahan akses</w:t>
            </w:r>
          </w:p>
        </w:tc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Tombol perekaman diperbesar dan diberi label teks yang jelas</w:t>
            </w:r>
          </w:p>
        </w:tc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[Gambar revisi tombol rekaman]</w:t>
            </w:r>
          </w:p>
        </w:tc>
      </w:tr>
      <w:tr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3"/>
              </w:rPr>
              <w:t>5</w:t>
            </w:r>
          </w:p>
        </w:tc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Ahli Media</w:t>
            </w:r>
          </w:p>
        </w:tc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Tampilan mobile belum responsif secara optimal</w:t>
            </w:r>
          </w:p>
        </w:tc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Dilakukan penyesuaian CSS untuk tampilan responsif di berbagai ukuran layar</w:t>
            </w:r>
          </w:p>
        </w:tc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[Gambar tampilan mobile]</w:t>
            </w:r>
          </w:p>
        </w:tc>
      </w:tr>
      <w:tr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3"/>
              </w:rPr>
              <w:t>6</w:t>
            </w:r>
          </w:p>
        </w:tc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Penguji Seminar Kemajuan</w:t>
            </w:r>
          </w:p>
        </w:tc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Kriteria penilaian agar lebih rinci (tidak ambigu) dan instuksi modul /uji agar lebih jelas, ditambahkan instruksi yang bisa mendeteksi gestur</w:t>
            </w:r>
          </w:p>
        </w:tc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Dilakukan sesuai saran, sub poin kriteria dan penambahan instruksi uji.</w:t>
            </w:r>
          </w:p>
        </w:tc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</w:r>
          </w:p>
        </w:tc>
      </w:tr>
      <w:tr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3"/>
              </w:rPr>
              <w:t>7</w:t>
            </w:r>
          </w:p>
        </w:tc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Penguji Seminar Kemajuan</w:t>
            </w:r>
          </w:p>
        </w:tc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Kriteria harus sesuai konstruk.</w:t>
            </w:r>
          </w:p>
        </w:tc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  <w:t>Pemetaan (mapping) kriteria eksisting ke konstruk berbicara dan metakognitif.</w:t>
            </w:r>
          </w:p>
        </w:tc>
        <w:tc>
          <w:tcPr>
            <w:tcW w:type="dxa" w:w="318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3"/>
              </w:rPr>
            </w:r>
          </w:p>
        </w:tc>
      </w:tr>
    </w:tbl>
    <w:p>
      <w:pPr>
        <w:spacing w:before="60"/>
      </w:pPr>
      <w:r>
        <w:rPr>
          <w:rFonts w:ascii="Cambria" w:hAnsi="Cambria" w:eastAsia="Cambria"/>
          <w:sz w:val="15"/>
        </w:rPr>
        <w:t>Catatan: kategori persentase menggunakan batas sangat valid &gt;= 81,25%; kategori Aiken dibaca valid jika V &gt;= 0,80. Perhitungan gabungan produk menjumlahkan validasi materi dan media.</w:t>
      </w:r>
    </w:p>
    <w:sectPr w:rsidR="00FC693F" w:rsidRPr="0006063C" w:rsidSect="00034616">
      <w:pgSz w:w="16838" w:h="11906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mbria" w:hAnsi="Cambria" w:eastAsia="Cambria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mbria" w:hAnsi="Cambria" w:eastAsia="Cambria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