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eastAsia="Cambria"/>
          <w:b/>
          <w:sz w:val="28"/>
        </w:rPr>
        <w:t>Rekapitulasi Hasil Observasi Implementasi Media</w:t>
      </w:r>
    </w:p>
    <w:tbl>
      <w:tblPr>
        <w:tblStyle w:val="TableGrid"/>
        <w:tblW w:type="pct" w:w="5000"/>
        <w:jc w:val="center"/>
        <w:tblLook w:firstColumn="1" w:firstRow="1" w:lastColumn="0" w:lastRow="0" w:noHBand="0" w:noVBand="1" w:val="04A0"/>
      </w:tblPr>
      <w:tblGrid>
        <w:gridCol w:w="7965"/>
        <w:gridCol w:w="7965"/>
      </w:tblGrid>
      <w:tr>
        <w:tc>
          <w:tcPr>
            <w:tcW w:type="dxa" w:w="7965"/>
            <w:vAlign w:val="center"/>
            <w:tcMar>
              <w:top w:w="35" w:type="dxa"/>
              <w:start w:w="45" w:type="dxa"/>
              <w:bottom w:w="35" w:type="dxa"/>
              <w:end w:w="45" w:type="dxa"/>
            </w:tcMar>
          </w:tcPr>
          <w:p>
            <w:pPr>
              <w:spacing w:before="0" w:after="0" w:line="240" w:lineRule="auto"/>
            </w:pPr>
            <w:r>
              <w:rPr>
                <w:rFonts w:ascii="Cambria" w:hAnsi="Cambria" w:eastAsia="Cambria"/>
                <w:b w:val="0"/>
                <w:sz w:val="16"/>
              </w:rPr>
              <w:t>Sumber data: data/kualitatif/observasi.csv.</w:t>
              <w:br/>
              <w:t>Cakupan observasi: sesi 1-8 implementasi media.</w:t>
              <w:br/>
              <w:t>Data mencakup indikator keterlaksanaan penggunaan media, partisipasi, fitur rekaman, refleksi, dan respons umpan balik.</w:t>
              <w:br/>
              <w:t>Rerata dihitung dari indikator yang berbentuk persentase; data frekuensi diskusi tidak dicampur ke rerata persentase.</w:t>
            </w:r>
          </w:p>
        </w:tc>
        <w:tc>
          <w:tcPr>
            <w:tcW w:type="dxa" w:w="7965"/>
            <w:vAlign w:val="center"/>
            <w:tcMar>
              <w:top w:w="35" w:type="dxa"/>
              <w:start w:w="45" w:type="dxa"/>
              <w:bottom w:w="35" w:type="dxa"/>
              <w:end w:w="45" w:type="dxa"/>
            </w:tcMar>
          </w:tcPr>
          <w:p>
            <w:pPr>
              <w:spacing w:before="0" w:after="0" w:line="240" w:lineRule="auto"/>
            </w:pPr>
            <w:r>
              <w:rPr>
                <w:rFonts w:ascii="Cambria" w:hAnsi="Cambria" w:eastAsia="Cambria"/>
                <w:b w:val="0"/>
                <w:sz w:val="16"/>
              </w:rPr>
              <w:t>Jumlah indikator observasi: 8</w:t>
              <w:br/>
              <w:t>Indikator persentase: 7</w:t>
              <w:br/>
              <w:t>Rerata keterlaksanaan: 89,86%</w:t>
              <w:br/>
              <w:t>Kategori rerata: Sangat Baik</w:t>
              <w:br/>
              <w:t>Frekuensi diskusi: 6 kali/sesi</w:t>
            </w:r>
          </w:p>
        </w:tc>
      </w:tr>
    </w:tbl>
    <w:p>
      <w:pPr>
        <w:spacing w:before="80" w:after="40"/>
      </w:pPr>
      <w:r>
        <w:rPr>
          <w:rFonts w:ascii="Cambria" w:hAnsi="Cambria" w:eastAsia="Cambria"/>
          <w:b/>
          <w:sz w:val="21"/>
        </w:rPr>
        <w:t>Ringkasan Observasi</w:t>
      </w:r>
    </w:p>
    <w:tbl>
      <w:tblPr>
        <w:tblStyle w:val="TableGrid"/>
        <w:tblW w:type="pct" w:w="5000"/>
        <w:jc w:val="center"/>
        <w:tblLook w:firstColumn="1" w:firstRow="1" w:lastColumn="0" w:lastRow="0" w:noHBand="0" w:noVBand="1" w:val="04A0"/>
      </w:tblPr>
      <w:tblGrid>
        <w:gridCol w:w="2276"/>
        <w:gridCol w:w="2276"/>
        <w:gridCol w:w="2276"/>
        <w:gridCol w:w="2276"/>
        <w:gridCol w:w="2276"/>
        <w:gridCol w:w="2276"/>
        <w:gridCol w:w="2276"/>
      </w:tblGrid>
      <w:tr>
        <w:trPr>
          <w:tblHeader w:val="true"/>
        </w:trPr>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5"/>
              </w:rPr>
              <w:t>Sesi</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5"/>
              </w:rPr>
              <w:t>Jumlah Indikator</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5"/>
              </w:rPr>
              <w:t>Indikator %</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5"/>
              </w:rPr>
              <w:t>Rerata %</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5"/>
              </w:rPr>
              <w:t>Kategori</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5"/>
              </w:rPr>
              <w:t>Indikator Terendah</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5"/>
              </w:rPr>
              <w:t>Indikator Tertinggi</w:t>
            </w:r>
          </w:p>
        </w:tc>
      </w:tr>
      <w:tr>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5"/>
              </w:rPr>
              <w:t>Sesi 1-8</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5"/>
              </w:rPr>
              <w:t>8</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5"/>
              </w:rPr>
              <w:t>7</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5"/>
              </w:rPr>
              <w:t>89,86</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5"/>
              </w:rPr>
              <w:t>Sangat Baik</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5"/>
              </w:rPr>
              <w:t>Interaksi dengan Konten (78,00%)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5"/>
              </w:rPr>
              <w:t>Penggunaan Fitur Rekaman (100,00%)</w:t>
            </w:r>
          </w:p>
        </w:tc>
      </w:tr>
    </w:tbl>
    <w:p>
      <w:pPr>
        <w:spacing w:before="80" w:after="40"/>
      </w:pPr>
      <w:r>
        <w:rPr>
          <w:rFonts w:ascii="Cambria" w:hAnsi="Cambria" w:eastAsia="Cambria"/>
          <w:b/>
          <w:sz w:val="21"/>
        </w:rPr>
        <w:t>Data Indikator dan Perhitungan</w:t>
      </w:r>
    </w:p>
    <w:tbl>
      <w:tblPr>
        <w:tblStyle w:val="TableGrid"/>
        <w:tblW w:type="pct" w:w="5000"/>
        <w:jc w:val="center"/>
        <w:tblLook w:firstColumn="1" w:firstRow="1" w:lastColumn="0" w:lastRow="0" w:noHBand="0" w:noVBand="1" w:val="04A0"/>
      </w:tblPr>
      <w:tblGrid>
        <w:gridCol w:w="2276"/>
        <w:gridCol w:w="2276"/>
        <w:gridCol w:w="2276"/>
        <w:gridCol w:w="2276"/>
        <w:gridCol w:w="2276"/>
        <w:gridCol w:w="2276"/>
        <w:gridCol w:w="2276"/>
      </w:tblGrid>
      <w:tr>
        <w:trPr>
          <w:tblHeader w:val="true"/>
        </w:trPr>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4"/>
              </w:rPr>
              <w:t>No.</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4"/>
              </w:rPr>
              <w:t>Sesi</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4"/>
              </w:rPr>
              <w:t>Aspek Observasi</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4"/>
              </w:rPr>
              <w:t>Indikator</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4"/>
              </w:rPr>
              <w:t>Hasil</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4"/>
              </w:rPr>
              <w:t>Nilai %</w:t>
            </w:r>
          </w:p>
        </w:tc>
        <w:tc>
          <w:tcPr>
            <w:tcW w:type="dxa" w:w="2276"/>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4"/>
              </w:rPr>
              <w:t>Kategori</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1</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Durasi Penggunaan Media</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Persentase mahasiswa yang menggunakan media sesuai waktu</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87%</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87,00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Sangat Baik</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2</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Tingkat Partisipasi</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Persentase mahasiswa yang menyelesaikan seluruh modul</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82%</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82,00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Sangat Baik</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3</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Interaksi dengan Konten</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Persentase mahasiswa yang mengakses fitur interaktif</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78%</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78,00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Baik</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4</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Penerapan Teknik Feynman</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Persentase mahasiswa yang mampu menjelaskan ulang dengan bahasa sendiri</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82%</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82,00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Sangat Baik</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5</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Keterlibatan dalam Diskusi</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Frekuensi partisipasi dalam forum diskusi</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6 kali/sesi</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6</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Penggunaan Fitur Rekaman</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Persentase mahasiswa yang memanfaatkan fitur rekaman</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100%</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100,00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Sangat Baik</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7</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Penggunaan Fitur Refleksi</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Persentase mahasiswa yang mengisi lembar refleksi</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100%</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100,00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Sangat Baik</w:t>
            </w:r>
          </w:p>
        </w:tc>
      </w:tr>
      <w:tr>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1-8</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Respons terhadap Umpan Balik</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Persentase mahasiswa yang merevisi berdasarkan umpan balik</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100%</w:t>
            </w:r>
          </w:p>
        </w:tc>
        <w:tc>
          <w:tcPr>
            <w:tcW w:type="dxa" w:w="2276"/>
            <w:vAlign w:val="center"/>
            <w:tcMar>
              <w:top w:w="35" w:type="dxa"/>
              <w:start w:w="45" w:type="dxa"/>
              <w:bottom w:w="35" w:type="dxa"/>
              <w:end w:w="45" w:type="dxa"/>
            </w:tcMar>
          </w:tcPr>
          <w:p>
            <w:pPr>
              <w:spacing w:before="0" w:after="0" w:line="240" w:lineRule="auto"/>
              <w:jc w:val="right"/>
            </w:pPr>
            <w:r>
              <w:rPr>
                <w:rFonts w:ascii="Cambria" w:hAnsi="Cambria" w:eastAsia="Cambria"/>
                <w:b w:val="0"/>
                <w:sz w:val="14"/>
              </w:rPr>
              <w:t>100,00</w:t>
            </w:r>
          </w:p>
        </w:tc>
        <w:tc>
          <w:tcPr>
            <w:tcW w:type="dxa" w:w="2276"/>
            <w:vAlign w:val="center"/>
            <w:tcMar>
              <w:top w:w="35" w:type="dxa"/>
              <w:start w:w="45" w:type="dxa"/>
              <w:bottom w:w="35" w:type="dxa"/>
              <w:end w:w="45" w:type="dxa"/>
            </w:tcMar>
          </w:tcPr>
          <w:p>
            <w:pPr>
              <w:spacing w:before="0" w:after="0" w:line="240" w:lineRule="auto"/>
            </w:pPr>
            <w:r>
              <w:rPr>
                <w:rFonts w:ascii="Cambria" w:hAnsi="Cambria" w:eastAsia="Cambria"/>
                <w:b w:val="0"/>
                <w:sz w:val="14"/>
              </w:rPr>
              <w:t>Sangat Baik</w:t>
            </w:r>
          </w:p>
        </w:tc>
      </w:tr>
    </w:tbl>
    <w:p>
      <w:pPr>
        <w:spacing w:before="80" w:after="40"/>
      </w:pPr>
      <w:r>
        <w:rPr>
          <w:rFonts w:ascii="Cambria" w:hAnsi="Cambria" w:eastAsia="Cambria"/>
          <w:b/>
          <w:sz w:val="21"/>
        </w:rPr>
        <w:t>Catatan Kualitatif Observasi</w:t>
      </w:r>
    </w:p>
    <w:tbl>
      <w:tblPr>
        <w:tblStyle w:val="TableGrid"/>
        <w:tblW w:type="pct" w:w="5000"/>
        <w:jc w:val="center"/>
        <w:tblLook w:firstColumn="1" w:firstRow="1" w:lastColumn="0" w:lastRow="0" w:noHBand="0" w:noVBand="1" w:val="04A0"/>
      </w:tblPr>
      <w:tblGrid>
        <w:gridCol w:w="5310"/>
        <w:gridCol w:w="5310"/>
        <w:gridCol w:w="5310"/>
      </w:tblGrid>
      <w:tr>
        <w:trPr>
          <w:tblHeader w:val="true"/>
        </w:trPr>
        <w:tc>
          <w:tcPr>
            <w:tcW w:type="dxa" w:w="5310"/>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3"/>
              </w:rPr>
              <w:t>No.</w:t>
            </w:r>
          </w:p>
        </w:tc>
        <w:tc>
          <w:tcPr>
            <w:tcW w:type="dxa" w:w="5310"/>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3"/>
              </w:rPr>
              <w:t>Aspek Observasi</w:t>
            </w:r>
          </w:p>
        </w:tc>
        <w:tc>
          <w:tcPr>
            <w:tcW w:type="dxa" w:w="5310"/>
            <w:vAlign w:val="center"/>
            <w:tcMar>
              <w:top w:w="35" w:type="dxa"/>
              <w:start w:w="45" w:type="dxa"/>
              <w:bottom w:w="35" w:type="dxa"/>
              <w:end w:w="45" w:type="dxa"/>
            </w:tcMar>
            <w:shd w:fill="EDEDED"/>
          </w:tcPr>
          <w:p>
            <w:pPr>
              <w:spacing w:before="0" w:after="0" w:line="240" w:lineRule="auto"/>
              <w:jc w:val="center"/>
            </w:pPr>
            <w:r>
              <w:rPr>
                <w:rFonts w:ascii="Cambria" w:hAnsi="Cambria" w:eastAsia="Cambria"/>
                <w:b/>
                <w:sz w:val="13"/>
              </w:rPr>
              <w:t>Catatan Kualitatif</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1</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Durasi Penggunaan Media</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menggunakan media sesuai waktu yang ditentukan, namun beberapa mahasiswa mengalami kesulitan dalam mengatur waktu mereka. Beberapa mahasiswa membutuhkan pengingat tambahan untuk tetap fokus pada penggunaan media.</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2</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Tingkat Partisipasi</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menyelesaikan seluruh modul dengan baik, namun beberapa mahasiswa membutuhkan bimbingan tambahan untuk memahami beberapa materi yang lebih kompleks. Beberapa mahasiswa juga mengalami kesulitan dalam mengatur waktu mereka untuk menyelesaikan modul tepat waktu.</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3</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Interaksi dengan Konten</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mengakses fitur interaktif dengan baik, namun beberapa mahasiswa mengalami kesulitan dalam memahami beberapa konten yang lebih kompleks. Beberapa mahasiswa membutuhkan bimbingan tambahan untuk memahami materi tertentu. Fitur tanya jawab tidak terlalu digunakan secara optimal, beberapa mahasiswa hanya mengaksesnya ketika benar-benar membutuhkan bantuan.</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4</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Penerapan Teknik Feynman</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mampu menjelaskan ulang materi dengan bahasa mereka sendiri, namun beberapa mahasiswa masih kesulitan dalam menyampaikan konsep yang lebih kompleks. Beberapa mahasiswa membutuhkan bimbingan tambahan untuk memahami materi tertentu dan mengaplikasikan teknik Feynman dengan lebih efektif.</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5</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Keterlibatan dalam Diskusi</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aktif berpartisipasi dalam forum diskusi, namun beberapa mahasiswa hanya berpartisipasi secara pasif. Beberapa mahasiswa membutuhkan dorongan tambahan untuk lebih aktif dalam berdiskusi dan berbagi pemikiran mereka.</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6</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Penggunaan Fitur Rekaman</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mengikuti tes meskipun terlambat namun tetap menyelesaikan tes dengan baik. Beberapa mahasiswa mengalami kendala teknis saat mengunggah rekaman tetapi mereka berhasil menyelesaikannya setelah beberapa percobaan.</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7</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Penggunaan Fitur Refleksi</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menggunakan fitur refleksi, tapi ada beberapa yang sekadar hanya mengisi tanpa memberikan jawaban yang mendalam. Beberapa mahasiswa memberikan jawaban yang sangat reflektif dan menunjukkan pemahaman yang baik terhadap materi.</w:t>
            </w:r>
          </w:p>
        </w:tc>
      </w:tr>
      <w:tr>
        <w:tc>
          <w:tcPr>
            <w:tcW w:type="dxa" w:w="5310"/>
            <w:vAlign w:val="center"/>
            <w:tcMar>
              <w:top w:w="35" w:type="dxa"/>
              <w:start w:w="45" w:type="dxa"/>
              <w:bottom w:w="35" w:type="dxa"/>
              <w:end w:w="45" w:type="dxa"/>
            </w:tcMar>
          </w:tcPr>
          <w:p>
            <w:pPr>
              <w:spacing w:before="0" w:after="0" w:line="240" w:lineRule="auto"/>
              <w:jc w:val="right"/>
            </w:pPr>
            <w:r>
              <w:rPr>
                <w:rFonts w:ascii="Cambria" w:hAnsi="Cambria" w:eastAsia="Cambria"/>
                <w:b w:val="0"/>
                <w:sz w:val="13"/>
              </w:rPr>
              <w:t>8</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Respons terhadap Umpan Balik</w:t>
            </w:r>
          </w:p>
        </w:tc>
        <w:tc>
          <w:tcPr>
            <w:tcW w:type="dxa" w:w="5310"/>
            <w:vAlign w:val="center"/>
            <w:tcMar>
              <w:top w:w="35" w:type="dxa"/>
              <w:start w:w="45" w:type="dxa"/>
              <w:bottom w:w="35" w:type="dxa"/>
              <w:end w:w="45" w:type="dxa"/>
            </w:tcMar>
          </w:tcPr>
          <w:p>
            <w:pPr>
              <w:spacing w:before="0" w:after="0" w:line="240" w:lineRule="auto"/>
            </w:pPr>
            <w:r>
              <w:rPr>
                <w:rFonts w:ascii="Cambria" w:hAnsi="Cambria" w:eastAsia="Cambria"/>
                <w:b w:val="0"/>
                <w:sz w:val="13"/>
              </w:rPr>
              <w:t>Mahasiswa merespons umpan balik dengan baik dan melakukan revisi sesuai saran yang diberikan. Mereka menunjukkan komitmen yang tinggi dalam proses pembelajaran.</w:t>
            </w:r>
          </w:p>
        </w:tc>
      </w:tr>
    </w:tbl>
    <w:p>
      <w:pPr>
        <w:spacing w:before="60"/>
      </w:pPr>
      <w:r>
        <w:rPr>
          <w:rFonts w:ascii="Cambria" w:hAnsi="Cambria" w:eastAsia="Cambria"/>
          <w:sz w:val="15"/>
        </w:rPr>
        <w:t>Catatan: kategori keterlaksanaan menggunakan rentang sangat baik &gt;= 81%, baik 61-80%, cukup 41-60%, kurang 21-40%, dan sangat kurang 0-20%.</w:t>
      </w:r>
    </w:p>
    <w:sectPr w:rsidR="00FC693F" w:rsidRPr="0006063C" w:rsidSect="00034616">
      <w:pgSz w:w="16838" w:h="11906" w:orient="landscape"/>
      <w:pgMar w:top="454" w:right="454" w:bottom="454"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mbria" w:hAnsi="Cambria" w:eastAsia="Cambria"/>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mbria" w:hAnsi="Cambria" w:eastAsia="Cambria"/>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