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FA63" w14:textId="147D334E" w:rsidR="00134980" w:rsidRPr="00230BF9" w:rsidRDefault="00134980" w:rsidP="00134980">
      <w:pPr>
        <w:spacing w:line="240" w:lineRule="auto"/>
        <w:jc w:val="center"/>
        <w:rPr>
          <w:b/>
          <w:bCs/>
          <w:sz w:val="26"/>
          <w:szCs w:val="26"/>
        </w:rPr>
      </w:pPr>
      <w:r>
        <w:rPr>
          <w:rFonts w:ascii="Times New Roman" w:hAnsi="Times New Roman"/>
          <w:b/>
          <w:i w:val="0"/>
          <w:sz w:val="26"/>
        </w:rPr>
        <w:t>Evaluating a Microlearning-Based Multimedia Platform for Speaking Performance and Metacognitive Awareness: A Mixed-Methods Quasi-Experimental Study</w:t>
      </w:r>
    </w:p>
    <w:p w14:paraId="29749D61" w14:textId="0ACC1BDD" w:rsidR="00134980" w:rsidRPr="009F6799" w:rsidRDefault="008D7C98" w:rsidP="00134980">
      <w:pPr>
        <w:spacing w:line="240" w:lineRule="auto"/>
        <w:jc w:val="center"/>
        <w:rPr>
          <w:sz w:val="24"/>
          <w:vertAlign w:val="superscript"/>
          <w:lang w:val="vi-VN"/>
        </w:rPr>
      </w:pPr>
      <w:r>
        <w:rPr>
          <w:rFonts w:ascii="Times New Roman" w:hAnsi="Times New Roman"/>
          <w:b w:val="0"/>
          <w:i w:val="0"/>
          <w:sz w:val="24"/>
        </w:rPr>
        <w:t>Restu Bias Primandhika</w:t>
      </w:r>
      <w:r>
        <w:rPr>
          <w:rFonts w:ascii="Times New Roman" w:hAnsi="Times New Roman"/>
          <w:b w:val="0"/>
          <w:i w:val="0"/>
          <w:sz w:val="24"/>
          <w:vertAlign w:val="superscript"/>
        </w:rPr>
        <w:t>1</w:t>
      </w:r>
      <w:r>
        <w:rPr>
          <w:rFonts w:ascii="Times New Roman" w:hAnsi="Times New Roman"/>
          <w:b w:val="0"/>
          <w:i w:val="0"/>
          <w:sz w:val="24"/>
        </w:rPr>
        <w:t xml:space="preserve">, </w:t>
      </w:r>
      <w:r>
        <w:rPr>
          <w:rFonts w:ascii="Times New Roman" w:hAnsi="Times New Roman"/>
          <w:b w:val="0"/>
          <w:i w:val="0"/>
          <w:sz w:val="24"/>
        </w:rPr>
        <w:t>Nani Solihati</w:t>
      </w:r>
      <w:r>
        <w:rPr>
          <w:rFonts w:ascii="Times New Roman" w:hAnsi="Times New Roman"/>
          <w:b w:val="0"/>
          <w:i w:val="0"/>
          <w:sz w:val="24"/>
          <w:vertAlign w:val="superscript"/>
        </w:rPr>
        <w:t>2*</w:t>
      </w:r>
      <w:r>
        <w:rPr>
          <w:rFonts w:ascii="Times New Roman" w:hAnsi="Times New Roman"/>
          <w:b w:val="0"/>
          <w:i w:val="0"/>
          <w:sz w:val="24"/>
        </w:rPr>
        <w:t>, and Siti Zulaiha</w:t>
      </w:r>
      <w:r>
        <w:rPr>
          <w:rFonts w:ascii="Times New Roman" w:hAnsi="Times New Roman"/>
          <w:b w:val="0"/>
          <w:i w:val="0"/>
          <w:sz w:val="24"/>
          <w:vertAlign w:val="superscript"/>
        </w:rPr>
        <w:t>3</w:t>
      </w:r>
    </w:p>
    <w:p w14:paraId="3BE8E030" w14:textId="77777777" w:rsidR="00C809AD" w:rsidRPr="00230BF9" w:rsidRDefault="00C809AD" w:rsidP="00134980">
      <w:pPr>
        <w:spacing w:after="80" w:line="240" w:lineRule="exact"/>
        <w:jc w:val="center"/>
        <w:rPr>
          <w:sz w:val="24"/>
        </w:rPr>
      </w:pPr>
    </w:p>
    <w:p w14:paraId="79C65DFD" w14:textId="7ABDE886" w:rsidR="00134980" w:rsidRPr="00C809AD" w:rsidRDefault="00134980" w:rsidP="00C75C39">
      <w:pPr>
        <w:spacing w:after="120" w:line="240" w:lineRule="exact" w:before="120"/>
        <w:rPr>
          <w:sz w:val="22"/>
          <w:szCs w:val="22"/>
        </w:rPr>
      </w:pPr>
      <w:r>
        <w:rPr>
          <w:rFonts w:ascii="Times New Roman" w:hAnsi="Times New Roman"/>
          <w:b w:val="0"/>
          <w:i w:val="0"/>
          <w:sz w:val="22"/>
          <w:vertAlign w:val="superscript"/>
        </w:rPr>
        <w:t xml:space="preserve">1 </w:t>
      </w:r>
      <w:r>
        <w:rPr>
          <w:rFonts w:ascii="Times New Roman" w:hAnsi="Times New Roman"/>
          <w:b w:val="0"/>
          <w:i w:val="0"/>
          <w:sz w:val="22"/>
        </w:rPr>
        <w:t>Universitas Muhammadiyah Prof. DR. HAMKA, Indonesia. Email: restubiasprimandhika@uhamka.ac.id</w:t>
      </w:r>
    </w:p>
    <w:p w14:paraId="4A10A540" w14:textId="2737982C" w:rsidR="00134980" w:rsidRPr="00C809AD" w:rsidRDefault="00134980" w:rsidP="00C75C39">
      <w:pPr>
        <w:spacing w:after="120" w:line="240" w:lineRule="exact" w:before="120"/>
        <w:rPr>
          <w:sz w:val="22"/>
          <w:szCs w:val="22"/>
          <w:lang w:val="vi-VN"/>
        </w:rPr>
      </w:pPr>
      <w:r>
        <w:rPr>
          <w:rFonts w:ascii="Times New Roman" w:hAnsi="Times New Roman"/>
          <w:b w:val="0"/>
          <w:i w:val="0"/>
          <w:sz w:val="22"/>
          <w:vertAlign w:val="superscript"/>
        </w:rPr>
        <w:t xml:space="preserve">2 </w:t>
      </w:r>
      <w:r>
        <w:rPr>
          <w:rFonts w:ascii="Times New Roman" w:hAnsi="Times New Roman"/>
          <w:b w:val="0"/>
          <w:i w:val="0"/>
          <w:sz w:val="22"/>
        </w:rPr>
        <w:t>Universitas Muhammadiyah Prof. DR. HAMKA, Indonesia. Email: nani_solihati@uhamka.ac.id</w:t>
      </w:r>
    </w:p>
    <w:p w14:paraId="39104E37" w14:textId="1FF66621" w:rsidR="00F24DDE" w:rsidRPr="00C809AD" w:rsidRDefault="00F24DDE" w:rsidP="00C75C39">
      <w:pPr>
        <w:spacing w:after="120" w:line="240" w:lineRule="exact" w:before="120"/>
        <w:rPr>
          <w:sz w:val="22"/>
          <w:szCs w:val="22"/>
          <w:lang w:val="vi-VN"/>
        </w:rPr>
      </w:pPr>
      <w:r>
        <w:rPr>
          <w:rFonts w:ascii="Times New Roman" w:hAnsi="Times New Roman"/>
          <w:b w:val="0"/>
          <w:i w:val="0"/>
          <w:sz w:val="22"/>
          <w:vertAlign w:val="superscript"/>
        </w:rPr>
        <w:t xml:space="preserve">3 </w:t>
      </w:r>
      <w:r>
        <w:rPr>
          <w:rFonts w:ascii="Times New Roman" w:hAnsi="Times New Roman"/>
          <w:b w:val="0"/>
          <w:i w:val="0"/>
          <w:sz w:val="22"/>
        </w:rPr>
        <w:t>Universitas Muhammadiyah Prof. DR. HAMKA, Indonesia. Email: siti.zulaiha@uhamka.ac.id</w:t>
      </w:r>
    </w:p>
    <w:p w14:paraId="1FF2260A" w14:textId="77D7E867" w:rsidR="00C809AD" w:rsidRPr="0089365B" w:rsidRDefault="0089365B" w:rsidP="00F24DDE">
      <w:pPr>
        <w:spacing w:before="120" w:after="120"/>
      </w:pPr>
      <w:r>
        <w:rPr>
          <w:rFonts w:ascii="Times New Roman" w:hAnsi="Times New Roman"/>
          <w:b w:val="0"/>
          <w:i w:val="0"/>
          <w:sz w:val="22"/>
        </w:rPr>
        <w:t>*Corresponding author’s email: nani_solihati@uhamka.ac.id</w:t>
      </w:r>
    </w:p>
    <w:p w14:paraId="41553132" w14:textId="42D0CE43" w:rsidR="00C809AD" w:rsidRPr="00562CE8" w:rsidRDefault="00C96A1B" w:rsidP="00F24DDE">
      <w:pPr>
        <w:spacing w:before="120" w:after="120"/>
        <w:rPr>
          <w:sz w:val="22"/>
          <w:szCs w:val="22"/>
        </w:rPr>
      </w:pPr>
      <w:r>
        <w:rPr>
          <w:rFonts w:ascii="Times New Roman" w:hAnsi="Times New Roman"/>
          <w:b w:val="0"/>
          <w:i w:val="0"/>
          <w:sz w:val="22"/>
        </w:rPr>
      </w:r>
    </w:p>
    <w:p w14:paraId="303075CC" w14:textId="5DAA78F9" w:rsidR="00F24DDE" w:rsidRPr="00562CE8" w:rsidRDefault="00F24DDE" w:rsidP="00F24DDE">
      <w:pPr>
        <w:spacing w:before="120" w:after="120"/>
        <w:rPr>
          <w:lang w:val="vi-VN"/>
        </w:rPr>
      </w:pPr>
      <w:r>
        <w:rPr>
          <w:rFonts w:ascii="Times New Roman" w:hAnsi="Times New Roman"/>
          <w:b w:val="0"/>
          <w:i w:val="0"/>
          <w:sz w:val="22"/>
        </w:rPr>
      </w:r>
    </w:p>
    <w:p w14:paraId="6FEFE223" w14:textId="78214497" w:rsidR="00AF0F98" w:rsidRPr="00C5010F" w:rsidRDefault="00AF0F98" w:rsidP="006C5352">
      <w:pPr>
        <w:tabs>
          <w:tab w:val="left" w:pos="2410"/>
          <w:tab w:val="left" w:pos="4820"/>
          <w:tab w:val="right" w:pos="9071"/>
        </w:tabs>
        <w:spacing w:before="120" w:after="120"/>
        <w:rPr>
          <w:rFonts w:eastAsia="Times New Roman"/>
          <w:kern w:val="0"/>
          <w:sz w:val="20"/>
          <w:szCs w:val="20"/>
          <w:lang w:eastAsia="en-US"/>
        </w:rPr>
      </w:pPr>
      <w:r>
        <w:rPr>
          <w:rFonts w:ascii="Times New Roman" w:hAnsi="Times New Roman"/>
          <w:b w:val="0"/>
          <w:i w:val="0"/>
          <w:sz w:val="20"/>
        </w:rPr>
      </w:r>
    </w:p>
    <w:tbl>
      <w:tblPr>
        <w:tblW w:w="9294" w:type="dxa"/>
        <w:tblCellMar>
          <w:top w:w="15" w:type="dxa"/>
        </w:tblCellMar>
        <w:tblLook w:val="04A0" w:firstRow="1" w:lastRow="0" w:firstColumn="1" w:lastColumn="0" w:noHBand="0" w:noVBand="1"/>
      </w:tblPr>
      <w:tblGrid>
        <w:gridCol w:w="2368"/>
        <w:gridCol w:w="6704"/>
        <w:gridCol w:w="222"/>
      </w:tblGrid>
      <w:tr w:rsidR="00D022F7" w:rsidRPr="00D022F7" w14:paraId="74BFD5D7" w14:textId="77777777" w:rsidTr="00D022F7">
        <w:trPr>
          <w:gridAfter w:val="1"/>
          <w:wAfter w:w="222" w:type="dxa"/>
          <w:trHeight w:val="330"/>
        </w:trPr>
        <w:tc>
          <w:tcPr>
            <w:tcW w:w="2368" w:type="dxa"/>
            <w:tcBorders>
              <w:top w:val="single" w:sz="4" w:space="0" w:color="auto"/>
              <w:left w:val="nil"/>
              <w:bottom w:val="single" w:sz="8" w:space="0" w:color="auto"/>
              <w:right w:val="nil"/>
            </w:tcBorders>
            <w:shd w:val="clear" w:color="auto" w:fill="auto"/>
            <w:vAlign w:val="center"/>
            <w:hideMark/>
          </w:tcPr>
          <w:p w14:paraId="24FED771" w14:textId="77777777" w:rsidR="00D022F7" w:rsidRPr="00D022F7" w:rsidRDefault="00D022F7" w:rsidP="00D022F7">
            <w:pPr>
              <w:widowControl/>
              <w:jc w:val="center"/>
              <w:rPr>
                <w:rFonts w:eastAsia="Times New Roman"/>
                <w:b/>
                <w:bCs/>
                <w:color w:val="000000"/>
                <w:kern w:val="0"/>
                <w:sz w:val="24"/>
                <w:lang w:eastAsia="en-US"/>
              </w:rPr>
            </w:pPr>
            <w:r w:rsidRPr="00D022F7">
              <w:rPr>
                <w:rFonts w:eastAsia="Times New Roman"/>
                <w:b/>
                <w:bCs/>
                <w:color w:val="000000"/>
                <w:kern w:val="0"/>
                <w:sz w:val="24"/>
                <w:lang w:eastAsia="en-US"/>
              </w:rPr>
              <w:t> </w:t>
            </w:r>
          </w:p>
        </w:tc>
        <w:tc>
          <w:tcPr>
            <w:tcW w:w="6704" w:type="dxa"/>
            <w:tcBorders>
              <w:top w:val="single" w:sz="4" w:space="0" w:color="auto"/>
              <w:left w:val="nil"/>
              <w:bottom w:val="single" w:sz="8" w:space="0" w:color="auto"/>
              <w:right w:val="nil"/>
            </w:tcBorders>
            <w:shd w:val="clear" w:color="auto" w:fill="auto"/>
            <w:vAlign w:val="center"/>
            <w:hideMark/>
          </w:tcPr>
          <w:p w14:paraId="5F9BBD73" w14:textId="77777777" w:rsidR="00D022F7" w:rsidRPr="00D022F7" w:rsidRDefault="00D022F7" w:rsidP="00D022F7">
            <w:pPr>
              <w:widowControl/>
              <w:jc w:val="center"/>
              <w:rPr>
                <w:rFonts w:eastAsia="Times New Roman"/>
                <w:b/>
                <w:bCs/>
                <w:color w:val="000000"/>
                <w:kern w:val="0"/>
                <w:sz w:val="24"/>
                <w:lang w:eastAsia="en-US"/>
              </w:rPr>
            </w:pPr>
            <w:r>
              <w:rPr>
                <w:rFonts w:ascii="Times New Roman" w:hAnsi="Times New Roman"/>
                <w:b/>
                <w:i w:val="0"/>
                <w:color w:val="ED7D31"/>
                <w:sz w:val="24"/>
              </w:rPr>
              <w:t>ABSTRACT</w:t>
            </w:r>
          </w:p>
        </w:tc>
      </w:tr>
      <w:tr w:rsidR="00D022F7" w:rsidRPr="00D022F7" w14:paraId="6D7A839E" w14:textId="77777777" w:rsidTr="00D022F7">
        <w:trPr>
          <w:gridAfter w:val="1"/>
          <w:wAfter w:w="222" w:type="dxa"/>
          <w:trHeight w:val="1080"/>
        </w:trPr>
        <w:tc>
          <w:tcPr>
            <w:tcW w:w="2368" w:type="dxa"/>
            <w:vMerge w:val="restart"/>
            <w:tcBorders>
              <w:top w:val="nil"/>
              <w:left w:val="nil"/>
              <w:bottom w:val="single" w:sz="8" w:space="0" w:color="000000"/>
              <w:right w:val="nil"/>
            </w:tcBorders>
            <w:shd w:val="clear" w:color="auto" w:fill="auto"/>
            <w:vAlign w:val="bottom"/>
            <w:hideMark/>
          </w:tcPr>
          <w:p w14:paraId="7E7B9CFA" w14:textId="77777777" w:rsidR="00D022F7" w:rsidRPr="00D022F7" w:rsidRDefault="00D022F7" w:rsidP="008255BE">
            <w:pPr>
              <w:widowControl/>
              <w:ind w:left="-105"/>
              <w:jc w:val="left"/>
              <w:rPr>
                <w:rFonts w:eastAsia="Times New Roman"/>
                <w:color w:val="000000"/>
                <w:kern w:val="0"/>
                <w:sz w:val="24"/>
                <w:lang w:eastAsia="en-US"/>
              </w:rPr>
            </w:pPr>
            <w:r>
              <w:rPr>
                <w:rFonts w:ascii="Times New Roman" w:hAnsi="Times New Roman"/>
                <w:b w:val="0"/>
                <w:i w:val="0"/>
                <w:sz w:val="24"/>
              </w:rPr>
              <w:t>Keywords: speaking performance, metacognitive awareness, microlearning, multimedia learning, explain-back production</w:t>
            </w:r>
          </w:p>
        </w:tc>
        <w:tc>
          <w:tcPr>
            <w:tcW w:w="6704" w:type="dxa"/>
            <w:vMerge w:val="restart"/>
            <w:tcBorders>
              <w:top w:val="nil"/>
              <w:left w:val="nil"/>
              <w:bottom w:val="single" w:sz="8" w:space="0" w:color="000000"/>
              <w:right w:val="nil"/>
            </w:tcBorders>
            <w:shd w:val="clear" w:color="auto" w:fill="auto"/>
            <w:hideMark/>
          </w:tcPr>
          <w:p>
            <w:pPr>
              <w:jc w:val="both"/>
            </w:pPr>
            <w:r/>
            <w:r>
              <w:rPr>
                <w:rFonts w:ascii="Times New Roman" w:hAnsi="Times New Roman"/>
                <w:b w:val="0"/>
                <w:i w:val="0"/>
                <w:sz w:val="24"/>
              </w:rPr>
              <w:t>This mixed-methods quasi-experimental study evaluated Bicaranta, a browser-based platform organizing speaking practice through segmented input, explain-back production, self-recording, replay, and revision. Two intact Indonesian university classes participated (Bicaranta, n = 40; regular instruction, n = 37). Speaking performance and metacognitive awareness were measured before and after the intervention, with posttest outcomes analyzed using baseline-adjusted models. Students in the Bicaranta class showed higher adjusted posttest speaking performance (adjusted difference = 3.32, 95% CI [1.29, 5.34], p = .002) and metacognitive awareness (adjusted difference = 4.14, 95% CI [0.40, 7.88], p = .030). Post-use responses indicated that learners valued repeated explanation and self-playback, while navigation, connectivity, and recording stability constrained implementation. Learners described greater attention to planning, monitoring, and revision. Because treatment was assigned by intact class and some control-class exposure may have occurred, the findings represent a comparative classroom effect rather than a definitive causal estimate. The study highlights a reflective CALL practice cycle whose pedagogical value depends on both task design and implementation reliability.</w:t>
            </w:r>
          </w:p>
        </w:tc>
      </w:tr>
      <w:tr w:rsidR="00D022F7" w:rsidRPr="00D022F7" w14:paraId="7EA6A3AD" w14:textId="77777777" w:rsidTr="00D022F7">
        <w:trPr>
          <w:trHeight w:val="300"/>
        </w:trPr>
        <w:tc>
          <w:tcPr>
            <w:tcW w:w="2368" w:type="dxa"/>
            <w:vMerge/>
            <w:tcBorders>
              <w:top w:val="nil"/>
              <w:left w:val="nil"/>
              <w:bottom w:val="single" w:sz="8" w:space="0" w:color="000000"/>
              <w:right w:val="nil"/>
            </w:tcBorders>
            <w:vAlign w:val="center"/>
            <w:hideMark/>
          </w:tcPr>
          <w:p w14:paraId="10182BF4"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0A5AE452"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5BF5C580" w14:textId="77777777" w:rsidR="00D022F7" w:rsidRPr="00D022F7" w:rsidRDefault="00D022F7" w:rsidP="00D022F7">
            <w:pPr>
              <w:widowControl/>
              <w:jc w:val="left"/>
              <w:rPr>
                <w:rFonts w:eastAsia="Times New Roman"/>
                <w:color w:val="000000"/>
                <w:kern w:val="0"/>
                <w:sz w:val="24"/>
                <w:lang w:eastAsia="en-US"/>
              </w:rPr>
            </w:pPr>
          </w:p>
        </w:tc>
      </w:tr>
      <w:tr w:rsidR="00D022F7" w:rsidRPr="00D022F7" w14:paraId="1F1D98A6" w14:textId="77777777" w:rsidTr="00D022F7">
        <w:trPr>
          <w:trHeight w:val="300"/>
        </w:trPr>
        <w:tc>
          <w:tcPr>
            <w:tcW w:w="2368" w:type="dxa"/>
            <w:vMerge/>
            <w:tcBorders>
              <w:top w:val="nil"/>
              <w:left w:val="nil"/>
              <w:bottom w:val="single" w:sz="8" w:space="0" w:color="000000"/>
              <w:right w:val="nil"/>
            </w:tcBorders>
            <w:vAlign w:val="center"/>
            <w:hideMark/>
          </w:tcPr>
          <w:p w14:paraId="59E21E6E"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52B64218"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35126E48"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20857C3E" w14:textId="77777777" w:rsidTr="00D022F7">
        <w:trPr>
          <w:trHeight w:val="300"/>
        </w:trPr>
        <w:tc>
          <w:tcPr>
            <w:tcW w:w="2368" w:type="dxa"/>
            <w:vMerge/>
            <w:tcBorders>
              <w:top w:val="nil"/>
              <w:left w:val="nil"/>
              <w:bottom w:val="single" w:sz="8" w:space="0" w:color="000000"/>
              <w:right w:val="nil"/>
            </w:tcBorders>
            <w:vAlign w:val="center"/>
            <w:hideMark/>
          </w:tcPr>
          <w:p w14:paraId="4D75DFA3"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3E11470F"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37DFD1EE"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2DB69D70" w14:textId="77777777" w:rsidTr="00D022F7">
        <w:trPr>
          <w:trHeight w:val="300"/>
        </w:trPr>
        <w:tc>
          <w:tcPr>
            <w:tcW w:w="2368" w:type="dxa"/>
            <w:vMerge/>
            <w:tcBorders>
              <w:top w:val="nil"/>
              <w:left w:val="nil"/>
              <w:bottom w:val="single" w:sz="8" w:space="0" w:color="000000"/>
              <w:right w:val="nil"/>
            </w:tcBorders>
            <w:vAlign w:val="center"/>
            <w:hideMark/>
          </w:tcPr>
          <w:p w14:paraId="3BFC15C3"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50DBBF5E"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194957B6"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15500C56" w14:textId="77777777" w:rsidTr="00D022F7">
        <w:trPr>
          <w:trHeight w:val="300"/>
        </w:trPr>
        <w:tc>
          <w:tcPr>
            <w:tcW w:w="2368" w:type="dxa"/>
            <w:vMerge/>
            <w:tcBorders>
              <w:top w:val="nil"/>
              <w:left w:val="nil"/>
              <w:bottom w:val="single" w:sz="8" w:space="0" w:color="000000"/>
              <w:right w:val="nil"/>
            </w:tcBorders>
            <w:vAlign w:val="center"/>
            <w:hideMark/>
          </w:tcPr>
          <w:p w14:paraId="51C28DA1"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2FC03F51"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7D49DA7E"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0A34B45E" w14:textId="77777777" w:rsidTr="00D022F7">
        <w:trPr>
          <w:trHeight w:val="300"/>
        </w:trPr>
        <w:tc>
          <w:tcPr>
            <w:tcW w:w="2368" w:type="dxa"/>
            <w:vMerge/>
            <w:tcBorders>
              <w:top w:val="nil"/>
              <w:left w:val="nil"/>
              <w:bottom w:val="single" w:sz="8" w:space="0" w:color="000000"/>
              <w:right w:val="nil"/>
            </w:tcBorders>
            <w:vAlign w:val="center"/>
            <w:hideMark/>
          </w:tcPr>
          <w:p w14:paraId="3AF5FCC2"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09EE7D31"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1D4564B2"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34386232" w14:textId="77777777" w:rsidTr="00D022F7">
        <w:trPr>
          <w:trHeight w:val="300"/>
        </w:trPr>
        <w:tc>
          <w:tcPr>
            <w:tcW w:w="2368" w:type="dxa"/>
            <w:vMerge/>
            <w:tcBorders>
              <w:top w:val="nil"/>
              <w:left w:val="nil"/>
              <w:bottom w:val="single" w:sz="8" w:space="0" w:color="000000"/>
              <w:right w:val="nil"/>
            </w:tcBorders>
            <w:vAlign w:val="center"/>
            <w:hideMark/>
          </w:tcPr>
          <w:p w14:paraId="22F83A5D"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27E3CED0"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6981D0E9" w14:textId="77777777" w:rsidR="00D022F7" w:rsidRPr="00D022F7" w:rsidRDefault="00D022F7" w:rsidP="00D022F7">
            <w:pPr>
              <w:widowControl/>
              <w:jc w:val="left"/>
              <w:rPr>
                <w:rFonts w:eastAsia="Times New Roman"/>
                <w:kern w:val="0"/>
                <w:sz w:val="20"/>
                <w:szCs w:val="20"/>
                <w:lang w:eastAsia="en-US"/>
              </w:rPr>
            </w:pPr>
          </w:p>
        </w:tc>
      </w:tr>
      <w:tr w:rsidR="00D022F7" w:rsidRPr="00D022F7" w14:paraId="16C92076" w14:textId="77777777" w:rsidTr="00D022F7">
        <w:trPr>
          <w:trHeight w:val="315"/>
        </w:trPr>
        <w:tc>
          <w:tcPr>
            <w:tcW w:w="2368" w:type="dxa"/>
            <w:vMerge/>
            <w:tcBorders>
              <w:top w:val="nil"/>
              <w:left w:val="nil"/>
              <w:bottom w:val="single" w:sz="8" w:space="0" w:color="000000"/>
              <w:right w:val="nil"/>
            </w:tcBorders>
            <w:vAlign w:val="center"/>
            <w:hideMark/>
          </w:tcPr>
          <w:p w14:paraId="721BF30D" w14:textId="77777777" w:rsidR="00D022F7" w:rsidRPr="00D022F7" w:rsidRDefault="00D022F7" w:rsidP="00D022F7">
            <w:pPr>
              <w:widowControl/>
              <w:jc w:val="left"/>
              <w:rPr>
                <w:rFonts w:eastAsia="Times New Roman"/>
                <w:color w:val="000000"/>
                <w:kern w:val="0"/>
                <w:sz w:val="24"/>
                <w:lang w:eastAsia="en-US"/>
              </w:rPr>
            </w:pPr>
          </w:p>
        </w:tc>
        <w:tc>
          <w:tcPr>
            <w:tcW w:w="6704" w:type="dxa"/>
            <w:vMerge/>
            <w:tcBorders>
              <w:top w:val="nil"/>
              <w:left w:val="nil"/>
              <w:bottom w:val="single" w:sz="8" w:space="0" w:color="000000"/>
              <w:right w:val="nil"/>
            </w:tcBorders>
            <w:vAlign w:val="center"/>
            <w:hideMark/>
          </w:tcPr>
          <w:p w14:paraId="3548203A" w14:textId="77777777" w:rsidR="00D022F7" w:rsidRPr="00D022F7" w:rsidRDefault="00D022F7" w:rsidP="00D022F7">
            <w:pPr>
              <w:widowControl/>
              <w:jc w:val="left"/>
              <w:rPr>
                <w:rFonts w:eastAsia="Times New Roman"/>
                <w:color w:val="000000"/>
                <w:kern w:val="0"/>
                <w:sz w:val="24"/>
                <w:lang w:eastAsia="en-US"/>
              </w:rPr>
            </w:pPr>
          </w:p>
        </w:tc>
        <w:tc>
          <w:tcPr>
            <w:tcW w:w="222" w:type="dxa"/>
            <w:tcBorders>
              <w:top w:val="nil"/>
              <w:left w:val="nil"/>
              <w:bottom w:val="nil"/>
              <w:right w:val="nil"/>
            </w:tcBorders>
            <w:shd w:val="clear" w:color="auto" w:fill="auto"/>
            <w:noWrap/>
            <w:vAlign w:val="bottom"/>
            <w:hideMark/>
          </w:tcPr>
          <w:p w14:paraId="2B091721" w14:textId="77777777" w:rsidR="00D022F7" w:rsidRPr="00D022F7" w:rsidRDefault="00D022F7" w:rsidP="00D022F7">
            <w:pPr>
              <w:widowControl/>
              <w:jc w:val="left"/>
              <w:rPr>
                <w:rFonts w:eastAsia="Times New Roman"/>
                <w:kern w:val="0"/>
                <w:sz w:val="20"/>
                <w:szCs w:val="20"/>
                <w:lang w:eastAsia="en-US"/>
              </w:rPr>
            </w:pPr>
          </w:p>
        </w:tc>
      </w:tr>
    </w:tbl>
    <w:p w14:paraId="456319F1" w14:textId="271464AA" w:rsidR="00D022F7" w:rsidRDefault="00D022F7" w:rsidP="006C5352">
      <w:pPr>
        <w:tabs>
          <w:tab w:val="left" w:pos="2410"/>
          <w:tab w:val="left" w:pos="4820"/>
          <w:tab w:val="right" w:pos="9071"/>
        </w:tabs>
        <w:rPr>
          <w:sz w:val="20"/>
          <w:szCs w:val="20"/>
          <w:lang w:val="vi-VN"/>
        </w:rPr>
      </w:pPr>
    </w:p>
    <w:p>
      <w:pPr>
        <w:pStyle w:val="Heading1"/>
        <w:spacing w:before="120" w:after="120" w:line="240" w:lineRule="auto"/>
      </w:pPr>
      <w:r>
        <w:rPr>
          <w:color w:val="ED7D31"/>
          <w:sz w:val="26"/>
        </w:rPr>
        <w:t>Introduction</w:t>
      </w:r>
    </w:p>
    <w:p>
      <w:pPr>
        <w:spacing w:before="120" w:after="120"/>
      </w:pPr>
      <w:r>
        <w:rPr>
          <w:rFonts w:ascii="Times New Roman" w:hAnsi="Times New Roman"/>
          <w:b w:val="0"/>
          <w:i w:val="0"/>
          <w:sz w:val="24"/>
        </w:rPr>
        <w:t>Academic speaking occupies a central place in higher education because students are increasingly expected to explain concepts, present arguments, and respond to audiences in ways that show both disciplinary understanding and communicative control. In speaking-oriented courses, performance is therefore not limited to fluency or surface accuracy. It also depends on whether learners can organize ideas, adapt explanations, monitor delivery, and revise their own performance. For that reason, academic speaking is better understood as a regulated explanatory act than as a purely oral product.</w:t>
      </w:r>
    </w:p>
    <w:p>
      <w:pPr>
        <w:spacing w:before="120" w:after="120"/>
      </w:pPr>
      <w:r>
        <w:rPr>
          <w:rFonts w:ascii="Times New Roman" w:hAnsi="Times New Roman"/>
          <w:b w:val="0"/>
          <w:i w:val="0"/>
          <w:sz w:val="24"/>
        </w:rPr>
        <w:t>The instructional problem is that many speaking classrooms still privilege final performance over the thinking that produces performance. Students may be asked to present, summarize, or defend ideas, but the learning process itself often gives limited support for rehearsal, replay, self-observation, and guided revision. When that happens, students may know the content yet still struggle to structure it, explain it simply, or recognize why a presentation succeeds or fails. The result is a recurrent gap between classroom speaking tasks and the metacognitive processes needed to improve them.</w:t>
      </w:r>
    </w:p>
    <w:p>
      <w:pPr>
        <w:spacing w:before="120" w:after="120"/>
      </w:pPr>
      <w:r>
        <w:rPr>
          <w:rFonts w:ascii="Times New Roman" w:hAnsi="Times New Roman"/>
          <w:b w:val="0"/>
          <w:i w:val="0"/>
          <w:sz w:val="24"/>
        </w:rPr>
        <w:t xml:space="preserve">Technology has often been introduced as a solution to this problem, and prior research gives good reasons for taking that route seriously. </w:t>
      </w:r>
      <w:hyperlink w:anchor="ref_Mahdi_2022" w:history="1">
        <w:r>
          <w:rPr>
            <w:rFonts w:ascii="Times New Roman" w:hAnsi="Times New Roman"/>
            <w:u w:val="none"/>
            <w:sz w:val="24"/>
            <w:szCs w:val="24"/>
          </w:rPr>
          <w:t>Mahdi (2022)</w:t>
        </w:r>
      </w:hyperlink>
      <w:r>
        <w:rPr>
          <w:rFonts w:ascii="Times New Roman" w:hAnsi="Times New Roman"/>
          <w:b w:val="0"/>
          <w:i w:val="0"/>
          <w:sz w:val="24"/>
        </w:rPr>
        <w:t xml:space="preserve"> showed that an interactive multimedia environment positively affected speaking and presentation performance among non-native speakers of English. CALL-EJ studies have reported similar benefits in relation to speaking complexity, academic speaking, presentation anxiety, and oral self-efficacy </w:t>
      </w:r>
      <w:r>
        <w:rPr>
          <w:rFonts w:ascii="Times New Roman" w:hAnsi="Times New Roman"/>
          <w:b w:val="0"/>
          <w:i w:val="0"/>
          <w:sz w:val="24"/>
        </w:rPr>
        <w:t>(</w:t>
      </w:r>
      <w:hyperlink w:anchor="ref_Ha_2024" w:history="1">
        <w:r>
          <w:rPr>
            <w:rFonts w:ascii="Times New Roman" w:hAnsi="Times New Roman"/>
            <w:u w:val="none"/>
            <w:sz w:val="24"/>
            <w:szCs w:val="24"/>
          </w:rPr>
          <w:t>Ha, 2024</w:t>
        </w:r>
      </w:hyperlink>
      <w:r>
        <w:rPr>
          <w:rFonts w:ascii="Times New Roman" w:hAnsi="Times New Roman"/>
          <w:b w:val="0"/>
          <w:i w:val="0"/>
          <w:sz w:val="24"/>
        </w:rPr>
        <w:t xml:space="preserve">; </w:t>
      </w:r>
      <w:hyperlink w:anchor="ref_Mathur_2022" w:history="1">
        <w:r>
          <w:rPr>
            <w:rFonts w:ascii="Times New Roman" w:hAnsi="Times New Roman"/>
            <w:u w:val="none"/>
            <w:sz w:val="24"/>
            <w:szCs w:val="24"/>
          </w:rPr>
          <w:t>Mathur &amp; Mahapatra, 2022</w:t>
        </w:r>
      </w:hyperlink>
      <w:r>
        <w:rPr>
          <w:rFonts w:ascii="Times New Roman" w:hAnsi="Times New Roman"/>
          <w:b w:val="0"/>
          <w:i w:val="0"/>
          <w:sz w:val="24"/>
        </w:rPr>
        <w:t xml:space="preserve">; </w:t>
      </w:r>
      <w:hyperlink w:anchor="ref_Mohammad_2024" w:history="1">
        <w:r>
          <w:rPr>
            <w:rFonts w:ascii="Times New Roman" w:hAnsi="Times New Roman"/>
            <w:u w:val="none"/>
            <w:sz w:val="24"/>
            <w:szCs w:val="24"/>
          </w:rPr>
          <w:t>Mohammad et al., 2024</w:t>
        </w:r>
      </w:hyperlink>
      <w:r>
        <w:rPr>
          <w:rFonts w:ascii="Times New Roman" w:hAnsi="Times New Roman"/>
          <w:b w:val="0"/>
          <w:i w:val="0"/>
          <w:sz w:val="24"/>
        </w:rPr>
        <w:t xml:space="preserve">; </w:t>
      </w:r>
      <w:hyperlink w:anchor="ref_Nasri_2022" w:history="1">
        <w:r>
          <w:rPr>
            <w:rFonts w:ascii="Times New Roman" w:hAnsi="Times New Roman"/>
            <w:u w:val="none"/>
            <w:sz w:val="24"/>
            <w:szCs w:val="24"/>
          </w:rPr>
          <w:t>Nasri et al., 2022</w:t>
        </w:r>
      </w:hyperlink>
      <w:r>
        <w:rPr>
          <w:rFonts w:ascii="Times New Roman" w:hAnsi="Times New Roman"/>
          <w:b w:val="0"/>
          <w:i w:val="0"/>
          <w:sz w:val="24"/>
        </w:rPr>
        <w:t>)</w:t>
      </w:r>
      <w:r>
        <w:rPr>
          <w:rFonts w:ascii="Times New Roman" w:hAnsi="Times New Roman"/>
          <w:b w:val="0"/>
          <w:i w:val="0"/>
          <w:sz w:val="24"/>
        </w:rPr>
        <w:t>. Existing studies provide substantial evidence that technology-mediated speaking tasks can support oral performance, but the present study focuses more narrowly on a repeatable practice sequence in which segmented input is followed by explain-back production, self-playback, and revision. The empirical question is whether this sequence is associated with stronger classroom outcome patterns and whether learners report the regulatory processes the sequence is designed to elicit.</w:t>
      </w:r>
    </w:p>
    <w:p>
      <w:pPr>
        <w:spacing w:before="120" w:after="120"/>
      </w:pPr>
      <w:r>
        <w:rPr>
          <w:rFonts w:ascii="Times New Roman" w:hAnsi="Times New Roman"/>
          <w:b w:val="0"/>
          <w:i w:val="0"/>
          <w:sz w:val="24"/>
        </w:rPr>
        <w:t>The present study addresses that design question through Bicaranta, a web-based multimedia platform that combines microlearning, explain-back prompts, self-recording, playback, and reflection activities. The platform is grounded in a simple instructional proposition: speaking development should improve when learners move through short conceptual units, explain the content in their own words, listen to themselves, identify gaps, and try again. In theoretical terms, this proposition draws on cognitive multimedia principles, generative learning, and self-regulated learning rather than on technology novelty alone.</w:t>
      </w:r>
    </w:p>
    <w:p>
      <w:pPr>
        <w:spacing w:before="120" w:after="120"/>
      </w:pPr>
      <w:r>
        <w:rPr>
          <w:rFonts w:ascii="Times New Roman" w:hAnsi="Times New Roman"/>
          <w:b w:val="0"/>
          <w:i w:val="0"/>
          <w:sz w:val="24"/>
        </w:rPr>
        <w:t>The contribution of the study lies not in multimedia use itself, but in evaluating a specific CALL practice architecture that combines segmentation, explain-back production, self-recording, replay, and revision while examining both speaking performance and speaking-related self-regulation. This mechanism-oriented framing distinguishes the intervention from studies that evaluate digital access or final oral performance alone. Accordingly, the purpose of the study was to evaluate whether the Bicaranta practice cycle was associated with a stronger outcome pattern than regular instruction while also examining whether students reported greater awareness of how they plan, monitor, and evaluate their speaking.</w:t>
      </w:r>
    </w:p>
    <w:p>
      <w:pPr>
        <w:spacing w:before="120" w:after="120"/>
      </w:pPr>
      <w:r>
        <w:rPr>
          <w:rFonts w:ascii="Times New Roman" w:hAnsi="Times New Roman"/>
          <w:b w:val="0"/>
          <w:i w:val="0"/>
          <w:sz w:val="24"/>
        </w:rPr>
        <w:t>The study therefore asks four questions:</w:t>
      </w:r>
    </w:p>
    <w:p>
      <w:pPr>
        <w:pStyle w:val="ListParagraph"/>
        <w:spacing w:before="120" w:after="120"/>
      </w:pPr>
      <w:r>
        <w:rPr>
          <w:rFonts w:ascii="Times New Roman" w:hAnsi="Times New Roman"/>
          <w:b w:val="0"/>
          <w:i w:val="0"/>
          <w:sz w:val="24"/>
        </w:rPr>
        <w:t>1. To what extent did pre-to-post speaking performance differ between students in the Bicaranta class and those receiving regular instruction after accounting for baseline performance?</w:t>
      </w:r>
    </w:p>
    <w:p>
      <w:pPr>
        <w:pStyle w:val="ListParagraph"/>
        <w:spacing w:before="120" w:after="120"/>
      </w:pPr>
      <w:r>
        <w:rPr>
          <w:rFonts w:ascii="Times New Roman" w:hAnsi="Times New Roman"/>
          <w:b w:val="0"/>
          <w:i w:val="0"/>
          <w:sz w:val="24"/>
        </w:rPr>
        <w:t>2. To what extent did pre-to-post metacognitive-awareness scores differ between the two classes after accounting for baseline scores?</w:t>
      </w:r>
    </w:p>
    <w:p>
      <w:pPr>
        <w:pStyle w:val="ListParagraph"/>
        <w:spacing w:before="120" w:after="120"/>
      </w:pPr>
      <w:r>
        <w:rPr>
          <w:rFonts w:ascii="Times New Roman" w:hAnsi="Times New Roman"/>
          <w:b w:val="0"/>
          <w:i w:val="0"/>
          <w:sz w:val="24"/>
        </w:rPr>
        <w:t>3. How did students in the Bicaranta class perceive the platform's pedagogical usefulness and usability?</w:t>
      </w:r>
    </w:p>
    <w:p>
      <w:pPr>
        <w:pStyle w:val="ListParagraph"/>
        <w:spacing w:before="120" w:after="120"/>
      </w:pPr>
      <w:r>
        <w:rPr>
          <w:rFonts w:ascii="Times New Roman" w:hAnsi="Times New Roman"/>
          <w:b w:val="0"/>
          <w:i w:val="0"/>
          <w:sz w:val="24"/>
        </w:rPr>
        <w:t>4. What learner-reported processes and implementation challenges help interpret the quantitative outcome patterns?</w:t>
      </w:r>
    </w:p>
    <w:p>
      <w:pPr>
        <w:pStyle w:val="Heading1"/>
        <w:spacing w:before="120" w:after="120" w:line="240" w:lineRule="auto"/>
      </w:pPr>
      <w:r>
        <w:rPr>
          <w:color w:val="ED7D31"/>
          <w:sz w:val="26"/>
        </w:rPr>
        <w:t>Literature Review</w:t>
      </w:r>
    </w:p>
    <w:p>
      <w:pPr>
        <w:pStyle w:val="Heading2"/>
        <w:spacing w:before="120" w:after="120" w:line="240" w:lineRule="auto"/>
      </w:pPr>
      <w:r>
        <w:rPr>
          <w:color w:val="4472C4"/>
          <w:sz w:val="24"/>
        </w:rPr>
        <w:t>Academic speaking as a regulated explanatory act</w:t>
      </w:r>
    </w:p>
    <w:p>
      <w:pPr>
        <w:spacing w:before="120" w:after="120"/>
      </w:pPr>
      <w:r>
        <w:rPr>
          <w:rFonts w:ascii="Times New Roman" w:hAnsi="Times New Roman"/>
          <w:b w:val="0"/>
          <w:i w:val="0"/>
          <w:sz w:val="24"/>
        </w:rPr>
        <w:t xml:space="preserve">Academic speaking in higher education is not simply a matter of speaking more fluently. It requires learners to externalize knowledge in ways that are coherent, audience-aware, and strategically organized. </w:t>
      </w:r>
      <w:hyperlink w:anchor="ref_Goh_2024" w:history="1">
        <w:r>
          <w:rPr>
            <w:rFonts w:ascii="Times New Roman" w:hAnsi="Times New Roman"/>
            <w:u w:val="none"/>
            <w:sz w:val="24"/>
            <w:szCs w:val="24"/>
          </w:rPr>
          <w:t>Goh and Liu (2024)</w:t>
        </w:r>
      </w:hyperlink>
      <w:r>
        <w:rPr>
          <w:rFonts w:ascii="Times New Roman" w:hAnsi="Times New Roman"/>
          <w:b w:val="0"/>
          <w:i w:val="0"/>
          <w:sz w:val="24"/>
        </w:rPr>
        <w:t xml:space="preserve"> describe confident speaking as a process that depends not only on linguistic resources, but also on how learners prepare, monitor, and evaluate their oral performance. This view is especially relevant to academic and presentation-oriented speaking, where students must explain ideas rather than merely produce language spontaneously. </w:t>
      </w:r>
      <w:hyperlink w:anchor="ref_Leong_2017" w:history="1">
        <w:r>
          <w:rPr>
            <w:rFonts w:ascii="Times New Roman" w:hAnsi="Times New Roman"/>
            <w:u w:val="none"/>
            <w:sz w:val="24"/>
            <w:szCs w:val="24"/>
          </w:rPr>
          <w:t>Leong and Ahmadi (2017)</w:t>
        </w:r>
      </w:hyperlink>
      <w:r>
        <w:rPr>
          <w:rFonts w:ascii="Times New Roman" w:hAnsi="Times New Roman"/>
          <w:b w:val="0"/>
          <w:i w:val="0"/>
          <w:sz w:val="24"/>
        </w:rPr>
        <w:t xml:space="preserve"> similarly note that speaking performance is shaped by multiple interacting factors, including linguistic control, confidence, and classroom conditions. In presentation-oriented settings, anxiety is also consequential; </w:t>
      </w:r>
      <w:hyperlink w:anchor="ref_Tsang_2025" w:history="1">
        <w:r>
          <w:rPr>
            <w:rFonts w:ascii="Times New Roman" w:hAnsi="Times New Roman"/>
            <w:u w:val="none"/>
            <w:sz w:val="24"/>
            <w:szCs w:val="24"/>
          </w:rPr>
          <w:t>Tsang (2025)</w:t>
        </w:r>
      </w:hyperlink>
      <w:r>
        <w:rPr>
          <w:rFonts w:ascii="Times New Roman" w:hAnsi="Times New Roman"/>
          <w:b w:val="0"/>
          <w:i w:val="0"/>
          <w:sz w:val="24"/>
        </w:rPr>
        <w:t xml:space="preserve"> found that oral-presentation anxiety is meaningfully related to learners' self-perceived pronunciation and speaking proficiency.</w:t>
      </w:r>
    </w:p>
    <w:p>
      <w:pPr>
        <w:spacing w:before="120" w:after="120"/>
      </w:pPr>
      <w:r>
        <w:rPr>
          <w:rFonts w:ascii="Times New Roman" w:hAnsi="Times New Roman"/>
          <w:b w:val="0"/>
          <w:i w:val="0"/>
          <w:sz w:val="24"/>
        </w:rPr>
        <w:t xml:space="preserve">From this perspective, metacognitive regulation becomes central. </w:t>
      </w:r>
      <w:hyperlink w:anchor="ref_Zimmerman_2002" w:history="1">
        <w:r>
          <w:rPr>
            <w:rFonts w:ascii="Times New Roman" w:hAnsi="Times New Roman"/>
            <w:u w:val="none"/>
            <w:sz w:val="24"/>
            <w:szCs w:val="24"/>
          </w:rPr>
          <w:t>Zimmerman (2002)</w:t>
        </w:r>
      </w:hyperlink>
      <w:r>
        <w:rPr>
          <w:rFonts w:ascii="Times New Roman" w:hAnsi="Times New Roman"/>
          <w:b w:val="0"/>
          <w:i w:val="0"/>
          <w:sz w:val="24"/>
        </w:rPr>
        <w:t xml:space="preserve"> characterizes self-regulated learning as a cyclical process involving forethought, performance control, and self-reflection. In speaking tasks, these processes appear as planning before performance, monitoring during delivery, and evaluation after the task. </w:t>
      </w:r>
      <w:hyperlink w:anchor="ref_Sabnani_2022" w:history="1">
        <w:r>
          <w:rPr>
            <w:rFonts w:ascii="Times New Roman" w:hAnsi="Times New Roman"/>
            <w:u w:val="none"/>
            <w:sz w:val="24"/>
            <w:szCs w:val="24"/>
          </w:rPr>
          <w:t>Sabnani and Goh (2022)</w:t>
        </w:r>
      </w:hyperlink>
      <w:r>
        <w:rPr>
          <w:rFonts w:ascii="Times New Roman" w:hAnsi="Times New Roman"/>
          <w:b w:val="0"/>
          <w:i w:val="0"/>
          <w:sz w:val="24"/>
        </w:rPr>
        <w:t xml:space="preserve"> showed that metacognitive awareness for speaking can be developed deliberately, while </w:t>
      </w:r>
      <w:hyperlink w:anchor="ref_Sulistyowati_2022" w:history="1">
        <w:r>
          <w:rPr>
            <w:rFonts w:ascii="Times New Roman" w:hAnsi="Times New Roman"/>
            <w:u w:val="none"/>
            <w:sz w:val="24"/>
            <w:szCs w:val="24"/>
          </w:rPr>
          <w:t>Sulistyowati et al. (2022)</w:t>
        </w:r>
      </w:hyperlink>
      <w:r>
        <w:rPr>
          <w:rFonts w:ascii="Times New Roman" w:hAnsi="Times New Roman"/>
          <w:b w:val="0"/>
          <w:i w:val="0"/>
          <w:sz w:val="24"/>
        </w:rPr>
        <w:t xml:space="preserve"> proposed a speaking-specific metacognitive instrument that differentiates dimensions of speaking-related self-regulation. </w:t>
      </w:r>
      <w:hyperlink w:anchor="ref_Zhang_2022" w:history="1">
        <w:r>
          <w:rPr>
            <w:rFonts w:ascii="Times New Roman" w:hAnsi="Times New Roman"/>
            <w:u w:val="none"/>
            <w:sz w:val="24"/>
            <w:szCs w:val="24"/>
          </w:rPr>
          <w:t>Zhang et al. (2022)</w:t>
        </w:r>
      </w:hyperlink>
      <w:r>
        <w:rPr>
          <w:rFonts w:ascii="Times New Roman" w:hAnsi="Times New Roman"/>
          <w:b w:val="0"/>
          <w:i w:val="0"/>
          <w:sz w:val="24"/>
        </w:rPr>
        <w:t xml:space="preserve"> likewise found that differences in metacognitive strategy use are meaningfully related to integrated L2 speaking performance.</w:t>
      </w:r>
    </w:p>
    <w:p>
      <w:pPr>
        <w:spacing w:before="120" w:after="120"/>
      </w:pPr>
      <w:r>
        <w:rPr>
          <w:rFonts w:ascii="Times New Roman" w:hAnsi="Times New Roman"/>
          <w:b w:val="0"/>
          <w:i w:val="0"/>
          <w:sz w:val="24"/>
        </w:rPr>
        <w:t>The implication is clear: if speaking instruction focuses only on visible delivery, it risks under-teaching the internal regulation that allows learners to improve. This issue is one reason the present study treats metacognitive awareness as a substantive outcome rather than a peripheral explanatory variable.</w:t>
      </w:r>
    </w:p>
    <w:p>
      <w:pPr>
        <w:pStyle w:val="Heading2"/>
        <w:spacing w:before="120" w:after="120" w:line="240" w:lineRule="auto"/>
      </w:pPr>
      <w:r>
        <w:rPr>
          <w:color w:val="4472C4"/>
          <w:sz w:val="24"/>
        </w:rPr>
        <w:t>Multimedia, microlearning, and repeated speaking practice</w:t>
      </w:r>
    </w:p>
    <w:p>
      <w:pPr>
        <w:spacing w:before="120" w:after="120"/>
      </w:pPr>
      <w:r>
        <w:rPr>
          <w:rFonts w:ascii="Times New Roman" w:hAnsi="Times New Roman"/>
          <w:b w:val="0"/>
          <w:i w:val="0"/>
          <w:sz w:val="24"/>
        </w:rPr>
        <w:t xml:space="preserve">The promise of multimedia for speaking development is already well established, but the strongest evidence usually comes from designs that require learners to do something cognitively productive with the technology. </w:t>
      </w:r>
      <w:hyperlink w:anchor="ref_Mahdi_2022" w:history="1">
        <w:r>
          <w:rPr>
            <w:rFonts w:ascii="Times New Roman" w:hAnsi="Times New Roman"/>
            <w:u w:val="none"/>
            <w:sz w:val="24"/>
            <w:szCs w:val="24"/>
          </w:rPr>
          <w:t>Mahdi (2022)</w:t>
        </w:r>
      </w:hyperlink>
      <w:r>
        <w:rPr>
          <w:rFonts w:ascii="Times New Roman" w:hAnsi="Times New Roman"/>
          <w:b w:val="0"/>
          <w:i w:val="0"/>
          <w:sz w:val="24"/>
        </w:rPr>
        <w:t xml:space="preserve"> reported that an interactive multimedia environment improved speaking and presentation performance. </w:t>
      </w:r>
      <w:hyperlink w:anchor="ref_Bajrami_2016" w:history="1">
        <w:r>
          <w:rPr>
            <w:rFonts w:ascii="Times New Roman" w:hAnsi="Times New Roman"/>
            <w:u w:val="none"/>
            <w:sz w:val="24"/>
            <w:szCs w:val="24"/>
          </w:rPr>
          <w:t>Bajrami and Ismaili (2016)</w:t>
        </w:r>
      </w:hyperlink>
      <w:r>
        <w:rPr>
          <w:rFonts w:ascii="Times New Roman" w:hAnsi="Times New Roman"/>
          <w:b w:val="0"/>
          <w:i w:val="0"/>
          <w:sz w:val="24"/>
        </w:rPr>
        <w:t xml:space="preserve"> argued that video-rich materials can enhance engagement and oral participation, while </w:t>
      </w:r>
      <w:hyperlink w:anchor="ref_Hafour_2024" w:history="1">
        <w:r>
          <w:rPr>
            <w:rFonts w:ascii="Times New Roman" w:hAnsi="Times New Roman"/>
            <w:u w:val="none"/>
            <w:sz w:val="24"/>
            <w:szCs w:val="24"/>
          </w:rPr>
          <w:t>Hafour (2024)</w:t>
        </w:r>
      </w:hyperlink>
      <w:r>
        <w:rPr>
          <w:rFonts w:ascii="Times New Roman" w:hAnsi="Times New Roman"/>
          <w:b w:val="0"/>
          <w:i w:val="0"/>
          <w:sz w:val="24"/>
        </w:rPr>
        <w:t xml:space="preserve"> showed that interactive digital media assignments improved oral-language skills when learners had to transform input into spoken output. In CALL-EJ, </w:t>
      </w:r>
      <w:hyperlink w:anchor="ref_Nasri_2022" w:history="1">
        <w:r>
          <w:rPr>
            <w:rFonts w:ascii="Times New Roman" w:hAnsi="Times New Roman"/>
            <w:u w:val="none"/>
            <w:sz w:val="24"/>
            <w:szCs w:val="24"/>
          </w:rPr>
          <w:t>Nasri et al. (2022)</w:t>
        </w:r>
      </w:hyperlink>
      <w:r>
        <w:rPr>
          <w:rFonts w:ascii="Times New Roman" w:hAnsi="Times New Roman"/>
          <w:b w:val="0"/>
          <w:i w:val="0"/>
          <w:sz w:val="24"/>
        </w:rPr>
        <w:t xml:space="preserve"> found gains in speaking complexity, accuracy, and fluency together with reductions in speaking anxiety, and </w:t>
      </w:r>
      <w:hyperlink w:anchor="ref_Mathur_2022" w:history="1">
        <w:r>
          <w:rPr>
            <w:rFonts w:ascii="Times New Roman" w:hAnsi="Times New Roman"/>
            <w:u w:val="none"/>
            <w:sz w:val="24"/>
            <w:szCs w:val="24"/>
          </w:rPr>
          <w:t>Mathur and Mahapatra (2022)</w:t>
        </w:r>
      </w:hyperlink>
      <w:r>
        <w:rPr>
          <w:rFonts w:ascii="Times New Roman" w:hAnsi="Times New Roman"/>
          <w:b w:val="0"/>
          <w:i w:val="0"/>
          <w:sz w:val="24"/>
        </w:rPr>
        <w:t xml:space="preserve"> showed that ePortfolio-based assessment improved academic speaking performance.</w:t>
      </w:r>
    </w:p>
    <w:p>
      <w:pPr>
        <w:spacing w:before="120" w:after="120"/>
      </w:pPr>
      <w:r>
        <w:rPr>
          <w:rFonts w:ascii="Times New Roman" w:hAnsi="Times New Roman"/>
          <w:b w:val="0"/>
          <w:i w:val="0"/>
          <w:sz w:val="24"/>
        </w:rPr>
        <w:t xml:space="preserve">These studies suggest that multimedia is pedagogically valuable not because it is digital, but because it can extend rehearsal, variation, and feedback. </w:t>
      </w:r>
      <w:hyperlink w:anchor="ref_Lee_2014" w:history="1">
        <w:r>
          <w:rPr>
            <w:rFonts w:ascii="Times New Roman" w:hAnsi="Times New Roman"/>
            <w:u w:val="none"/>
            <w:sz w:val="24"/>
            <w:szCs w:val="24"/>
          </w:rPr>
          <w:t>Lee (2014)</w:t>
        </w:r>
      </w:hyperlink>
      <w:r>
        <w:rPr>
          <w:rFonts w:ascii="Times New Roman" w:hAnsi="Times New Roman"/>
          <w:b w:val="0"/>
          <w:i w:val="0"/>
          <w:sz w:val="24"/>
        </w:rPr>
        <w:t xml:space="preserve">, for example, demonstrated that digital news-story production supported both content learning and speaking development because learners had to reformulate information into communicable form. </w:t>
      </w:r>
      <w:hyperlink w:anchor="ref_Kessler_2010" w:history="1">
        <w:r>
          <w:rPr>
            <w:rFonts w:ascii="Times New Roman" w:hAnsi="Times New Roman"/>
            <w:u w:val="none"/>
            <w:sz w:val="24"/>
            <w:szCs w:val="24"/>
          </w:rPr>
          <w:t>Kessler (2010)</w:t>
        </w:r>
      </w:hyperlink>
      <w:r>
        <w:rPr>
          <w:rFonts w:ascii="Times New Roman" w:hAnsi="Times New Roman"/>
          <w:b w:val="0"/>
          <w:i w:val="0"/>
          <w:sz w:val="24"/>
        </w:rPr>
        <w:t xml:space="preserve"> also showed that self-access speaking tasks are shaped by their learning environment, indicating that technology-mediated speaking practice can affect both fluency and anxiety. </w:t>
      </w:r>
      <w:hyperlink w:anchor="ref_Boonkit_2010" w:history="1">
        <w:r>
          <w:rPr>
            <w:rFonts w:ascii="Times New Roman" w:hAnsi="Times New Roman"/>
            <w:u w:val="none"/>
            <w:sz w:val="24"/>
            <w:szCs w:val="24"/>
          </w:rPr>
          <w:t>Boonkit (2010)</w:t>
        </w:r>
      </w:hyperlink>
      <w:r>
        <w:rPr>
          <w:rFonts w:ascii="Times New Roman" w:hAnsi="Times New Roman"/>
          <w:b w:val="0"/>
          <w:i w:val="0"/>
          <w:sz w:val="24"/>
        </w:rPr>
        <w:t xml:space="preserve"> likewise argued that repeated speaking opportunities and well-designed classroom tasks can strengthen confidence, which is highly relevant when learners are asked to explain ideas publicly.</w:t>
      </w:r>
    </w:p>
    <w:p>
      <w:pPr>
        <w:spacing w:before="120" w:after="120"/>
      </w:pPr>
      <w:r>
        <w:rPr>
          <w:rFonts w:ascii="Times New Roman" w:hAnsi="Times New Roman"/>
          <w:b w:val="0"/>
          <w:i w:val="0"/>
          <w:sz w:val="24"/>
        </w:rPr>
        <w:t xml:space="preserve">Microlearning adds another layer to this discussion. </w:t>
      </w:r>
      <w:hyperlink w:anchor="ref_Prasittichok_2024" w:history="1">
        <w:r>
          <w:rPr>
            <w:rFonts w:ascii="Times New Roman" w:hAnsi="Times New Roman"/>
            <w:u w:val="none"/>
            <w:sz w:val="24"/>
            <w:szCs w:val="24"/>
          </w:rPr>
          <w:t>Prasittichok and Smithsarakarn (2024)</w:t>
        </w:r>
      </w:hyperlink>
      <w:r>
        <w:rPr>
          <w:rFonts w:ascii="Times New Roman" w:hAnsi="Times New Roman"/>
          <w:b w:val="0"/>
          <w:i w:val="0"/>
          <w:sz w:val="24"/>
        </w:rPr>
        <w:t xml:space="preserve">, in a systematic review and meta-analysis, concluded that microlearning has a positive effect on EFL speaking. </w:t>
      </w:r>
      <w:hyperlink w:anchor="ref_Roohani_2021" w:history="1">
        <w:r>
          <w:rPr>
            <w:rFonts w:ascii="Times New Roman" w:hAnsi="Times New Roman"/>
            <w:u w:val="none"/>
            <w:sz w:val="24"/>
            <w:szCs w:val="24"/>
          </w:rPr>
          <w:t>Roohani and Etemadfar (2021)</w:t>
        </w:r>
      </w:hyperlink>
      <w:r>
        <w:rPr>
          <w:rFonts w:ascii="Times New Roman" w:hAnsi="Times New Roman"/>
          <w:b w:val="0"/>
          <w:i w:val="0"/>
          <w:sz w:val="24"/>
        </w:rPr>
        <w:t xml:space="preserve"> similarly found that a micro-flipped design improved speaking fluency. These findings matter because segmentation reduces entry barriers to practice, especially for students who avoid long, high-pressure oral tasks. </w:t>
      </w:r>
      <w:hyperlink w:anchor="ref_Belmekki_2023" w:history="1">
        <w:r>
          <w:rPr>
            <w:rFonts w:ascii="Times New Roman" w:hAnsi="Times New Roman"/>
            <w:u w:val="none"/>
            <w:sz w:val="24"/>
            <w:szCs w:val="24"/>
          </w:rPr>
          <w:t>Belmekki (2023)</w:t>
        </w:r>
      </w:hyperlink>
      <w:r>
        <w:rPr>
          <w:rFonts w:ascii="Times New Roman" w:hAnsi="Times New Roman"/>
          <w:b w:val="0"/>
          <w:i w:val="0"/>
          <w:sz w:val="24"/>
        </w:rPr>
        <w:t xml:space="preserve"> further showed that self-video recording can support speaking development in higher education, reinforcing the idea that short learning units become more powerful when they are tied to repeated performance and replay.</w:t>
      </w:r>
    </w:p>
    <w:p>
      <w:pPr>
        <w:spacing w:before="120" w:after="120"/>
      </w:pPr>
      <w:r>
        <w:rPr>
          <w:rFonts w:ascii="Times New Roman" w:hAnsi="Times New Roman"/>
          <w:b w:val="0"/>
          <w:i w:val="0"/>
          <w:sz w:val="24"/>
        </w:rPr>
        <w:t>The literature therefore points to a useful design principle: speaking technology is likely to matter more when it creates repeatable and cognitively manageable practice cycles rather than mere digital exposure.</w:t>
      </w:r>
    </w:p>
    <w:p>
      <w:pPr>
        <w:pStyle w:val="Heading2"/>
        <w:spacing w:before="120" w:after="120" w:line="240" w:lineRule="auto"/>
      </w:pPr>
      <w:r>
        <w:rPr>
          <w:color w:val="4472C4"/>
          <w:sz w:val="24"/>
        </w:rPr>
        <w:t>Explain-to-learn, generative processing, and reflective revision</w:t>
      </w:r>
    </w:p>
    <w:p>
      <w:pPr>
        <w:spacing w:before="120" w:after="120"/>
      </w:pPr>
      <w:r>
        <w:rPr>
          <w:rFonts w:ascii="Times New Roman" w:hAnsi="Times New Roman"/>
          <w:b w:val="0"/>
          <w:i w:val="0"/>
          <w:sz w:val="24"/>
        </w:rPr>
        <w:t xml:space="preserve">A more specific issue concerns what learners are actually asked to do inside a technology-supported environment. The present study builds on the premise that explanation is not merely evidence of learning, but one of the processes through which learning deepens. This proposition aligns with generative-learning theory. </w:t>
      </w:r>
      <w:hyperlink w:anchor="ref_Fiorella_2016" w:history="1">
        <w:r>
          <w:rPr>
            <w:rFonts w:ascii="Times New Roman" w:hAnsi="Times New Roman"/>
            <w:u w:val="none"/>
            <w:sz w:val="24"/>
            <w:szCs w:val="24"/>
          </w:rPr>
          <w:t>Fiorella and Mayer (2016)</w:t>
        </w:r>
      </w:hyperlink>
      <w:r>
        <w:rPr>
          <w:rFonts w:ascii="Times New Roman" w:hAnsi="Times New Roman"/>
          <w:b w:val="0"/>
          <w:i w:val="0"/>
          <w:sz w:val="24"/>
        </w:rPr>
        <w:t xml:space="preserve"> argue that activities such as summarizing, mapping, teaching, and explaining can promote deeper understanding because they force learners to actively organize and integrate information. </w:t>
      </w:r>
      <w:hyperlink w:anchor="ref_Chi_2014" w:history="1">
        <w:r>
          <w:rPr>
            <w:rFonts w:ascii="Times New Roman" w:hAnsi="Times New Roman"/>
            <w:u w:val="none"/>
            <w:sz w:val="24"/>
            <w:szCs w:val="24"/>
          </w:rPr>
          <w:t>Chi and Wylie's (2014)</w:t>
        </w:r>
      </w:hyperlink>
      <w:r>
        <w:rPr>
          <w:rFonts w:ascii="Times New Roman" w:hAnsi="Times New Roman"/>
          <w:b w:val="0"/>
          <w:i w:val="0"/>
          <w:sz w:val="24"/>
        </w:rPr>
        <w:t xml:space="preserve"> ICAP framework supports this logic by distinguishing passive engagement from more cognitively constructive and interactive forms of engagement.</w:t>
      </w:r>
    </w:p>
    <w:p>
      <w:pPr>
        <w:spacing w:before="120" w:after="120"/>
      </w:pPr>
      <w:r>
        <w:rPr>
          <w:rFonts w:ascii="Times New Roman" w:hAnsi="Times New Roman"/>
          <w:b w:val="0"/>
          <w:i w:val="0"/>
          <w:sz w:val="24"/>
        </w:rPr>
        <w:t>Operationally, Bicaranta used explain-back prompts requiring learners to restate target content in accessible language, identify gaps, revisit the source material, and record a revised explanation. The study interprets this sequence through established work on self-explanation, teaching-to-learn, and generative processing rather than treating the "Feynman technique" as an independently validated theoretical construct. In pedagogical terms, this creates a feedback loop between understanding and expression. That loop is particularly relevant for speaking tasks because students often discover gaps in understanding only when they attempt to explain something aloud.</w:t>
      </w:r>
    </w:p>
    <w:p>
      <w:pPr>
        <w:spacing w:before="120" w:after="120"/>
      </w:pPr>
      <w:r>
        <w:rPr>
          <w:rFonts w:ascii="Times New Roman" w:hAnsi="Times New Roman"/>
          <w:b w:val="0"/>
          <w:i w:val="0"/>
          <w:sz w:val="24"/>
        </w:rPr>
        <w:t>The current study does not treat explain-back production as a stand-alone method. Instead, it treats explain-to-learn as a structured prompt within a multimedia environment. The theoretical claim is modest but important: when explanation, recording, and replay are embedded in short learning units, learners may be more likely to plan, monitor, and revise their speaking than in traditional performance-only practice.</w:t>
      </w:r>
    </w:p>
    <w:p>
      <w:pPr>
        <w:pStyle w:val="Heading2"/>
        <w:spacing w:before="120" w:after="120" w:line="240" w:lineRule="auto"/>
      </w:pPr>
      <w:r>
        <w:rPr>
          <w:color w:val="4472C4"/>
          <w:sz w:val="24"/>
        </w:rPr>
        <w:t>Theoretical framing of the intervention</w:t>
      </w:r>
    </w:p>
    <w:p>
      <w:pPr>
        <w:spacing w:before="120" w:after="120"/>
      </w:pPr>
      <w:r>
        <w:rPr>
          <w:rFonts w:ascii="Times New Roman" w:hAnsi="Times New Roman"/>
          <w:b w:val="0"/>
          <w:i w:val="0"/>
          <w:sz w:val="24"/>
        </w:rPr>
        <w:t xml:space="preserve">The intervention is theoretically anchored in three complementary ideas. First, multimedia segmentation can reduce overload and direct attention toward essential content. </w:t>
      </w:r>
      <w:r>
        <w:rPr>
          <w:rFonts w:ascii="Times New Roman" w:hAnsi="Times New Roman"/>
          <w:b w:val="0"/>
          <w:i w:val="0"/>
          <w:sz w:val="24"/>
        </w:rPr>
        <w:t>Mayer's (2014)</w:t>
      </w:r>
      <w:r>
        <w:rPr>
          <w:rFonts w:ascii="Times New Roman" w:hAnsi="Times New Roman"/>
          <w:b w:val="0"/>
          <w:i w:val="0"/>
          <w:sz w:val="24"/>
        </w:rPr>
        <w:t xml:space="preserve"> cognitive theory of multimedia learning explains why short, focused input may support selection, organization, and integration more effectively than undifferentiated material. Second, generative learning theory explains why the key activity cannot end with exposure; learners must transform content through explanation, retrieval, and restructuring </w:t>
      </w:r>
      <w:r>
        <w:rPr>
          <w:rFonts w:ascii="Times New Roman" w:hAnsi="Times New Roman"/>
          <w:b w:val="0"/>
          <w:i w:val="0"/>
          <w:sz w:val="24"/>
        </w:rPr>
        <w:t>(</w:t>
      </w:r>
      <w:hyperlink w:anchor="ref_Fiorella_2016" w:history="1">
        <w:r>
          <w:rPr>
            <w:rFonts w:ascii="Times New Roman" w:hAnsi="Times New Roman"/>
            <w:u w:val="none"/>
            <w:sz w:val="24"/>
            <w:szCs w:val="24"/>
          </w:rPr>
          <w:t>Fiorella &amp; Mayer, 2016</w:t>
        </w:r>
      </w:hyperlink>
      <w:r>
        <w:rPr>
          <w:rFonts w:ascii="Times New Roman" w:hAnsi="Times New Roman"/>
          <w:b w:val="0"/>
          <w:i w:val="0"/>
          <w:sz w:val="24"/>
        </w:rPr>
        <w:t>)</w:t>
      </w:r>
      <w:r>
        <w:rPr>
          <w:rFonts w:ascii="Times New Roman" w:hAnsi="Times New Roman"/>
          <w:b w:val="0"/>
          <w:i w:val="0"/>
          <w:sz w:val="24"/>
        </w:rPr>
        <w:t xml:space="preserve">. Third, self-regulated learning theory explains why replay and reflection matter: they create a bridge between performance and self-evaluation </w:t>
      </w:r>
      <w:r>
        <w:rPr>
          <w:rFonts w:ascii="Times New Roman" w:hAnsi="Times New Roman"/>
          <w:b w:val="0"/>
          <w:i w:val="0"/>
          <w:sz w:val="24"/>
        </w:rPr>
        <w:t>(</w:t>
      </w:r>
      <w:hyperlink w:anchor="ref_Zimmerman_2002" w:history="1">
        <w:r>
          <w:rPr>
            <w:rFonts w:ascii="Times New Roman" w:hAnsi="Times New Roman"/>
            <w:u w:val="none"/>
            <w:sz w:val="24"/>
            <w:szCs w:val="24"/>
          </w:rPr>
          <w:t>Zimmerman, 2002</w:t>
        </w:r>
      </w:hyperlink>
      <w:r>
        <w:rPr>
          <w:rFonts w:ascii="Times New Roman" w:hAnsi="Times New Roman"/>
          <w:b w:val="0"/>
          <w:i w:val="0"/>
          <w:sz w:val="24"/>
        </w:rPr>
        <w:t>)</w:t>
      </w:r>
      <w:r>
        <w:rPr>
          <w:rFonts w:ascii="Times New Roman" w:hAnsi="Times New Roman"/>
          <w:b w:val="0"/>
          <w:i w:val="0"/>
          <w:sz w:val="24"/>
        </w:rPr>
        <w:t>.</w:t>
      </w:r>
    </w:p>
    <w:p>
      <w:pPr>
        <w:spacing w:before="120" w:after="120"/>
      </w:pPr>
      <w:r>
        <w:rPr>
          <w:rFonts w:ascii="Times New Roman" w:hAnsi="Times New Roman"/>
          <w:b w:val="0"/>
          <w:i w:val="0"/>
          <w:sz w:val="24"/>
        </w:rPr>
        <w:t>In the present intervention, these theoretical strands converge in a single design loop of segmented input, explain-back task, self-recording, replay, and revision. The expected outcome is not that technology automatically improves speaking, but that this particular sequence makes metacognitive activity more likely. If that sequence works as intended, the platform should be associated with stronger gains in both speaking performance and speaking-related metacognitive awareness.</w:t>
      </w:r>
    </w:p>
    <w:p>
      <w:pPr>
        <w:pStyle w:val="Heading2"/>
        <w:spacing w:before="120" w:after="120" w:line="240" w:lineRule="auto"/>
      </w:pPr>
      <w:r>
        <w:rPr>
          <w:color w:val="4472C4"/>
          <w:sz w:val="24"/>
        </w:rPr>
        <w:t>Research gap and study positioning</w:t>
      </w:r>
    </w:p>
    <w:p>
      <w:pPr>
        <w:spacing w:before="120" w:after="120"/>
      </w:pPr>
      <w:r>
        <w:rPr>
          <w:rFonts w:ascii="Times New Roman" w:hAnsi="Times New Roman"/>
          <w:b w:val="0"/>
          <w:i w:val="0"/>
          <w:sz w:val="24"/>
        </w:rPr>
        <w:t>The existing literature establishes three things reasonably well: multimedia can support speaking, microlearning can make practice more manageable, and technology-mediated environments can reduce anxiety or increase engagement. What is less well established is whether a comparatively low-infrastructure platform can combine these strengths through a coherent reflective cycle while producing gains in both speaking performance and metacognitive awareness.</w:t>
      </w:r>
    </w:p>
    <w:p>
      <w:pPr>
        <w:spacing w:before="120" w:after="120"/>
      </w:pPr>
      <w:r>
        <w:rPr>
          <w:rFonts w:ascii="Times New Roman" w:hAnsi="Times New Roman"/>
          <w:b w:val="0"/>
          <w:i w:val="0"/>
          <w:sz w:val="24"/>
        </w:rPr>
        <w:t xml:space="preserve">That gap matters for at least two reasons. First, many recent CALL studies, including several in CALL-EJ, are moving toward AI, ASR, metaverse, and VR-enhanced solutions </w:t>
      </w:r>
      <w:r>
        <w:rPr>
          <w:rFonts w:ascii="Times New Roman" w:hAnsi="Times New Roman"/>
          <w:b w:val="0"/>
          <w:i w:val="0"/>
          <w:sz w:val="24"/>
        </w:rPr>
        <w:t>(</w:t>
      </w:r>
      <w:hyperlink w:anchor="ref_Ha_2024" w:history="1">
        <w:r>
          <w:rPr>
            <w:rFonts w:ascii="Times New Roman" w:hAnsi="Times New Roman"/>
            <w:u w:val="none"/>
            <w:sz w:val="24"/>
            <w:szCs w:val="24"/>
          </w:rPr>
          <w:t>Ha, 2024</w:t>
        </w:r>
      </w:hyperlink>
      <w:r>
        <w:rPr>
          <w:rFonts w:ascii="Times New Roman" w:hAnsi="Times New Roman"/>
          <w:b w:val="0"/>
          <w:i w:val="0"/>
          <w:sz w:val="24"/>
        </w:rPr>
        <w:t xml:space="preserve">; </w:t>
      </w:r>
      <w:hyperlink w:anchor="ref_Le_2025" w:history="1">
        <w:r>
          <w:rPr>
            <w:rFonts w:ascii="Times New Roman" w:hAnsi="Times New Roman"/>
            <w:u w:val="none"/>
            <w:sz w:val="24"/>
            <w:szCs w:val="24"/>
          </w:rPr>
          <w:t>Le &amp; Do, 2025</w:t>
        </w:r>
      </w:hyperlink>
      <w:r>
        <w:rPr>
          <w:rFonts w:ascii="Times New Roman" w:hAnsi="Times New Roman"/>
          <w:b w:val="0"/>
          <w:i w:val="0"/>
          <w:sz w:val="24"/>
        </w:rPr>
        <w:t xml:space="preserve">; </w:t>
      </w:r>
      <w:r>
        <w:rPr>
          <w:rFonts w:ascii="Times New Roman" w:hAnsi="Times New Roman"/>
          <w:b w:val="0"/>
          <w:i w:val="0"/>
          <w:sz w:val="24"/>
        </w:rPr>
        <w:t>Nguyen et al., 2025a, 2025b</w:t>
      </w:r>
      <w:r>
        <w:rPr>
          <w:rFonts w:ascii="Times New Roman" w:hAnsi="Times New Roman"/>
          <w:b w:val="0"/>
          <w:i w:val="0"/>
          <w:sz w:val="24"/>
        </w:rPr>
        <w:t>)</w:t>
      </w:r>
      <w:r>
        <w:rPr>
          <w:rFonts w:ascii="Times New Roman" w:hAnsi="Times New Roman"/>
          <w:b w:val="0"/>
          <w:i w:val="0"/>
          <w:sz w:val="24"/>
        </w:rPr>
        <w:t>. Those advances are important, but they are not always easy to deploy at scale in ordinary university settings. Second, even where technology is available, many interventions still evaluate output more than regulation. The present study is positioned at that intersection. It asks whether a browser-based platform built around microlearning, explain-to-learn, and replay can produce a stronger outcome pattern than regular instruction while also making learners more aware of how they speak.</w:t>
      </w:r>
    </w:p>
    <w:p>
      <w:pPr>
        <w:pStyle w:val="Heading1"/>
        <w:spacing w:before="120" w:after="120" w:line="240" w:lineRule="auto"/>
      </w:pPr>
      <w:r>
        <w:rPr>
          <w:color w:val="ED7D31"/>
          <w:sz w:val="26"/>
        </w:rPr>
        <w:t>Methods</w:t>
      </w:r>
    </w:p>
    <w:p>
      <w:pPr>
        <w:pStyle w:val="Heading2"/>
        <w:spacing w:before="120" w:after="120" w:line="240" w:lineRule="auto"/>
      </w:pPr>
      <w:r>
        <w:rPr>
          <w:color w:val="4472C4"/>
          <w:sz w:val="24"/>
        </w:rPr>
        <w:t>Research design</w:t>
      </w:r>
    </w:p>
    <w:p>
      <w:pPr>
        <w:spacing w:before="120" w:after="120"/>
      </w:pPr>
      <w:r>
        <w:rPr>
          <w:rFonts w:ascii="Times New Roman" w:hAnsi="Times New Roman"/>
          <w:b w:val="0"/>
          <w:i w:val="0"/>
          <w:sz w:val="24"/>
        </w:rPr>
        <w:t>The study employed a mixed-methods, non-equivalent-groups quasi-experimental design. The field evaluation involved two intact classes, one receiving Bicaranta-supported instruction and one receiving regular instruction, without individual random assignment. Because treatment condition was assigned at the class level, any between-group difference may also reflect unmeasured class-level characteristics. The quantitative strand therefore estimates an adjusted between-class difference rather than an unrestricted causal treatment effect. Qualitative evidence was used to interpret learner experiences and implementation conditions. Integration of the two strands was conducted at the interpretation stage through a joint display linking outcome patterns, learner-reported processes, and implementation barriers.</w:t>
      </w:r>
    </w:p>
    <w:p>
      <w:pPr>
        <w:pStyle w:val="Heading2"/>
        <w:spacing w:before="120" w:after="120" w:line="240" w:lineRule="auto"/>
      </w:pPr>
      <w:r>
        <w:rPr>
          <w:color w:val="4472C4"/>
          <w:sz w:val="24"/>
        </w:rPr>
        <w:t>Context and participants</w:t>
      </w:r>
    </w:p>
    <w:p>
      <w:pPr>
        <w:spacing w:before="120" w:after="120"/>
      </w:pPr>
      <w:r>
        <w:rPr>
          <w:rFonts w:ascii="Times New Roman" w:hAnsi="Times New Roman"/>
          <w:b w:val="0"/>
          <w:i w:val="0"/>
          <w:sz w:val="24"/>
        </w:rPr>
        <w:t>The study was conducted in a speaking-oriented English course within the English Language Education program at Institut Keguruan dan Ilmu Pendidikan (IKIP) Siliwangi, Indonesia. The field-test dataset contained 77 students with complete paired data across all outcomes, comprising 40 students in the experimental class and 37 students in the control class. The 77 students represent the full enrollment of the two intact classes; no students were excluded due to missing data. Students were second-semester undergraduates, aged approximately 18–20 years, enrolled in a speaking skills course (</w:t>
      </w:r>
      <w:r>
        <w:rPr>
          <w:rFonts w:ascii="Times New Roman" w:hAnsi="Times New Roman"/>
          <w:b w:val="0"/>
          <w:i/>
          <w:sz w:val="24"/>
        </w:rPr>
        <w:t>Keterampilan Berbicara</w:t>
      </w:r>
      <w:r>
        <w:rPr>
          <w:rFonts w:ascii="Times New Roman" w:hAnsi="Times New Roman"/>
          <w:b w:val="0"/>
          <w:i w:val="0"/>
          <w:sz w:val="24"/>
        </w:rPr>
        <w:t>). English proficiency was not formally assessed prior to the study; all students had completed at least one prior semester of English education coursework. The two classes were assigned to conditions based on existing class scheduling: one class was designated as the experimental group and the other as the control group. Different instructors taught the two classes: the experimental class was taught by Aditya Permana, M.Pd. (14 years of teaching experience in language skills), and the control class was taught by Via Nugraha, M.Pd. (10 years of teaching experience). Neither instructor was a member of the research team.</w:t>
      </w:r>
    </w:p>
    <w:p>
      <w:pPr>
        <w:spacing w:before="120" w:after="120"/>
      </w:pPr>
      <w:r>
        <w:rPr>
          <w:rFonts w:ascii="Times New Roman" w:hAnsi="Times New Roman"/>
          <w:b w:val="0"/>
          <w:i w:val="0"/>
          <w:sz w:val="24"/>
        </w:rPr>
        <w:t>Two earlier developmental trials preceded the field test: a small-group trial (n = 6) and an extended trial (n = 10). Pilot participants were selected from higher-level students who had already completed the speaking skills course and did not overlap with the 77 field-test students.</w:t>
      </w:r>
    </w:p>
    <w:p>
      <w:pPr>
        <w:pStyle w:val="Heading2"/>
        <w:spacing w:before="120" w:after="120" w:line="240" w:lineRule="auto"/>
      </w:pPr>
      <w:r>
        <w:rPr>
          <w:color w:val="4472C4"/>
          <w:sz w:val="24"/>
        </w:rPr>
        <w:t>Intervention and control condition</w:t>
      </w:r>
    </w:p>
    <w:p>
      <w:pPr>
        <w:spacing w:before="120" w:after="120"/>
      </w:pPr>
      <w:r>
        <w:rPr>
          <w:rFonts w:ascii="Times New Roman" w:hAnsi="Times New Roman"/>
          <w:b w:val="0"/>
          <w:i w:val="0"/>
          <w:sz w:val="24"/>
        </w:rPr>
        <w:t>The intervention was integrated into the regular course schedule across the even semester. Each Bicaranta cycle followed four core activities: (1) segmented multimedia input through video modules of approximately 90 seconds to 2.5 minutes per section, (2) an explain-back task requiring learners to restate the target concept without copying the source, (3) a recorded speaking attempt followed by self-playback, and (4) a reflection/revision prompt before a subsequent attempt. Interactive quizzes were embedded between sections to check comprehension. The same course topics and contact hours were used in both classes. The control class completed speaking tasks through regular Problem-Based Learning (PBL) instruction guided by the class lecturer, with students freely selecting their own learning sources, but did not receive the structured Bicaranta recording, replay, and reflection cycle.</w:t>
      </w:r>
    </w:p>
    <w:tbl>
      <w:tblPr>
        <w:tblW w:type="auto" w:w="0"/>
        <w:jc w:val="center"/>
        <w:tblLook w:firstColumn="1" w:firstRow="1" w:lastColumn="0" w:lastRow="0" w:noHBand="0" w:noVBand="1" w:val="04A0"/>
      </w:tblPr>
      <w:tblGrid>
        <w:gridCol w:w="2267"/>
        <w:gridCol w:w="2267"/>
        <w:gridCol w:w="2267"/>
        <w:gridCol w:w="2267"/>
      </w:tblGrid>
      <w:tr>
        <w:tc>
          <w:tcPr>
            <w:tcW w:type="dxa" w:w="9068"/>
            <w:gridSpan w:val="4"/>
            <w:tcBorders/>
          </w:tcPr>
          <w:p>
            <w:pPr>
              <w:spacing w:before="0" w:after="0"/>
            </w:pPr>
            <w:r/>
            <w:r>
              <w:rPr>
                <w:rFonts w:ascii="Times New Roman" w:hAnsi="Times New Roman"/>
                <w:b/>
                <w:i w:val="0"/>
                <w:sz w:val="22"/>
              </w:rPr>
              <w:t>Table 1.</w:t>
            </w:r>
          </w:p>
          <w:p>
            <w:pPr>
              <w:spacing w:before="0" w:after="0"/>
            </w:pPr>
            <w:r>
              <w:rPr>
                <w:rFonts w:ascii="Times New Roman" w:hAnsi="Times New Roman"/>
                <w:b w:val="0"/>
                <w:i w:val="0"/>
                <w:sz w:val="22"/>
              </w:rPr>
              <w:t>Intervention components</w:t>
            </w:r>
          </w:p>
        </w:tc>
      </w:tr>
      <w:tr>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Component</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Operationalization</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Frequency/dosage</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Theoretical function</w:t>
            </w:r>
          </w:p>
        </w:tc>
      </w:tr>
      <w:tr>
        <w:tc>
          <w:tcPr>
            <w:tcW w:type="dxa" w:w="2267"/>
            <w:vAlign w:val="center"/>
            <w:tcBorders/>
          </w:tcPr>
          <w:p>
            <w:pPr>
              <w:spacing w:before="0" w:after="0"/>
              <w:jc w:val="left"/>
            </w:pPr>
            <w:r/>
            <w:r>
              <w:rPr>
                <w:rFonts w:ascii="Times New Roman" w:hAnsi="Times New Roman"/>
                <w:b w:val="0"/>
                <w:i w:val="0"/>
                <w:sz w:val="22"/>
              </w:rPr>
              <w:t>Segmentation</w:t>
            </w:r>
          </w:p>
        </w:tc>
        <w:tc>
          <w:tcPr>
            <w:tcW w:type="dxa" w:w="2267"/>
            <w:vAlign w:val="center"/>
            <w:tcBorders/>
          </w:tcPr>
          <w:p>
            <w:pPr>
              <w:spacing w:before="0" w:after="0"/>
              <w:jc w:val="left"/>
            </w:pPr>
            <w:r/>
            <w:r>
              <w:rPr>
                <w:rFonts w:ascii="Times New Roman" w:hAnsi="Times New Roman"/>
                <w:b w:val="0"/>
                <w:i w:val="0"/>
                <w:sz w:val="22"/>
              </w:rPr>
              <w:t>Video modules of 90 s–2.5 min per section</w:t>
            </w:r>
          </w:p>
        </w:tc>
        <w:tc>
          <w:tcPr>
            <w:tcW w:type="dxa" w:w="2267"/>
            <w:vAlign w:val="center"/>
            <w:tcBorders/>
          </w:tcPr>
          <w:p>
            <w:pPr>
              <w:spacing w:before="0" w:after="0"/>
              <w:jc w:val="left"/>
            </w:pPr>
            <w:r/>
            <w:r>
              <w:rPr>
                <w:rFonts w:ascii="Times New Roman" w:hAnsi="Times New Roman"/>
                <w:b w:val="0"/>
                <w:i w:val="0"/>
                <w:sz w:val="22"/>
              </w:rPr>
              <w:t>Each module, repeated access allowed</w:t>
            </w:r>
          </w:p>
        </w:tc>
        <w:tc>
          <w:tcPr>
            <w:tcW w:type="dxa" w:w="2267"/>
            <w:vAlign w:val="center"/>
            <w:tcBorders/>
          </w:tcPr>
          <w:p>
            <w:pPr>
              <w:spacing w:before="0" w:after="0"/>
              <w:jc w:val="left"/>
            </w:pPr>
            <w:r/>
            <w:r>
              <w:rPr>
                <w:rFonts w:ascii="Times New Roman" w:hAnsi="Times New Roman"/>
                <w:b w:val="0"/>
                <w:i w:val="0"/>
                <w:sz w:val="22"/>
              </w:rPr>
              <w:t>Cognitive load reduction, selective attention</w:t>
            </w:r>
          </w:p>
        </w:tc>
      </w:tr>
      <w:tr>
        <w:tc>
          <w:tcPr>
            <w:tcW w:type="dxa" w:w="2267"/>
            <w:vAlign w:val="center"/>
            <w:tcBorders/>
          </w:tcPr>
          <w:p>
            <w:pPr>
              <w:spacing w:before="0" w:after="0"/>
              <w:jc w:val="left"/>
            </w:pPr>
            <w:r/>
            <w:r>
              <w:rPr>
                <w:rFonts w:ascii="Times New Roman" w:hAnsi="Times New Roman"/>
                <w:b w:val="0"/>
                <w:i w:val="0"/>
                <w:sz w:val="22"/>
              </w:rPr>
              <w:t>Explain-back</w:t>
            </w:r>
          </w:p>
        </w:tc>
        <w:tc>
          <w:tcPr>
            <w:tcW w:type="dxa" w:w="2267"/>
            <w:vAlign w:val="center"/>
            <w:tcBorders/>
          </w:tcPr>
          <w:p>
            <w:pPr>
              <w:spacing w:before="0" w:after="0"/>
              <w:jc w:val="left"/>
            </w:pPr>
            <w:r/>
            <w:r>
              <w:rPr>
                <w:rFonts w:ascii="Times New Roman" w:hAnsi="Times New Roman"/>
                <w:b w:val="0"/>
                <w:i w:val="0"/>
                <w:sz w:val="22"/>
              </w:rPr>
              <w:t>Restate target concept in own words</w:t>
            </w:r>
          </w:p>
        </w:tc>
        <w:tc>
          <w:tcPr>
            <w:tcW w:type="dxa" w:w="2267"/>
            <w:vAlign w:val="center"/>
            <w:tcBorders/>
          </w:tcPr>
          <w:p>
            <w:pPr>
              <w:spacing w:before="0" w:after="0"/>
              <w:jc w:val="left"/>
            </w:pPr>
            <w:r/>
            <w:r>
              <w:rPr>
                <w:rFonts w:ascii="Times New Roman" w:hAnsi="Times New Roman"/>
                <w:b w:val="0"/>
                <w:i w:val="0"/>
                <w:sz w:val="22"/>
              </w:rPr>
              <w:t>After each module section</w:t>
            </w:r>
          </w:p>
        </w:tc>
        <w:tc>
          <w:tcPr>
            <w:tcW w:type="dxa" w:w="2267"/>
            <w:vAlign w:val="center"/>
            <w:tcBorders/>
          </w:tcPr>
          <w:p>
            <w:pPr>
              <w:spacing w:before="0" w:after="0"/>
              <w:jc w:val="left"/>
            </w:pPr>
            <w:r/>
            <w:r>
              <w:rPr>
                <w:rFonts w:ascii="Times New Roman" w:hAnsi="Times New Roman"/>
                <w:b w:val="0"/>
                <w:i w:val="0"/>
                <w:sz w:val="22"/>
              </w:rPr>
              <w:t>Generative processing, self-explanation</w:t>
            </w:r>
          </w:p>
        </w:tc>
      </w:tr>
      <w:tr>
        <w:tc>
          <w:tcPr>
            <w:tcW w:type="dxa" w:w="2267"/>
            <w:vAlign w:val="center"/>
            <w:tcBorders/>
          </w:tcPr>
          <w:p>
            <w:pPr>
              <w:spacing w:before="0" w:after="0"/>
              <w:jc w:val="left"/>
            </w:pPr>
            <w:r/>
            <w:r>
              <w:rPr>
                <w:rFonts w:ascii="Times New Roman" w:hAnsi="Times New Roman"/>
                <w:b w:val="0"/>
                <w:i w:val="0"/>
                <w:sz w:val="22"/>
              </w:rPr>
              <w:t>Recording</w:t>
            </w:r>
          </w:p>
        </w:tc>
        <w:tc>
          <w:tcPr>
            <w:tcW w:type="dxa" w:w="2267"/>
            <w:vAlign w:val="center"/>
            <w:tcBorders/>
          </w:tcPr>
          <w:p>
            <w:pPr>
              <w:spacing w:before="0" w:after="0"/>
              <w:jc w:val="left"/>
            </w:pPr>
            <w:r/>
            <w:r>
              <w:rPr>
                <w:rFonts w:ascii="Times New Roman" w:hAnsi="Times New Roman"/>
                <w:b w:val="0"/>
                <w:i w:val="0"/>
                <w:sz w:val="22"/>
              </w:rPr>
              <w:t>Record spoken explanation via platform</w:t>
            </w:r>
          </w:p>
        </w:tc>
        <w:tc>
          <w:tcPr>
            <w:tcW w:type="dxa" w:w="2267"/>
            <w:vAlign w:val="center"/>
            <w:tcBorders/>
          </w:tcPr>
          <w:p>
            <w:pPr>
              <w:spacing w:before="0" w:after="0"/>
              <w:jc w:val="left"/>
            </w:pPr>
            <w:r/>
            <w:r>
              <w:rPr>
                <w:rFonts w:ascii="Times New Roman" w:hAnsi="Times New Roman"/>
                <w:b w:val="0"/>
                <w:i w:val="0"/>
                <w:sz w:val="22"/>
              </w:rPr>
              <w:t>After explain-back completion</w:t>
            </w:r>
          </w:p>
        </w:tc>
        <w:tc>
          <w:tcPr>
            <w:tcW w:type="dxa" w:w="2267"/>
            <w:vAlign w:val="center"/>
            <w:tcBorders/>
          </w:tcPr>
          <w:p>
            <w:pPr>
              <w:spacing w:before="0" w:after="0"/>
              <w:jc w:val="left"/>
            </w:pPr>
            <w:r/>
            <w:r>
              <w:rPr>
                <w:rFonts w:ascii="Times New Roman" w:hAnsi="Times New Roman"/>
                <w:b w:val="0"/>
                <w:i w:val="0"/>
                <w:sz w:val="22"/>
              </w:rPr>
              <w:t>Externalization of speech production</w:t>
            </w:r>
          </w:p>
        </w:tc>
      </w:tr>
      <w:tr>
        <w:tc>
          <w:tcPr>
            <w:tcW w:type="dxa" w:w="2267"/>
            <w:vAlign w:val="center"/>
            <w:tcBorders/>
          </w:tcPr>
          <w:p>
            <w:pPr>
              <w:spacing w:before="0" w:after="0"/>
              <w:jc w:val="left"/>
            </w:pPr>
            <w:r/>
            <w:r>
              <w:rPr>
                <w:rFonts w:ascii="Times New Roman" w:hAnsi="Times New Roman"/>
                <w:b w:val="0"/>
                <w:i w:val="0"/>
                <w:sz w:val="22"/>
              </w:rPr>
              <w:t>Playback</w:t>
            </w:r>
          </w:p>
        </w:tc>
        <w:tc>
          <w:tcPr>
            <w:tcW w:type="dxa" w:w="2267"/>
            <w:vAlign w:val="center"/>
            <w:tcBorders/>
          </w:tcPr>
          <w:p>
            <w:pPr>
              <w:spacing w:before="0" w:after="0"/>
              <w:jc w:val="left"/>
            </w:pPr>
            <w:r/>
            <w:r>
              <w:rPr>
                <w:rFonts w:ascii="Times New Roman" w:hAnsi="Times New Roman"/>
                <w:b w:val="0"/>
                <w:i w:val="0"/>
                <w:sz w:val="22"/>
              </w:rPr>
              <w:t>Listen to own recording before resubmission</w:t>
            </w:r>
          </w:p>
        </w:tc>
        <w:tc>
          <w:tcPr>
            <w:tcW w:type="dxa" w:w="2267"/>
            <w:vAlign w:val="center"/>
            <w:tcBorders/>
          </w:tcPr>
          <w:p>
            <w:pPr>
              <w:spacing w:before="0" w:after="0"/>
              <w:jc w:val="left"/>
            </w:pPr>
            <w:r/>
            <w:r>
              <w:rPr>
                <w:rFonts w:ascii="Times New Roman" w:hAnsi="Times New Roman"/>
                <w:b w:val="0"/>
                <w:i w:val="0"/>
                <w:sz w:val="22"/>
              </w:rPr>
              <w:t>After each recording</w:t>
            </w:r>
          </w:p>
        </w:tc>
        <w:tc>
          <w:tcPr>
            <w:tcW w:type="dxa" w:w="2267"/>
            <w:vAlign w:val="center"/>
            <w:tcBorders/>
          </w:tcPr>
          <w:p>
            <w:pPr>
              <w:spacing w:before="0" w:after="0"/>
              <w:jc w:val="left"/>
            </w:pPr>
            <w:r/>
            <w:r>
              <w:rPr>
                <w:rFonts w:ascii="Times New Roman" w:hAnsi="Times New Roman"/>
                <w:b w:val="0"/>
                <w:i w:val="0"/>
                <w:sz w:val="22"/>
              </w:rPr>
              <w:t>Self-monitoring, error detection</w:t>
            </w:r>
          </w:p>
        </w:tc>
      </w:tr>
      <w:tr>
        <w:tc>
          <w:tcPr>
            <w:tcW w:type="dxa" w:w="2267"/>
            <w:vAlign w:val="center"/>
            <w:tcBorders>
              <w:bottom w:val="single" w:sz="4" w:space="0" w:color="auto"/>
            </w:tcBorders>
          </w:tcPr>
          <w:p>
            <w:pPr>
              <w:spacing w:before="0" w:after="0"/>
              <w:jc w:val="left"/>
            </w:pPr>
            <w:r/>
            <w:r>
              <w:rPr>
                <w:rFonts w:ascii="Times New Roman" w:hAnsi="Times New Roman"/>
                <w:b w:val="0"/>
                <w:i w:val="0"/>
                <w:sz w:val="22"/>
              </w:rPr>
              <w:t>Revision</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Revise and re-record based on self-assessment</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Optional after playback</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Self-regulation, iterative improvement</w:t>
            </w:r>
          </w:p>
        </w:tc>
      </w:tr>
    </w:tbl>
    <w:p>
      <w:pPr>
        <w:spacing w:before="120" w:after="120"/>
      </w:pPr>
      <w:r>
        <w:rPr>
          <w:rFonts w:ascii="Times New Roman" w:hAnsi="Times New Roman"/>
          <w:b w:val="0"/>
          <w:i w:val="0"/>
          <w:sz w:val="24"/>
        </w:rPr>
        <w:t>"Microlearning" in this study refers to modular learning units consisting of short video segments (90 seconds to 2.5 minutes) designed for single-concept coverage, each followed by a comprehension check and an explain-back speaking activity.</w:t>
      </w:r>
    </w:p>
    <w:p>
      <w:pPr>
        <w:pStyle w:val="Heading2"/>
        <w:spacing w:before="120" w:after="120" w:line="240" w:lineRule="auto"/>
      </w:pPr>
      <w:r>
        <w:rPr>
          <w:color w:val="4472C4"/>
          <w:sz w:val="24"/>
        </w:rPr>
        <w:t>Product refinement prior to field evaluation</w:t>
      </w:r>
    </w:p>
    <w:p>
      <w:pPr>
        <w:spacing w:before="120" w:after="120"/>
      </w:pPr>
      <w:r>
        <w:rPr>
          <w:rFonts w:ascii="Times New Roman" w:hAnsi="Times New Roman"/>
          <w:b w:val="0"/>
          <w:i w:val="0"/>
          <w:sz w:val="24"/>
        </w:rPr>
        <w:t>Two pre-field usability trials were conducted to identify implementation problems rather than to estimate intervention effectiveness. Stage 1 (n = 6) identified problems in login flow, video loading, and navigation. After revision, Stage 2 (n = 10) focused on full-flow usability and identified remaining issues in mobile navigation and recording stability. Because these stages were developmental and involved very small samples, their pre/post scores were not used as efficacy evidence in the field-test analysis. Pilot participants were higher-level students who had already completed the speaking skills course and did not overlap with the 77 field-test students.</w:t>
      </w:r>
    </w:p>
    <w:p>
      <w:pPr>
        <w:pStyle w:val="Heading2"/>
        <w:spacing w:before="120" w:after="120" w:line="240" w:lineRule="auto"/>
      </w:pPr>
      <w:r>
        <w:rPr>
          <w:color w:val="4472C4"/>
          <w:sz w:val="24"/>
        </w:rPr>
        <w:t>Instruments</w:t>
      </w:r>
    </w:p>
    <w:p>
      <w:pPr>
        <w:pStyle w:val="Heading2"/>
        <w:spacing w:before="120" w:after="120" w:line="240" w:lineRule="auto"/>
      </w:pPr>
      <w:r>
        <w:rPr>
          <w:color w:val="4472C4"/>
          <w:sz w:val="24"/>
        </w:rPr>
        <w:t>Speaking assessment</w:t>
      </w:r>
    </w:p>
    <w:p>
      <w:pPr>
        <w:spacing w:before="120" w:after="120"/>
      </w:pPr>
      <w:r>
        <w:rPr>
          <w:rFonts w:ascii="Times New Roman" w:hAnsi="Times New Roman"/>
          <w:b w:val="0"/>
          <w:i w:val="0"/>
          <w:sz w:val="24"/>
        </w:rPr>
        <w:t>Speaking performance was assessed using parallel pretest and posttest tasks designed to elicit academic explanatory speaking on comparable topics. Responses were scored using a five-domain analytic rubric covering organization, clarity, language accuracy, strategy, and delivery impact. Each domain was scored on a 0–15 scale and converted to a 0–100 composite. The rubric was researcher-developed based on established speaking assessment frameworks, and its content was reviewed by subject-matter experts before use. Three trained raters (the two class instructors and one additional rater) independently scored all recordings using the calibrated rubric. Raters were not blinded to group membership because they were the class instructors, but they were provided with standardized scoring criteria and calibration samples. Because original recordings were not available for independent rescoring, inter-rater reliability could not be estimated post hoc. This limitation should be considered when interpreting the effect estimates.</w:t>
      </w:r>
    </w:p>
    <w:p>
      <w:pPr>
        <w:pStyle w:val="Heading2"/>
        <w:spacing w:before="120" w:after="120" w:line="240" w:lineRule="auto"/>
      </w:pPr>
      <w:r>
        <w:rPr>
          <w:color w:val="4472C4"/>
          <w:sz w:val="24"/>
        </w:rPr>
        <w:t>Adapted metacognitive-awareness questionnaire</w:t>
      </w:r>
    </w:p>
    <w:p>
      <w:pPr>
        <w:spacing w:before="120" w:after="120"/>
      </w:pPr>
      <w:r>
        <w:rPr>
          <w:rFonts w:ascii="Times New Roman" w:hAnsi="Times New Roman"/>
          <w:b w:val="0"/>
          <w:i w:val="0"/>
          <w:sz w:val="24"/>
        </w:rPr>
        <w:t xml:space="preserve">Metacognitive awareness was assessed using a 16-item, four-point adapted questionnaire with a total score range of 16–64. The instrument was developed from speaking-metacognition constructs in the literature </w:t>
      </w:r>
      <w:r>
        <w:rPr>
          <w:rFonts w:ascii="Times New Roman" w:hAnsi="Times New Roman"/>
          <w:b w:val="0"/>
          <w:i w:val="0"/>
          <w:sz w:val="24"/>
        </w:rPr>
        <w:t>(</w:t>
      </w:r>
      <w:r>
        <w:rPr>
          <w:rFonts w:ascii="Times New Roman" w:hAnsi="Times New Roman"/>
          <w:b w:val="0"/>
          <w:i w:val="0"/>
          <w:sz w:val="24"/>
        </w:rPr>
        <w:t>e.g., Sulistyowati et al., 2022</w:t>
      </w:r>
      <w:r>
        <w:rPr>
          <w:rFonts w:ascii="Times New Roman" w:hAnsi="Times New Roman"/>
          <w:b w:val="0"/>
          <w:i w:val="0"/>
          <w:sz w:val="24"/>
        </w:rPr>
        <w:t xml:space="preserve">; </w:t>
      </w:r>
      <w:hyperlink w:anchor="ref_Zimmerman_2002" w:history="1">
        <w:r>
          <w:rPr>
            <w:rFonts w:ascii="Times New Roman" w:hAnsi="Times New Roman"/>
            <w:u w:val="none"/>
            <w:sz w:val="24"/>
            <w:szCs w:val="24"/>
          </w:rPr>
          <w:t>Zimmerman, 2002</w:t>
        </w:r>
      </w:hyperlink>
      <w:r>
        <w:rPr>
          <w:rFonts w:ascii="Times New Roman" w:hAnsi="Times New Roman"/>
          <w:b w:val="0"/>
          <w:i w:val="0"/>
          <w:sz w:val="24"/>
        </w:rPr>
        <w:t>)</w:t>
      </w:r>
      <w:r>
        <w:rPr>
          <w:rFonts w:ascii="Times New Roman" w:hAnsi="Times New Roman"/>
          <w:b w:val="0"/>
          <w:i w:val="0"/>
          <w:sz w:val="24"/>
        </w:rPr>
        <w:t xml:space="preserve"> but was not treated as the original Metacognitive Awareness Speaking Questionnaire (MASQ) because the published MASQ contains 21 items across five factors on a five-point scale. For the present study, items were adapted to represent four dimensions: planning, monitoring, evaluation, and explain-back regulation relevant to the Bicaranta task cycle. The adaptation involved expert review of item content and pilot administration during the developmental trials. Content validity was evaluated by subject-matter experts before field use. Internal consistency in the field sample, estimated at the subscale level using Cronbach's alpha, was α = .69 at pretest and α = .73 at posttest. Item-level reliability from platform-recorded responses (n = 63 posttest) yielded α = .95 for the 16-item composite, with subscale alphas of .89 (planning), .81 (monitoring), .85 (evaluation), and .85 (explain-back regulation). The metacognitive-awareness questionnaire was administered to both classes immediately before the intervention and again after the final intervention session.</w:t>
      </w:r>
    </w:p>
    <w:p>
      <w:pPr>
        <w:pStyle w:val="Heading2"/>
        <w:spacing w:before="120" w:after="120" w:line="240" w:lineRule="auto"/>
      </w:pPr>
      <w:r>
        <w:rPr>
          <w:color w:val="4472C4"/>
          <w:sz w:val="24"/>
        </w:rPr>
        <w:t>Post-use perception questionnaire</w:t>
      </w:r>
    </w:p>
    <w:p>
      <w:pPr>
        <w:spacing w:before="120" w:after="120"/>
      </w:pPr>
      <w:r>
        <w:rPr>
          <w:rFonts w:ascii="Times New Roman" w:hAnsi="Times New Roman"/>
          <w:b w:val="0"/>
          <w:i w:val="0"/>
          <w:sz w:val="24"/>
        </w:rPr>
        <w:t>Post-use perceptions were collected from the experimental class using a structured questionnaire covering 18 items across nine dimensions: content quality, ease of use, engagement, speaking support, metacognitive support, microlearning design, accessibility, explain-back integration, and reflection. Each dimension contained 2 items scored on a 1–4 Likert scale (total possible score = 72). The questionnaire was researcher-developed based on the intervention components and reviewed for content relevance by the research team. Open-ended fields documented what students liked, areas for improvement, perceived benefits, technical obstacles, and recommendation tendencies.</w:t>
      </w:r>
    </w:p>
    <w:p>
      <w:pPr>
        <w:pStyle w:val="Heading2"/>
        <w:spacing w:before="120" w:after="120" w:line="240" w:lineRule="auto"/>
      </w:pPr>
      <w:r>
        <w:rPr>
          <w:color w:val="4472C4"/>
          <w:sz w:val="24"/>
        </w:rPr>
        <w:t>Qualitative data sources</w:t>
      </w:r>
    </w:p>
    <w:p>
      <w:pPr>
        <w:spacing w:before="120" w:after="120"/>
      </w:pPr>
      <w:r>
        <w:rPr>
          <w:rFonts w:ascii="Times New Roman" w:hAnsi="Times New Roman"/>
          <w:b w:val="0"/>
          <w:i w:val="0"/>
          <w:sz w:val="24"/>
        </w:rPr>
        <w:t>Twelve experimental-group students were selected for follow-up interviews using purposive sampling to represent variation in speaking performance outcomes. Interviews lasted approximately 15 minutes each, were conducted in Indonesian, and documented in structured field notes. Two lecturers provided 17 field statements documented during the implementation period through structured interviews covering student engagement, media effectiveness, metacognitive development, implementation challenges, and development suggestions. All quoted excerpts reported below are translated from Indonesian into English by the authors.</w:t>
      </w:r>
    </w:p>
    <w:p>
      <w:pPr>
        <w:pStyle w:val="Heading2"/>
        <w:spacing w:before="120" w:after="120" w:line="240" w:lineRule="auto"/>
      </w:pPr>
      <w:r>
        <w:rPr>
          <w:color w:val="4472C4"/>
          <w:sz w:val="24"/>
        </w:rPr>
        <w:t>Data collection procedure</w:t>
      </w:r>
    </w:p>
    <w:p>
      <w:pPr>
        <w:spacing w:before="120" w:after="120"/>
      </w:pPr>
      <w:r>
        <w:rPr>
          <w:rFonts w:ascii="Times New Roman" w:hAnsi="Times New Roman"/>
          <w:b w:val="0"/>
          <w:i w:val="0"/>
          <w:sz w:val="24"/>
        </w:rPr>
        <w:t>Data were collected during the even semester of the 2025/2026 academic year. The speaking pretest and metacognitive-awareness pretest were administered to both classes before the intervention began. The intervention period followed, during which the experimental class used Bicaranta and the control class received regular PBL-based instruction. After the intervention, the speaking posttest and metacognitive-awareness posttest were administered to both classes. The post-use perception questionnaire was administered only to the experimental class after the posttest, and student interviews were conducted between March 18 and March 27, 2026. Lecturer interviews were conducted on February 25, 2026. Platform usage logs were not systematically retrieved for analysis; contamination information was obtained from lecturer reports.</w:t>
      </w:r>
    </w:p>
    <w:p>
      <w:pPr>
        <w:pStyle w:val="Heading2"/>
        <w:spacing w:before="120" w:after="120" w:line="240" w:lineRule="auto"/>
      </w:pPr>
      <w:r>
        <w:rPr>
          <w:color w:val="4472C4"/>
          <w:sz w:val="24"/>
        </w:rPr>
        <w:t>Data analysis</w:t>
      </w:r>
    </w:p>
    <w:p>
      <w:pPr>
        <w:spacing w:before="120" w:after="120"/>
      </w:pPr>
      <w:r>
        <w:rPr>
          <w:rFonts w:ascii="Times New Roman" w:hAnsi="Times New Roman"/>
          <w:b w:val="0"/>
          <w:i w:val="0"/>
          <w:sz w:val="24"/>
        </w:rPr>
        <w:t>All quantitative analyses were conducted using Python 3.12 (NumPy, SciPy, pandas) from the de-identified field-test dataset. Descriptive statistics were calculated for each outcome at pretest and posttest. Baseline comparability was evaluated by reporting means, standard deviations, ranges, and standardized mean differences rather than relying solely on null-hypothesis significance tests.</w:t>
      </w:r>
    </w:p>
    <w:p>
      <w:pPr>
        <w:spacing w:before="120" w:after="120"/>
      </w:pPr>
      <w:r>
        <w:rPr>
          <w:rFonts w:ascii="Times New Roman" w:hAnsi="Times New Roman"/>
          <w:b w:val="0"/>
          <w:i w:val="0"/>
          <w:sz w:val="24"/>
        </w:rPr>
        <w:t>The primary between-group estimates were obtained using baseline-adjusted linear regression (ANCOVA), with posttest score as the dependent variable, group as the focal predictor, and the corresponding pretest score as a covariate. Heteroskedasticity-robust standard errors (HC3) were used where residual diagnostics indicated heteroskedasticity. Adjusted mean differences, 95% confidence intervals, exact p values, and standardized effect sizes (Hedges' g) are reported. Gain-score comparisons (Welch t-test) were retained only as sensitivity analyses.</w:t>
      </w:r>
    </w:p>
    <w:p>
      <w:pPr>
        <w:spacing w:before="120" w:after="120"/>
      </w:pPr>
      <w:r>
        <w:rPr>
          <w:rFonts w:ascii="Times New Roman" w:hAnsi="Times New Roman"/>
          <w:b w:val="0"/>
          <w:i w:val="0"/>
          <w:sz w:val="24"/>
        </w:rPr>
        <w:t>Because treatment was assigned at the class level and only one class was available per condition, no statistical adjustment can fully separate treatment effects from class-level characteristics. This limitation is acknowledged throughout the interpretation of results.</w:t>
      </w:r>
    </w:p>
    <w:p>
      <w:pPr>
        <w:spacing w:before="120" w:after="120"/>
      </w:pPr>
      <w:r>
        <w:rPr>
          <w:rFonts w:ascii="Times New Roman" w:hAnsi="Times New Roman"/>
          <w:b w:val="0"/>
          <w:i w:val="0"/>
          <w:sz w:val="24"/>
        </w:rPr>
        <w:t>Interview records and open-ended comments were organized thematically to illustrate learner experiences and implementation barriers. Four salient themes were identified from the student data (metacognitive awareness, access and flexibility, confidence, and reflective evaluation) and cross-referenced with lecturer observations on engagement, effectiveness, and implementation challenges. Qualitative themes were integrated with the quantitative findings at the interpretation stage through a joint display linking outcome patterns, learner-reported processes, and implementation barriers.</w:t>
      </w:r>
    </w:p>
    <w:p>
      <w:pPr>
        <w:pStyle w:val="Heading2"/>
        <w:spacing w:before="120" w:after="120" w:line="240" w:lineRule="auto"/>
      </w:pPr>
      <w:r>
        <w:rPr>
          <w:color w:val="4472C4"/>
          <w:sz w:val="24"/>
        </w:rPr>
        <w:t>Ethical considerations</w:t>
      </w:r>
    </w:p>
    <w:p>
      <w:pPr>
        <w:spacing w:before="120" w:after="120"/>
      </w:pPr>
      <w:r>
        <w:rPr>
          <w:rFonts w:ascii="Times New Roman" w:hAnsi="Times New Roman"/>
          <w:b w:val="0"/>
          <w:i w:val="0"/>
          <w:sz w:val="24"/>
        </w:rPr>
        <w:t>The study was conducted as part of a doctoral research project at Universitas Muhammadiyah Prof. DR. HAMKA and followed the institution's research governance procedures. Participants were informed about the study procedures, the voluntary nature of participation, and their right to withdraw without academic penalty. Data used for analysis were de-identified, and all platform records, interview documentation, and questionnaire responses were stored and analyzed using participant codes rather than personal identifiers.</w:t>
      </w:r>
    </w:p>
    <w:p>
      <w:pPr>
        <w:pStyle w:val="Heading2"/>
        <w:spacing w:before="120" w:after="120" w:line="240" w:lineRule="auto"/>
      </w:pPr>
      <w:r>
        <w:rPr>
          <w:color w:val="4472C4"/>
          <w:sz w:val="24"/>
        </w:rPr>
        <w:t>Funding and competing interests</w:t>
      </w:r>
    </w:p>
    <w:p>
      <w:pPr>
        <w:spacing w:before="120" w:after="120"/>
      </w:pPr>
      <w:r>
        <w:rPr>
          <w:rFonts w:ascii="Times New Roman" w:hAnsi="Times New Roman"/>
          <w:b w:val="0"/>
          <w:i w:val="0"/>
          <w:sz w:val="24"/>
        </w:rPr>
        <w:t>This study received no external funding. The first author developed the Bicaranta platform as part of a doctoral research project. The authors declare no other competing interests.</w:t>
      </w:r>
    </w:p>
    <w:p>
      <w:pPr>
        <w:pStyle w:val="Heading1"/>
        <w:spacing w:before="120" w:after="120" w:line="240" w:lineRule="auto"/>
      </w:pPr>
      <w:r>
        <w:rPr>
          <w:color w:val="ED7D31"/>
          <w:sz w:val="26"/>
        </w:rPr>
        <w:t>Findings and Discussion</w:t>
      </w:r>
    </w:p>
    <w:p>
      <w:pPr>
        <w:pStyle w:val="Heading2"/>
        <w:spacing w:before="120" w:after="120" w:line="240" w:lineRule="auto"/>
      </w:pPr>
      <w:r>
        <w:rPr>
          <w:color w:val="4472C4"/>
          <w:sz w:val="24"/>
        </w:rPr>
        <w:t>Comparative pattern in speaking performance</w:t>
      </w:r>
    </w:p>
    <w:p>
      <w:pPr>
        <w:spacing w:before="120" w:after="120"/>
      </w:pPr>
      <w:r>
        <w:rPr>
          <w:rFonts w:ascii="Times New Roman" w:hAnsi="Times New Roman"/>
          <w:b w:val="0"/>
          <w:i w:val="0"/>
          <w:sz w:val="24"/>
        </w:rPr>
        <w:t>The primary performance outcome was the between-class difference in posttest speaking scores after adjustment for baseline performance.</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9072"/>
            <w:gridSpan w:val="7"/>
            <w:tcBorders/>
          </w:tcPr>
          <w:p>
            <w:pPr>
              <w:spacing w:before="0" w:after="0"/>
            </w:pPr>
            <w:r/>
            <w:r>
              <w:rPr>
                <w:rFonts w:ascii="Times New Roman" w:hAnsi="Times New Roman"/>
                <w:b/>
                <w:i w:val="0"/>
                <w:sz w:val="22"/>
              </w:rPr>
              <w:t>Table 2.</w:t>
            </w:r>
          </w:p>
          <w:p>
            <w:pPr>
              <w:spacing w:before="0" w:after="0"/>
            </w:pPr>
            <w:r>
              <w:rPr>
                <w:rFonts w:ascii="Times New Roman" w:hAnsi="Times New Roman"/>
                <w:b w:val="0"/>
                <w:i w:val="0"/>
                <w:sz w:val="22"/>
              </w:rPr>
              <w:t>Descriptive statistics for speaking scores</w:t>
            </w:r>
          </w:p>
        </w:tc>
      </w:tr>
      <w:tr>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Group</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Phase</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Mean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SD</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Min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Max</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Pretest</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70.84</w:t>
            </w:r>
          </w:p>
        </w:tc>
        <w:tc>
          <w:tcPr>
            <w:tcW w:type="dxa" w:w="1296"/>
            <w:vAlign w:val="center"/>
            <w:tcBorders/>
          </w:tcPr>
          <w:p>
            <w:pPr>
              <w:spacing w:before="0" w:after="0"/>
              <w:jc w:val="center"/>
            </w:pPr>
            <w:r/>
            <w:r>
              <w:rPr>
                <w:rFonts w:ascii="Times New Roman" w:hAnsi="Times New Roman"/>
                <w:b w:val="0"/>
                <w:i w:val="0"/>
                <w:sz w:val="22"/>
              </w:rPr>
              <w:t>5.55</w:t>
            </w:r>
          </w:p>
        </w:tc>
        <w:tc>
          <w:tcPr>
            <w:tcW w:type="dxa" w:w="1296"/>
            <w:vAlign w:val="center"/>
            <w:tcBorders/>
          </w:tcPr>
          <w:p>
            <w:pPr>
              <w:spacing w:before="0" w:after="0"/>
              <w:jc w:val="center"/>
            </w:pPr>
            <w:r/>
            <w:r>
              <w:rPr>
                <w:rFonts w:ascii="Times New Roman" w:hAnsi="Times New Roman"/>
                <w:b w:val="0"/>
                <w:i w:val="0"/>
                <w:sz w:val="22"/>
              </w:rPr>
              <w:t>58.70</w:t>
            </w:r>
          </w:p>
        </w:tc>
        <w:tc>
          <w:tcPr>
            <w:tcW w:type="dxa" w:w="1296"/>
            <w:vAlign w:val="center"/>
            <w:tcBorders/>
          </w:tcPr>
          <w:p>
            <w:pPr>
              <w:spacing w:before="0" w:after="0"/>
              <w:jc w:val="center"/>
            </w:pPr>
            <w:r/>
            <w:r>
              <w:rPr>
                <w:rFonts w:ascii="Times New Roman" w:hAnsi="Times New Roman"/>
                <w:b w:val="0"/>
                <w:i w:val="0"/>
                <w:sz w:val="22"/>
              </w:rPr>
              <w:t>90.70</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Posttest</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82.70</w:t>
            </w:r>
          </w:p>
        </w:tc>
        <w:tc>
          <w:tcPr>
            <w:tcW w:type="dxa" w:w="1296"/>
            <w:vAlign w:val="center"/>
            <w:tcBorders/>
          </w:tcPr>
          <w:p>
            <w:pPr>
              <w:spacing w:before="0" w:after="0"/>
              <w:jc w:val="center"/>
            </w:pPr>
            <w:r/>
            <w:r>
              <w:rPr>
                <w:rFonts w:ascii="Times New Roman" w:hAnsi="Times New Roman"/>
                <w:b w:val="0"/>
                <w:i w:val="0"/>
                <w:sz w:val="22"/>
              </w:rPr>
              <w:t>5.18</w:t>
            </w:r>
          </w:p>
        </w:tc>
        <w:tc>
          <w:tcPr>
            <w:tcW w:type="dxa" w:w="1296"/>
            <w:vAlign w:val="center"/>
            <w:tcBorders/>
          </w:tcPr>
          <w:p>
            <w:pPr>
              <w:spacing w:before="0" w:after="0"/>
              <w:jc w:val="center"/>
            </w:pPr>
            <w:r/>
            <w:r>
              <w:rPr>
                <w:rFonts w:ascii="Times New Roman" w:hAnsi="Times New Roman"/>
                <w:b w:val="0"/>
                <w:i w:val="0"/>
                <w:sz w:val="22"/>
              </w:rPr>
              <w:t>68.00</w:t>
            </w:r>
          </w:p>
        </w:tc>
        <w:tc>
          <w:tcPr>
            <w:tcW w:type="dxa" w:w="1296"/>
            <w:vAlign w:val="center"/>
            <w:tcBorders/>
          </w:tcPr>
          <w:p>
            <w:pPr>
              <w:spacing w:before="0" w:after="0"/>
              <w:jc w:val="center"/>
            </w:pPr>
            <w:r/>
            <w:r>
              <w:rPr>
                <w:rFonts w:ascii="Times New Roman" w:hAnsi="Times New Roman"/>
                <w:b w:val="0"/>
                <w:i w:val="0"/>
                <w:sz w:val="22"/>
              </w:rPr>
              <w:t>92.00</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Gain</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11.86</w:t>
            </w:r>
          </w:p>
        </w:tc>
        <w:tc>
          <w:tcPr>
            <w:tcW w:type="dxa" w:w="1296"/>
            <w:vAlign w:val="center"/>
            <w:tcBorders/>
          </w:tcPr>
          <w:p>
            <w:pPr>
              <w:spacing w:before="0" w:after="0"/>
              <w:jc w:val="center"/>
            </w:pPr>
            <w:r/>
            <w:r>
              <w:rPr>
                <w:rFonts w:ascii="Times New Roman" w:hAnsi="Times New Roman"/>
                <w:b w:val="0"/>
                <w:i w:val="0"/>
                <w:sz w:val="22"/>
              </w:rPr>
              <w:t>6.71</w:t>
            </w:r>
          </w:p>
        </w:tc>
        <w:tc>
          <w:tcPr>
            <w:tcW w:type="dxa" w:w="1296"/>
            <w:vAlign w:val="center"/>
            <w:tcBorders/>
          </w:tcPr>
          <w:p>
            <w:pPr>
              <w:spacing w:before="0" w:after="0"/>
              <w:jc w:val="center"/>
            </w:pPr>
            <w:r/>
            <w:r>
              <w:rPr>
                <w:rFonts w:ascii="Times New Roman" w:hAnsi="Times New Roman"/>
                <w:b w:val="0"/>
                <w:i w:val="0"/>
                <w:sz w:val="22"/>
              </w:rPr>
              <w:t>-10.70</w:t>
            </w:r>
          </w:p>
        </w:tc>
        <w:tc>
          <w:tcPr>
            <w:tcW w:type="dxa" w:w="1296"/>
            <w:vAlign w:val="center"/>
            <w:tcBorders/>
          </w:tcPr>
          <w:p>
            <w:pPr>
              <w:spacing w:before="0" w:after="0"/>
              <w:jc w:val="center"/>
            </w:pPr>
            <w:r/>
            <w:r>
              <w:rPr>
                <w:rFonts w:ascii="Times New Roman" w:hAnsi="Times New Roman"/>
                <w:b w:val="0"/>
                <w:i w:val="0"/>
                <w:sz w:val="22"/>
              </w:rPr>
              <w:t>24.00</w:t>
            </w:r>
          </w:p>
        </w:tc>
      </w:tr>
      <w:tr>
        <w:tc>
          <w:tcPr>
            <w:tcW w:type="dxa" w:w="1296"/>
            <w:vAlign w:val="center"/>
            <w:tcBorders/>
          </w:tcPr>
          <w:p>
            <w:pPr>
              <w:spacing w:before="0" w:after="0"/>
              <w:jc w:val="left"/>
            </w:pPr>
            <w:r/>
            <w:r>
              <w:rPr>
                <w:rFonts w:ascii="Times New Roman" w:hAnsi="Times New Roman"/>
                <w:b w:val="0"/>
                <w:i w:val="0"/>
                <w:sz w:val="22"/>
              </w:rPr>
              <w:t>Control</w:t>
            </w:r>
          </w:p>
        </w:tc>
        <w:tc>
          <w:tcPr>
            <w:tcW w:type="dxa" w:w="1296"/>
            <w:vAlign w:val="center"/>
            <w:tcBorders/>
          </w:tcPr>
          <w:p>
            <w:pPr>
              <w:spacing w:before="0" w:after="0"/>
              <w:jc w:val="left"/>
            </w:pPr>
            <w:r/>
            <w:r>
              <w:rPr>
                <w:rFonts w:ascii="Times New Roman" w:hAnsi="Times New Roman"/>
                <w:b w:val="0"/>
                <w:i w:val="0"/>
                <w:sz w:val="22"/>
              </w:rPr>
              <w:t>Pretest</w:t>
            </w:r>
          </w:p>
        </w:tc>
        <w:tc>
          <w:tcPr>
            <w:tcW w:type="dxa" w:w="1296"/>
            <w:vAlign w:val="center"/>
            <w:tcBorders/>
          </w:tcPr>
          <w:p>
            <w:pPr>
              <w:spacing w:before="0" w:after="0"/>
              <w:jc w:val="center"/>
            </w:pPr>
            <w:r/>
            <w:r>
              <w:rPr>
                <w:rFonts w:ascii="Times New Roman" w:hAnsi="Times New Roman"/>
                <w:b w:val="0"/>
                <w:i w:val="0"/>
                <w:sz w:val="22"/>
              </w:rPr>
              <w:t>37</w:t>
            </w:r>
          </w:p>
        </w:tc>
        <w:tc>
          <w:tcPr>
            <w:tcW w:type="dxa" w:w="1296"/>
            <w:vAlign w:val="center"/>
            <w:tcBorders/>
          </w:tcPr>
          <w:p>
            <w:pPr>
              <w:spacing w:before="0" w:after="0"/>
              <w:jc w:val="center"/>
            </w:pPr>
            <w:r/>
            <w:r>
              <w:rPr>
                <w:rFonts w:ascii="Times New Roman" w:hAnsi="Times New Roman"/>
                <w:b w:val="0"/>
                <w:i w:val="0"/>
                <w:sz w:val="22"/>
              </w:rPr>
              <w:t>71.21</w:t>
            </w:r>
          </w:p>
        </w:tc>
        <w:tc>
          <w:tcPr>
            <w:tcW w:type="dxa" w:w="1296"/>
            <w:vAlign w:val="center"/>
            <w:tcBorders/>
          </w:tcPr>
          <w:p>
            <w:pPr>
              <w:spacing w:before="0" w:after="0"/>
              <w:jc w:val="center"/>
            </w:pPr>
            <w:r/>
            <w:r>
              <w:rPr>
                <w:rFonts w:ascii="Times New Roman" w:hAnsi="Times New Roman"/>
                <w:b w:val="0"/>
                <w:i w:val="0"/>
                <w:sz w:val="22"/>
              </w:rPr>
              <w:t>1.84</w:t>
            </w:r>
          </w:p>
        </w:tc>
        <w:tc>
          <w:tcPr>
            <w:tcW w:type="dxa" w:w="1296"/>
            <w:vAlign w:val="center"/>
            <w:tcBorders/>
          </w:tcPr>
          <w:p>
            <w:pPr>
              <w:spacing w:before="0" w:after="0"/>
              <w:jc w:val="center"/>
            </w:pPr>
            <w:r/>
            <w:r>
              <w:rPr>
                <w:rFonts w:ascii="Times New Roman" w:hAnsi="Times New Roman"/>
                <w:b w:val="0"/>
                <w:i w:val="0"/>
                <w:sz w:val="22"/>
              </w:rPr>
              <w:t>69.30</w:t>
            </w:r>
          </w:p>
        </w:tc>
        <w:tc>
          <w:tcPr>
            <w:tcW w:type="dxa" w:w="1296"/>
            <w:vAlign w:val="center"/>
            <w:tcBorders/>
          </w:tcPr>
          <w:p>
            <w:pPr>
              <w:spacing w:before="0" w:after="0"/>
              <w:jc w:val="center"/>
            </w:pPr>
            <w:r/>
            <w:r>
              <w:rPr>
                <w:rFonts w:ascii="Times New Roman" w:hAnsi="Times New Roman"/>
                <w:b w:val="0"/>
                <w:i w:val="0"/>
                <w:sz w:val="22"/>
              </w:rPr>
              <w:t>77.30</w:t>
            </w:r>
          </w:p>
        </w:tc>
      </w:tr>
      <w:tr>
        <w:tc>
          <w:tcPr>
            <w:tcW w:type="dxa" w:w="1296"/>
            <w:vAlign w:val="center"/>
            <w:tcBorders/>
          </w:tcPr>
          <w:p>
            <w:pPr>
              <w:spacing w:before="0" w:after="0"/>
              <w:jc w:val="left"/>
            </w:pPr>
            <w:r/>
            <w:r>
              <w:rPr>
                <w:rFonts w:ascii="Times New Roman" w:hAnsi="Times New Roman"/>
                <w:b w:val="0"/>
                <w:i w:val="0"/>
                <w:sz w:val="22"/>
              </w:rPr>
              <w:t>Control</w:t>
            </w:r>
          </w:p>
        </w:tc>
        <w:tc>
          <w:tcPr>
            <w:tcW w:type="dxa" w:w="1296"/>
            <w:vAlign w:val="center"/>
            <w:tcBorders/>
          </w:tcPr>
          <w:p>
            <w:pPr>
              <w:spacing w:before="0" w:after="0"/>
              <w:jc w:val="left"/>
            </w:pPr>
            <w:r/>
            <w:r>
              <w:rPr>
                <w:rFonts w:ascii="Times New Roman" w:hAnsi="Times New Roman"/>
                <w:b w:val="0"/>
                <w:i w:val="0"/>
                <w:sz w:val="22"/>
              </w:rPr>
              <w:t>Posttest</w:t>
            </w:r>
          </w:p>
        </w:tc>
        <w:tc>
          <w:tcPr>
            <w:tcW w:type="dxa" w:w="1296"/>
            <w:vAlign w:val="center"/>
            <w:tcBorders/>
          </w:tcPr>
          <w:p>
            <w:pPr>
              <w:spacing w:before="0" w:after="0"/>
              <w:jc w:val="center"/>
            </w:pPr>
            <w:r/>
            <w:r>
              <w:rPr>
                <w:rFonts w:ascii="Times New Roman" w:hAnsi="Times New Roman"/>
                <w:b w:val="0"/>
                <w:i w:val="0"/>
                <w:sz w:val="22"/>
              </w:rPr>
              <w:t>37</w:t>
            </w:r>
          </w:p>
        </w:tc>
        <w:tc>
          <w:tcPr>
            <w:tcW w:type="dxa" w:w="1296"/>
            <w:vAlign w:val="center"/>
            <w:tcBorders/>
          </w:tcPr>
          <w:p>
            <w:pPr>
              <w:spacing w:before="0" w:after="0"/>
              <w:jc w:val="center"/>
            </w:pPr>
            <w:r/>
            <w:r>
              <w:rPr>
                <w:rFonts w:ascii="Times New Roman" w:hAnsi="Times New Roman"/>
                <w:b w:val="0"/>
                <w:i w:val="0"/>
                <w:sz w:val="22"/>
              </w:rPr>
              <w:t>79.46</w:t>
            </w:r>
          </w:p>
        </w:tc>
        <w:tc>
          <w:tcPr>
            <w:tcW w:type="dxa" w:w="1296"/>
            <w:vAlign w:val="center"/>
            <w:tcBorders/>
          </w:tcPr>
          <w:p>
            <w:pPr>
              <w:spacing w:before="0" w:after="0"/>
              <w:jc w:val="center"/>
            </w:pPr>
            <w:r/>
            <w:r>
              <w:rPr>
                <w:rFonts w:ascii="Times New Roman" w:hAnsi="Times New Roman"/>
                <w:b w:val="0"/>
                <w:i w:val="0"/>
                <w:sz w:val="22"/>
              </w:rPr>
              <w:t>3.41</w:t>
            </w:r>
          </w:p>
        </w:tc>
        <w:tc>
          <w:tcPr>
            <w:tcW w:type="dxa" w:w="1296"/>
            <w:vAlign w:val="center"/>
            <w:tcBorders/>
          </w:tcPr>
          <w:p>
            <w:pPr>
              <w:spacing w:before="0" w:after="0"/>
              <w:jc w:val="center"/>
            </w:pPr>
            <w:r/>
            <w:r>
              <w:rPr>
                <w:rFonts w:ascii="Times New Roman" w:hAnsi="Times New Roman"/>
                <w:b w:val="0"/>
                <w:i w:val="0"/>
                <w:sz w:val="22"/>
              </w:rPr>
              <w:t>66.70</w:t>
            </w:r>
          </w:p>
        </w:tc>
        <w:tc>
          <w:tcPr>
            <w:tcW w:type="dxa" w:w="1296"/>
            <w:vAlign w:val="center"/>
            <w:tcBorders/>
          </w:tcPr>
          <w:p>
            <w:pPr>
              <w:spacing w:before="0" w:after="0"/>
              <w:jc w:val="center"/>
            </w:pPr>
            <w:r/>
            <w:r>
              <w:rPr>
                <w:rFonts w:ascii="Times New Roman" w:hAnsi="Times New Roman"/>
                <w:b w:val="0"/>
                <w:i w:val="0"/>
                <w:sz w:val="22"/>
              </w:rPr>
              <w:t>86.70</w:t>
            </w:r>
          </w:p>
        </w:tc>
      </w:tr>
      <w:tr>
        <w:tc>
          <w:tcPr>
            <w:tcW w:type="dxa" w:w="1296"/>
            <w:vAlign w:val="center"/>
            <w:tcBorders>
              <w:bottom w:val="single" w:sz="4" w:space="0" w:color="auto"/>
            </w:tcBorders>
          </w:tcPr>
          <w:p>
            <w:pPr>
              <w:spacing w:before="0" w:after="0"/>
              <w:jc w:val="left"/>
            </w:pPr>
            <w:r/>
            <w:r>
              <w:rPr>
                <w:rFonts w:ascii="Times New Roman" w:hAnsi="Times New Roman"/>
                <w:b w:val="0"/>
                <w:i w:val="0"/>
                <w:sz w:val="22"/>
              </w:rPr>
              <w:t>Control</w:t>
            </w:r>
          </w:p>
        </w:tc>
        <w:tc>
          <w:tcPr>
            <w:tcW w:type="dxa" w:w="1296"/>
            <w:vAlign w:val="center"/>
            <w:tcBorders>
              <w:bottom w:val="single" w:sz="4" w:space="0" w:color="auto"/>
            </w:tcBorders>
          </w:tcPr>
          <w:p>
            <w:pPr>
              <w:spacing w:before="0" w:after="0"/>
              <w:jc w:val="left"/>
            </w:pPr>
            <w:r/>
            <w:r>
              <w:rPr>
                <w:rFonts w:ascii="Times New Roman" w:hAnsi="Times New Roman"/>
                <w:b w:val="0"/>
                <w:i w:val="0"/>
                <w:sz w:val="22"/>
              </w:rPr>
              <w:t>Gain</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37</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8.25</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3.69</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-3.97</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16.03</w:t>
            </w:r>
          </w:p>
        </w:tc>
      </w:tr>
    </w:tbl>
    <w:p>
      <w:pPr>
        <w:spacing w:before="120" w:after="120"/>
      </w:pPr>
      <w:r>
        <w:rPr>
          <w:rFonts w:ascii="Times New Roman" w:hAnsi="Times New Roman"/>
          <w:b w:val="0"/>
          <w:i w:val="0"/>
          <w:sz w:val="24"/>
        </w:rPr>
        <w:t>Both classes improved from pretest to posttest, indicating that both classroom conditions contained meaningful learning activity. The experimental class improved by a larger margin (mean gain = 11.86, SD = 6.71) than the control class (mean gain = 8.25, SD = 3.69). Descriptively, the two classes were similar in mean pretest speaking scores, but the experimental class exhibited considerably greater variability (SD = 5.55, range = 58.70–90.70) compared with the control class (SD = 1.84, range = 69.30–77.30). This distributional difference is noted because it affects the interpretation of baseline comparability.</w:t>
      </w:r>
    </w:p>
    <w:p>
      <w:pPr>
        <w:spacing w:before="120" w:after="120"/>
      </w:pPr>
      <w:r>
        <w:rPr>
          <w:rFonts w:ascii="Times New Roman" w:hAnsi="Times New Roman"/>
          <w:b w:val="0"/>
          <w:i w:val="0"/>
          <w:sz w:val="24"/>
        </w:rPr>
        <w:t>After adjustment for baseline speaking score, students in the Bicaranta class had an estimated posttest score 3.32 points higher than students in the regular-instruction class (adjusted mean difference = 3.32, 95% CI [1.29, 5.34], p = .002, Hedges' g = 0.75). Heteroskedasticity-robust standard errors (HC3) were used because residual diagnostics indicated unequal variance across groups (Levene's F = 6.87, p = .011). A gain-score Welch t-test produced a consistent direction of effect (mean gain difference = 3.61, 95% CI [1.17, 6.06], p = .004, Hedges' g = 0.65).</w:t>
      </w:r>
    </w:p>
    <w:p>
      <w:pPr>
        <w:spacing w:before="120" w:after="120"/>
      </w:pPr>
      <w:r>
        <w:rPr>
          <w:rFonts w:ascii="Times New Roman" w:hAnsi="Times New Roman"/>
          <w:b w:val="0"/>
          <w:i w:val="0"/>
          <w:sz w:val="24"/>
        </w:rPr>
        <w:t xml:space="preserve">This pattern is consistent with, but more specific than, the broad multimedia effect reported by </w:t>
      </w:r>
      <w:hyperlink w:anchor="ref_Mahdi_2022" w:history="1">
        <w:r>
          <w:rPr>
            <w:rFonts w:ascii="Times New Roman" w:hAnsi="Times New Roman"/>
            <w:u w:val="none"/>
            <w:sz w:val="24"/>
            <w:szCs w:val="24"/>
          </w:rPr>
          <w:t>Mahdi (2022)</w:t>
        </w:r>
      </w:hyperlink>
      <w:r>
        <w:rPr>
          <w:rFonts w:ascii="Times New Roman" w:hAnsi="Times New Roman"/>
          <w:b w:val="0"/>
          <w:i w:val="0"/>
          <w:sz w:val="24"/>
        </w:rPr>
        <w:t>. In Mahdi's study, the conclusion was that interactive multimedia improved speaking and presentation performance. In the present study, the advantage may reflect the specific practice sequence that Bicaranta organized: repeated cycles of segmented input, explain-back production, and self-playback. That specificity matters because it fits the logic of the intervention design. A platform that repeatedly asks students to restate, record, and replay explanations would be expected to influence structural organization and communicative control most directly.</w:t>
      </w:r>
    </w:p>
    <w:p>
      <w:pPr>
        <w:spacing w:before="120" w:after="120"/>
      </w:pPr>
      <w:r>
        <w:rPr>
          <w:rFonts w:ascii="Times New Roman" w:hAnsi="Times New Roman"/>
          <w:b w:val="0"/>
          <w:i w:val="0"/>
          <w:sz w:val="24"/>
        </w:rPr>
        <w:t xml:space="preserve">The speaking result is also compatible with CALL-EJ studies that show oral gains when technology is tied to repeated performance rather than passive access </w:t>
      </w:r>
      <w:r>
        <w:rPr>
          <w:rFonts w:ascii="Times New Roman" w:hAnsi="Times New Roman"/>
          <w:b w:val="0"/>
          <w:i w:val="0"/>
          <w:sz w:val="24"/>
        </w:rPr>
        <w:t>(</w:t>
      </w:r>
      <w:hyperlink w:anchor="ref_Mathur_2022" w:history="1">
        <w:r>
          <w:rPr>
            <w:rFonts w:ascii="Times New Roman" w:hAnsi="Times New Roman"/>
            <w:u w:val="none"/>
            <w:sz w:val="24"/>
            <w:szCs w:val="24"/>
          </w:rPr>
          <w:t>Mathur &amp; Mahapatra, 2022</w:t>
        </w:r>
      </w:hyperlink>
      <w:r>
        <w:rPr>
          <w:rFonts w:ascii="Times New Roman" w:hAnsi="Times New Roman"/>
          <w:b w:val="0"/>
          <w:i w:val="0"/>
          <w:sz w:val="24"/>
        </w:rPr>
        <w:t xml:space="preserve">; </w:t>
      </w:r>
      <w:hyperlink w:anchor="ref_Nasri_2022" w:history="1">
        <w:r>
          <w:rPr>
            <w:rFonts w:ascii="Times New Roman" w:hAnsi="Times New Roman"/>
            <w:u w:val="none"/>
            <w:sz w:val="24"/>
            <w:szCs w:val="24"/>
          </w:rPr>
          <w:t>Nasri et al., 2022</w:t>
        </w:r>
      </w:hyperlink>
      <w:r>
        <w:rPr>
          <w:rFonts w:ascii="Times New Roman" w:hAnsi="Times New Roman"/>
          <w:b w:val="0"/>
          <w:i w:val="0"/>
          <w:sz w:val="24"/>
        </w:rPr>
        <w:t>)</w:t>
      </w:r>
      <w:r>
        <w:rPr>
          <w:rFonts w:ascii="Times New Roman" w:hAnsi="Times New Roman"/>
          <w:b w:val="0"/>
          <w:i w:val="0"/>
          <w:sz w:val="24"/>
        </w:rPr>
        <w:t>. The current evidence suggests that the added value of Bicaranta lies less in multimedia richness and more in the practice sequence it organizes. However, because only one class received each condition, the estimate cannot be separated from unmeasured class-level characteristics.</w:t>
      </w:r>
    </w:p>
    <w:p>
      <w:pPr>
        <w:pStyle w:val="Heading2"/>
        <w:spacing w:before="120" w:after="120" w:line="240" w:lineRule="auto"/>
      </w:pPr>
      <w:r>
        <w:rPr>
          <w:color w:val="4472C4"/>
          <w:sz w:val="24"/>
        </w:rPr>
        <w:t>Comparative pattern in metacognitive awareness</w:t>
      </w:r>
    </w:p>
    <w:p>
      <w:pPr>
        <w:spacing w:before="120" w:after="120"/>
      </w:pPr>
      <w:r>
        <w:rPr>
          <w:rFonts w:ascii="Times New Roman" w:hAnsi="Times New Roman"/>
          <w:b w:val="0"/>
          <w:i w:val="0"/>
          <w:sz w:val="24"/>
        </w:rPr>
        <w:t>The second outcome concerned speaking-related metacognitive awareness.</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9072"/>
            <w:gridSpan w:val="7"/>
            <w:tcBorders/>
          </w:tcPr>
          <w:p>
            <w:pPr>
              <w:spacing w:before="0" w:after="0"/>
            </w:pPr>
            <w:r/>
            <w:r>
              <w:rPr>
                <w:rFonts w:ascii="Times New Roman" w:hAnsi="Times New Roman"/>
                <w:b/>
                <w:i w:val="0"/>
                <w:sz w:val="22"/>
              </w:rPr>
              <w:t>Table 3.</w:t>
            </w:r>
          </w:p>
          <w:p>
            <w:pPr>
              <w:spacing w:before="0" w:after="0"/>
            </w:pPr>
            <w:r>
              <w:rPr>
                <w:rFonts w:ascii="Times New Roman" w:hAnsi="Times New Roman"/>
                <w:b w:val="0"/>
                <w:i w:val="0"/>
                <w:sz w:val="22"/>
              </w:rPr>
              <w:t>Descriptive statistics for metacognitive-awareness scores</w:t>
            </w:r>
          </w:p>
        </w:tc>
      </w:tr>
      <w:tr>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Group</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Phase</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Mean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SD</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Min</w:t>
            </w:r>
          </w:p>
        </w:tc>
        <w:tc>
          <w:tcPr>
            <w:tcW w:type="dxa" w:w="1296"/>
            <w:vAlign w:val="center"/>
            <w:tcBorders>
              <w:top w:val="single" w:sz="4" w:space="0" w:color="auto"/>
              <w:bottom w:val="single" w:sz="4" w:space="0" w:color="auto"/>
            </w:tcBorders>
          </w:tcPr>
          <w:p>
            <w:pPr>
              <w:spacing w:before="0" w:after="0"/>
              <w:jc w:val="left"/>
            </w:pPr>
            <w:r/>
            <w:r>
              <w:rPr>
                <w:rFonts w:ascii="Times New Roman" w:hAnsi="Times New Roman"/>
                <w:b/>
                <w:i w:val="0"/>
                <w:sz w:val="22"/>
              </w:rPr>
              <w:t>Max</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Pretest</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26.40</w:t>
            </w:r>
          </w:p>
        </w:tc>
        <w:tc>
          <w:tcPr>
            <w:tcW w:type="dxa" w:w="1296"/>
            <w:vAlign w:val="center"/>
            <w:tcBorders/>
          </w:tcPr>
          <w:p>
            <w:pPr>
              <w:spacing w:before="0" w:after="0"/>
              <w:jc w:val="center"/>
            </w:pPr>
            <w:r/>
            <w:r>
              <w:rPr>
                <w:rFonts w:ascii="Times New Roman" w:hAnsi="Times New Roman"/>
                <w:b w:val="0"/>
                <w:i w:val="0"/>
                <w:sz w:val="22"/>
              </w:rPr>
              <w:t>8.30</w:t>
            </w:r>
          </w:p>
        </w:tc>
        <w:tc>
          <w:tcPr>
            <w:tcW w:type="dxa" w:w="1296"/>
            <w:vAlign w:val="center"/>
            <w:tcBorders/>
          </w:tcPr>
          <w:p>
            <w:pPr>
              <w:spacing w:before="0" w:after="0"/>
              <w:jc w:val="center"/>
            </w:pPr>
            <w:r/>
            <w:r>
              <w:rPr>
                <w:rFonts w:ascii="Times New Roman" w:hAnsi="Times New Roman"/>
                <w:b w:val="0"/>
                <w:i w:val="0"/>
                <w:sz w:val="22"/>
              </w:rPr>
              <w:t>16.00</w:t>
            </w:r>
          </w:p>
        </w:tc>
        <w:tc>
          <w:tcPr>
            <w:tcW w:type="dxa" w:w="1296"/>
            <w:vAlign w:val="center"/>
            <w:tcBorders/>
          </w:tcPr>
          <w:p>
            <w:pPr>
              <w:spacing w:before="0" w:after="0"/>
              <w:jc w:val="center"/>
            </w:pPr>
            <w:r/>
            <w:r>
              <w:rPr>
                <w:rFonts w:ascii="Times New Roman" w:hAnsi="Times New Roman"/>
                <w:b w:val="0"/>
                <w:i w:val="0"/>
                <w:sz w:val="22"/>
              </w:rPr>
              <w:t>64.00</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Posttest</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50.95</w:t>
            </w:r>
          </w:p>
        </w:tc>
        <w:tc>
          <w:tcPr>
            <w:tcW w:type="dxa" w:w="1296"/>
            <w:vAlign w:val="center"/>
            <w:tcBorders/>
          </w:tcPr>
          <w:p>
            <w:pPr>
              <w:spacing w:before="0" w:after="0"/>
              <w:jc w:val="center"/>
            </w:pPr>
            <w:r/>
            <w:r>
              <w:rPr>
                <w:rFonts w:ascii="Times New Roman" w:hAnsi="Times New Roman"/>
                <w:b w:val="0"/>
                <w:i w:val="0"/>
                <w:sz w:val="22"/>
              </w:rPr>
              <w:t>9.43</w:t>
            </w:r>
          </w:p>
        </w:tc>
        <w:tc>
          <w:tcPr>
            <w:tcW w:type="dxa" w:w="1296"/>
            <w:vAlign w:val="center"/>
            <w:tcBorders/>
          </w:tcPr>
          <w:p>
            <w:pPr>
              <w:spacing w:before="0" w:after="0"/>
              <w:jc w:val="center"/>
            </w:pPr>
            <w:r/>
            <w:r>
              <w:rPr>
                <w:rFonts w:ascii="Times New Roman" w:hAnsi="Times New Roman"/>
                <w:b w:val="0"/>
                <w:i w:val="0"/>
                <w:sz w:val="22"/>
              </w:rPr>
              <w:t>16.00</w:t>
            </w:r>
          </w:p>
        </w:tc>
        <w:tc>
          <w:tcPr>
            <w:tcW w:type="dxa" w:w="1296"/>
            <w:vAlign w:val="center"/>
            <w:tcBorders/>
          </w:tcPr>
          <w:p>
            <w:pPr>
              <w:spacing w:before="0" w:after="0"/>
              <w:jc w:val="center"/>
            </w:pPr>
            <w:r/>
            <w:r>
              <w:rPr>
                <w:rFonts w:ascii="Times New Roman" w:hAnsi="Times New Roman"/>
                <w:b w:val="0"/>
                <w:i w:val="0"/>
                <w:sz w:val="22"/>
              </w:rPr>
              <w:t>64.00</w:t>
            </w:r>
          </w:p>
        </w:tc>
      </w:tr>
      <w:tr>
        <w:tc>
          <w:tcPr>
            <w:tcW w:type="dxa" w:w="1296"/>
            <w:vAlign w:val="center"/>
            <w:tcBorders/>
          </w:tcPr>
          <w:p>
            <w:pPr>
              <w:spacing w:before="0" w:after="0"/>
              <w:jc w:val="left"/>
            </w:pPr>
            <w:r/>
            <w:r>
              <w:rPr>
                <w:rFonts w:ascii="Times New Roman" w:hAnsi="Times New Roman"/>
                <w:b w:val="0"/>
                <w:i w:val="0"/>
                <w:sz w:val="22"/>
              </w:rPr>
              <w:t>Experimental</w:t>
            </w:r>
          </w:p>
        </w:tc>
        <w:tc>
          <w:tcPr>
            <w:tcW w:type="dxa" w:w="1296"/>
            <w:vAlign w:val="center"/>
            <w:tcBorders/>
          </w:tcPr>
          <w:p>
            <w:pPr>
              <w:spacing w:before="0" w:after="0"/>
              <w:jc w:val="left"/>
            </w:pPr>
            <w:r/>
            <w:r>
              <w:rPr>
                <w:rFonts w:ascii="Times New Roman" w:hAnsi="Times New Roman"/>
                <w:b w:val="0"/>
                <w:i w:val="0"/>
                <w:sz w:val="22"/>
              </w:rPr>
              <w:t>Gain</w:t>
            </w:r>
          </w:p>
        </w:tc>
        <w:tc>
          <w:tcPr>
            <w:tcW w:type="dxa" w:w="1296"/>
            <w:vAlign w:val="center"/>
            <w:tcBorders/>
          </w:tcPr>
          <w:p>
            <w:pPr>
              <w:spacing w:before="0" w:after="0"/>
              <w:jc w:val="center"/>
            </w:pPr>
            <w:r/>
            <w:r>
              <w:rPr>
                <w:rFonts w:ascii="Times New Roman" w:hAnsi="Times New Roman"/>
                <w:b w:val="0"/>
                <w:i w:val="0"/>
                <w:sz w:val="22"/>
              </w:rPr>
              <w:t>40</w:t>
            </w:r>
          </w:p>
        </w:tc>
        <w:tc>
          <w:tcPr>
            <w:tcW w:type="dxa" w:w="1296"/>
            <w:vAlign w:val="center"/>
            <w:tcBorders/>
          </w:tcPr>
          <w:p>
            <w:pPr>
              <w:spacing w:before="0" w:after="0"/>
              <w:jc w:val="center"/>
            </w:pPr>
            <w:r/>
            <w:r>
              <w:rPr>
                <w:rFonts w:ascii="Times New Roman" w:hAnsi="Times New Roman"/>
                <w:b w:val="0"/>
                <w:i w:val="0"/>
                <w:sz w:val="22"/>
              </w:rPr>
              <w:t>24.55</w:t>
            </w:r>
          </w:p>
        </w:tc>
        <w:tc>
          <w:tcPr>
            <w:tcW w:type="dxa" w:w="1296"/>
            <w:vAlign w:val="center"/>
            <w:tcBorders/>
          </w:tcPr>
          <w:p>
            <w:pPr>
              <w:spacing w:before="0" w:after="0"/>
              <w:jc w:val="center"/>
            </w:pPr>
            <w:r/>
            <w:r>
              <w:rPr>
                <w:rFonts w:ascii="Times New Roman" w:hAnsi="Times New Roman"/>
                <w:b w:val="0"/>
                <w:i w:val="0"/>
                <w:sz w:val="22"/>
              </w:rPr>
              <w:t>11.53</w:t>
            </w:r>
          </w:p>
        </w:tc>
        <w:tc>
          <w:tcPr>
            <w:tcW w:type="dxa" w:w="1296"/>
            <w:vAlign w:val="center"/>
            <w:tcBorders/>
          </w:tcPr>
          <w:p>
            <w:pPr>
              <w:spacing w:before="0" w:after="0"/>
              <w:jc w:val="center"/>
            </w:pPr>
            <w:r/>
            <w:r>
              <w:rPr>
                <w:rFonts w:ascii="Times New Roman" w:hAnsi="Times New Roman"/>
                <w:b w:val="0"/>
                <w:i w:val="0"/>
                <w:sz w:val="22"/>
              </w:rPr>
              <w:t>-12.00</w:t>
            </w:r>
          </w:p>
        </w:tc>
        <w:tc>
          <w:tcPr>
            <w:tcW w:type="dxa" w:w="1296"/>
            <w:vAlign w:val="center"/>
            <w:tcBorders/>
          </w:tcPr>
          <w:p>
            <w:pPr>
              <w:spacing w:before="0" w:after="0"/>
              <w:jc w:val="center"/>
            </w:pPr>
            <w:r/>
            <w:r>
              <w:rPr>
                <w:rFonts w:ascii="Times New Roman" w:hAnsi="Times New Roman"/>
                <w:b w:val="0"/>
                <w:i w:val="0"/>
                <w:sz w:val="22"/>
              </w:rPr>
              <w:t>48.00</w:t>
            </w:r>
          </w:p>
        </w:tc>
      </w:tr>
      <w:tr>
        <w:tc>
          <w:tcPr>
            <w:tcW w:type="dxa" w:w="1296"/>
            <w:vAlign w:val="center"/>
            <w:tcBorders/>
          </w:tcPr>
          <w:p>
            <w:pPr>
              <w:spacing w:before="0" w:after="0"/>
              <w:jc w:val="left"/>
            </w:pPr>
            <w:r/>
            <w:r>
              <w:rPr>
                <w:rFonts w:ascii="Times New Roman" w:hAnsi="Times New Roman"/>
                <w:b w:val="0"/>
                <w:i w:val="0"/>
                <w:sz w:val="22"/>
              </w:rPr>
              <w:t>Control</w:t>
            </w:r>
          </w:p>
        </w:tc>
        <w:tc>
          <w:tcPr>
            <w:tcW w:type="dxa" w:w="1296"/>
            <w:vAlign w:val="center"/>
            <w:tcBorders/>
          </w:tcPr>
          <w:p>
            <w:pPr>
              <w:spacing w:before="0" w:after="0"/>
              <w:jc w:val="left"/>
            </w:pPr>
            <w:r/>
            <w:r>
              <w:rPr>
                <w:rFonts w:ascii="Times New Roman" w:hAnsi="Times New Roman"/>
                <w:b w:val="0"/>
                <w:i w:val="0"/>
                <w:sz w:val="22"/>
              </w:rPr>
              <w:t>Pretest</w:t>
            </w:r>
          </w:p>
        </w:tc>
        <w:tc>
          <w:tcPr>
            <w:tcW w:type="dxa" w:w="1296"/>
            <w:vAlign w:val="center"/>
            <w:tcBorders/>
          </w:tcPr>
          <w:p>
            <w:pPr>
              <w:spacing w:before="0" w:after="0"/>
              <w:jc w:val="center"/>
            </w:pPr>
            <w:r/>
            <w:r>
              <w:rPr>
                <w:rFonts w:ascii="Times New Roman" w:hAnsi="Times New Roman"/>
                <w:b w:val="0"/>
                <w:i w:val="0"/>
                <w:sz w:val="22"/>
              </w:rPr>
              <w:t>37</w:t>
            </w:r>
          </w:p>
        </w:tc>
        <w:tc>
          <w:tcPr>
            <w:tcW w:type="dxa" w:w="1296"/>
            <w:vAlign w:val="center"/>
            <w:tcBorders/>
          </w:tcPr>
          <w:p>
            <w:pPr>
              <w:spacing w:before="0" w:after="0"/>
              <w:jc w:val="center"/>
            </w:pPr>
            <w:r/>
            <w:r>
              <w:rPr>
                <w:rFonts w:ascii="Times New Roman" w:hAnsi="Times New Roman"/>
                <w:b w:val="0"/>
                <w:i w:val="0"/>
                <w:sz w:val="22"/>
              </w:rPr>
              <w:t>31.89</w:t>
            </w:r>
          </w:p>
        </w:tc>
        <w:tc>
          <w:tcPr>
            <w:tcW w:type="dxa" w:w="1296"/>
            <w:vAlign w:val="center"/>
            <w:tcBorders/>
          </w:tcPr>
          <w:p>
            <w:pPr>
              <w:spacing w:before="0" w:after="0"/>
              <w:jc w:val="center"/>
            </w:pPr>
            <w:r/>
            <w:r>
              <w:rPr>
                <w:rFonts w:ascii="Times New Roman" w:hAnsi="Times New Roman"/>
                <w:b w:val="0"/>
                <w:i w:val="0"/>
                <w:sz w:val="22"/>
              </w:rPr>
              <w:t>11.99</w:t>
            </w:r>
          </w:p>
        </w:tc>
        <w:tc>
          <w:tcPr>
            <w:tcW w:type="dxa" w:w="1296"/>
            <w:vAlign w:val="center"/>
            <w:tcBorders/>
          </w:tcPr>
          <w:p>
            <w:pPr>
              <w:spacing w:before="0" w:after="0"/>
              <w:jc w:val="center"/>
            </w:pPr>
            <w:r/>
            <w:r>
              <w:rPr>
                <w:rFonts w:ascii="Times New Roman" w:hAnsi="Times New Roman"/>
                <w:b w:val="0"/>
                <w:i w:val="0"/>
                <w:sz w:val="22"/>
              </w:rPr>
              <w:t>20.00</w:t>
            </w:r>
          </w:p>
        </w:tc>
        <w:tc>
          <w:tcPr>
            <w:tcW w:type="dxa" w:w="1296"/>
            <w:vAlign w:val="center"/>
            <w:tcBorders/>
          </w:tcPr>
          <w:p>
            <w:pPr>
              <w:spacing w:before="0" w:after="0"/>
              <w:jc w:val="center"/>
            </w:pPr>
            <w:r/>
            <w:r>
              <w:rPr>
                <w:rFonts w:ascii="Times New Roman" w:hAnsi="Times New Roman"/>
                <w:b w:val="0"/>
                <w:i w:val="0"/>
                <w:sz w:val="22"/>
              </w:rPr>
              <w:t>62.00</w:t>
            </w:r>
          </w:p>
        </w:tc>
      </w:tr>
      <w:tr>
        <w:tc>
          <w:tcPr>
            <w:tcW w:type="dxa" w:w="1296"/>
            <w:vAlign w:val="center"/>
            <w:tcBorders/>
          </w:tcPr>
          <w:p>
            <w:pPr>
              <w:spacing w:before="0" w:after="0"/>
              <w:jc w:val="left"/>
            </w:pPr>
            <w:r/>
            <w:r>
              <w:rPr>
                <w:rFonts w:ascii="Times New Roman" w:hAnsi="Times New Roman"/>
                <w:b w:val="0"/>
                <w:i w:val="0"/>
                <w:sz w:val="22"/>
              </w:rPr>
              <w:t>Control</w:t>
            </w:r>
          </w:p>
        </w:tc>
        <w:tc>
          <w:tcPr>
            <w:tcW w:type="dxa" w:w="1296"/>
            <w:vAlign w:val="center"/>
            <w:tcBorders/>
          </w:tcPr>
          <w:p>
            <w:pPr>
              <w:spacing w:before="0" w:after="0"/>
              <w:jc w:val="left"/>
            </w:pPr>
            <w:r/>
            <w:r>
              <w:rPr>
                <w:rFonts w:ascii="Times New Roman" w:hAnsi="Times New Roman"/>
                <w:b w:val="0"/>
                <w:i w:val="0"/>
                <w:sz w:val="22"/>
              </w:rPr>
              <w:t>Posttest</w:t>
            </w:r>
          </w:p>
        </w:tc>
        <w:tc>
          <w:tcPr>
            <w:tcW w:type="dxa" w:w="1296"/>
            <w:vAlign w:val="center"/>
            <w:tcBorders/>
          </w:tcPr>
          <w:p>
            <w:pPr>
              <w:spacing w:before="0" w:after="0"/>
              <w:jc w:val="center"/>
            </w:pPr>
            <w:r/>
            <w:r>
              <w:rPr>
                <w:rFonts w:ascii="Times New Roman" w:hAnsi="Times New Roman"/>
                <w:b w:val="0"/>
                <w:i w:val="0"/>
                <w:sz w:val="22"/>
              </w:rPr>
              <w:t>37</w:t>
            </w:r>
          </w:p>
        </w:tc>
        <w:tc>
          <w:tcPr>
            <w:tcW w:type="dxa" w:w="1296"/>
            <w:vAlign w:val="center"/>
            <w:tcBorders/>
          </w:tcPr>
          <w:p>
            <w:pPr>
              <w:spacing w:before="0" w:after="0"/>
              <w:jc w:val="center"/>
            </w:pPr>
            <w:r/>
            <w:r>
              <w:rPr>
                <w:rFonts w:ascii="Times New Roman" w:hAnsi="Times New Roman"/>
                <w:b w:val="0"/>
                <w:i w:val="0"/>
                <w:sz w:val="22"/>
              </w:rPr>
              <w:t>48.35</w:t>
            </w:r>
          </w:p>
        </w:tc>
        <w:tc>
          <w:tcPr>
            <w:tcW w:type="dxa" w:w="1296"/>
            <w:vAlign w:val="center"/>
            <w:tcBorders/>
          </w:tcPr>
          <w:p>
            <w:pPr>
              <w:spacing w:before="0" w:after="0"/>
              <w:jc w:val="center"/>
            </w:pPr>
            <w:r/>
            <w:r>
              <w:rPr>
                <w:rFonts w:ascii="Times New Roman" w:hAnsi="Times New Roman"/>
                <w:b w:val="0"/>
                <w:i w:val="0"/>
                <w:sz w:val="22"/>
              </w:rPr>
              <w:t>7.45</w:t>
            </w:r>
          </w:p>
        </w:tc>
        <w:tc>
          <w:tcPr>
            <w:tcW w:type="dxa" w:w="1296"/>
            <w:vAlign w:val="center"/>
            <w:tcBorders/>
          </w:tcPr>
          <w:p>
            <w:pPr>
              <w:spacing w:before="0" w:after="0"/>
              <w:jc w:val="center"/>
            </w:pPr>
            <w:r/>
            <w:r>
              <w:rPr>
                <w:rFonts w:ascii="Times New Roman" w:hAnsi="Times New Roman"/>
                <w:b w:val="0"/>
                <w:i w:val="0"/>
                <w:sz w:val="22"/>
              </w:rPr>
              <w:t>27.00</w:t>
            </w:r>
          </w:p>
        </w:tc>
        <w:tc>
          <w:tcPr>
            <w:tcW w:type="dxa" w:w="1296"/>
            <w:vAlign w:val="center"/>
            <w:tcBorders/>
          </w:tcPr>
          <w:p>
            <w:pPr>
              <w:spacing w:before="0" w:after="0"/>
              <w:jc w:val="center"/>
            </w:pPr>
            <w:r/>
            <w:r>
              <w:rPr>
                <w:rFonts w:ascii="Times New Roman" w:hAnsi="Times New Roman"/>
                <w:b w:val="0"/>
                <w:i w:val="0"/>
                <w:sz w:val="22"/>
              </w:rPr>
              <w:t>59.00</w:t>
            </w:r>
          </w:p>
        </w:tc>
      </w:tr>
      <w:tr>
        <w:tc>
          <w:tcPr>
            <w:tcW w:type="dxa" w:w="1296"/>
            <w:vAlign w:val="center"/>
            <w:tcBorders>
              <w:bottom w:val="single" w:sz="4" w:space="0" w:color="auto"/>
            </w:tcBorders>
          </w:tcPr>
          <w:p>
            <w:pPr>
              <w:spacing w:before="0" w:after="0"/>
              <w:jc w:val="left"/>
            </w:pPr>
            <w:r/>
            <w:r>
              <w:rPr>
                <w:rFonts w:ascii="Times New Roman" w:hAnsi="Times New Roman"/>
                <w:b w:val="0"/>
                <w:i w:val="0"/>
                <w:sz w:val="22"/>
              </w:rPr>
              <w:t>Control</w:t>
            </w:r>
          </w:p>
        </w:tc>
        <w:tc>
          <w:tcPr>
            <w:tcW w:type="dxa" w:w="1296"/>
            <w:vAlign w:val="center"/>
            <w:tcBorders>
              <w:bottom w:val="single" w:sz="4" w:space="0" w:color="auto"/>
            </w:tcBorders>
          </w:tcPr>
          <w:p>
            <w:pPr>
              <w:spacing w:before="0" w:after="0"/>
              <w:jc w:val="left"/>
            </w:pPr>
            <w:r/>
            <w:r>
              <w:rPr>
                <w:rFonts w:ascii="Times New Roman" w:hAnsi="Times New Roman"/>
                <w:b w:val="0"/>
                <w:i w:val="0"/>
                <w:sz w:val="22"/>
              </w:rPr>
              <w:t>Gain</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37</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16.46</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10.19</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-4.00</w:t>
            </w:r>
          </w:p>
        </w:tc>
        <w:tc>
          <w:tcPr>
            <w:tcW w:type="dxa" w:w="1296"/>
            <w:vAlign w:val="center"/>
            <w:tcBorders>
              <w:bottom w:val="single" w:sz="4" w:space="0" w:color="auto"/>
            </w:tcBorders>
          </w:tcPr>
          <w:p>
            <w:pPr>
              <w:spacing w:before="0" w:after="0"/>
              <w:jc w:val="center"/>
            </w:pPr>
            <w:r/>
            <w:r>
              <w:rPr>
                <w:rFonts w:ascii="Times New Roman" w:hAnsi="Times New Roman"/>
                <w:b w:val="0"/>
                <w:i w:val="0"/>
                <w:sz w:val="22"/>
              </w:rPr>
              <w:t>30.00</w:t>
            </w:r>
          </w:p>
        </w:tc>
      </w:tr>
    </w:tbl>
    <w:p>
      <w:pPr>
        <w:spacing w:before="120" w:after="120"/>
      </w:pPr>
      <w:r>
        <w:rPr>
          <w:rFonts w:ascii="Times New Roman" w:hAnsi="Times New Roman"/>
          <w:b w:val="0"/>
          <w:i w:val="0"/>
          <w:sz w:val="24"/>
        </w:rPr>
        <w:t>Both classes increased in metacognitive-awareness scores, but the experimental class showed a larger increase (mean gain = 24.55, SD = 11.53) than the control class (mean gain = 16.46, SD = 10.19). Importantly, the classes differed descriptively at baseline on metacognitive awareness (experimental M = 26.40, SD = 8.30; control M = 31.89, SD = 11.99), with the control class starting higher. Consequently, raw gain scores were not treated as the sole basis for the between-group inference.</w:t>
      </w:r>
    </w:p>
    <w:p>
      <w:pPr>
        <w:spacing w:before="120" w:after="120"/>
      </w:pPr>
      <w:r>
        <w:rPr>
          <w:rFonts w:ascii="Times New Roman" w:hAnsi="Times New Roman"/>
          <w:b w:val="0"/>
          <w:i w:val="0"/>
          <w:sz w:val="24"/>
        </w:rPr>
        <w:t>Because the metacognitive score was bounded and the groups differed at baseline, the primary analysis estimated the posttest group difference while adjusting for pretest score. After adjustment for baseline metacognitive-awareness score, the experimental class had an estimated posttest score 4.14 points higher than the control class (adjusted mean difference = 4.14, 95% CI [0.40, 7.88], p = .030, Hedges' g = 0.51). A gain-score Welch t-test as a sensitivity analysis showed a consistent direction (mean gain difference = 8.09, 95% CI [3.16, 13.02], p = .002, Hedges' g = 0.73).</w:t>
      </w:r>
    </w:p>
    <w:p>
      <w:pPr>
        <w:spacing w:before="120" w:after="120"/>
      </w:pPr>
      <w:r>
        <w:rPr>
          <w:rFonts w:ascii="Times New Roman" w:hAnsi="Times New Roman"/>
          <w:b w:val="0"/>
          <w:i w:val="0"/>
          <w:sz w:val="24"/>
        </w:rPr>
        <w:t>The increase should be interpreted as growth in self-reported speaking-related metacognitive awareness as operationalized by the adapted questionnaire. Because several items were closely aligned with practices explicitly taught in Bicaranta (e.g., explain-back regulation), the measure may partly reflect intervention-specific awareness rather than broad metacognitive transfer. This pattern is theoretically meaningful in that the intervention was designed to elicit self-regulation, but it does not constitute evidence of domain-general metacognitive change.</w:t>
      </w:r>
    </w:p>
    <w:p>
      <w:pPr>
        <w:pStyle w:val="Heading2"/>
        <w:spacing w:before="120" w:after="120" w:line="240" w:lineRule="auto"/>
      </w:pPr>
      <w:r>
        <w:rPr>
          <w:color w:val="4472C4"/>
          <w:sz w:val="24"/>
        </w:rPr>
        <w:t>Perceived usefulness and implementation friction</w:t>
      </w:r>
    </w:p>
    <w:p>
      <w:pPr>
        <w:spacing w:before="120" w:after="120"/>
      </w:pPr>
      <w:r>
        <w:rPr>
          <w:rFonts w:ascii="Times New Roman" w:hAnsi="Times New Roman"/>
          <w:b w:val="0"/>
          <w:i w:val="0"/>
          <w:sz w:val="24"/>
        </w:rPr>
        <w:t>The post-use response profile clarifies how students in the experimental class experienced the platform.</w:t>
      </w:r>
    </w:p>
    <w:tbl>
      <w:tblPr>
        <w:tblW w:type="auto" w:w="0"/>
        <w:jc w:val="center"/>
        <w:tblLook w:firstColumn="1" w:firstRow="1" w:lastColumn="0" w:lastRow="0" w:noHBand="0" w:noVBand="1" w:val="04A0"/>
      </w:tblPr>
      <w:tblGrid>
        <w:gridCol w:w="4535"/>
        <w:gridCol w:w="4535"/>
      </w:tblGrid>
      <w:tr>
        <w:tc>
          <w:tcPr>
            <w:tcW w:type="dxa" w:w="9070"/>
            <w:gridSpan w:val="2"/>
            <w:tcBorders/>
          </w:tcPr>
          <w:p>
            <w:pPr>
              <w:spacing w:before="0" w:after="0"/>
            </w:pPr>
            <w:r/>
            <w:r>
              <w:rPr>
                <w:rFonts w:ascii="Times New Roman" w:hAnsi="Times New Roman"/>
                <w:b/>
                <w:i w:val="0"/>
                <w:sz w:val="22"/>
              </w:rPr>
              <w:t>Table 4.</w:t>
            </w:r>
          </w:p>
          <w:p>
            <w:pPr>
              <w:spacing w:before="0" w:after="0"/>
            </w:pPr>
            <w:r>
              <w:rPr>
                <w:rFonts w:ascii="Times New Roman" w:hAnsi="Times New Roman"/>
                <w:b w:val="0"/>
                <w:i w:val="0"/>
                <w:sz w:val="22"/>
              </w:rPr>
              <w:t>Mean post-use response profile (experimental class, n = 40)</w:t>
            </w:r>
          </w:p>
        </w:tc>
      </w:tr>
      <w:tr>
        <w:tc>
          <w:tcPr>
            <w:tcW w:type="dxa" w:w="4535"/>
            <w:vAlign w:val="center"/>
            <w:tcBorders>
              <w:top w:val="single" w:sz="4" w:space="0" w:color="auto"/>
              <w:bottom w:val="single" w:sz="4" w:space="0" w:color="auto"/>
            </w:tcBorders>
          </w:tcPr>
          <w:p>
            <w:pPr>
              <w:spacing w:before="0" w:after="0"/>
              <w:jc w:val="left"/>
            </w:pPr>
            <w:r/>
            <w:r>
              <w:rPr>
                <w:rFonts w:ascii="Times New Roman" w:hAnsi="Times New Roman"/>
                <w:b/>
                <w:i w:val="0"/>
                <w:sz w:val="22"/>
              </w:rPr>
              <w:t>Dimension</w:t>
            </w:r>
          </w:p>
        </w:tc>
        <w:tc>
          <w:tcPr>
            <w:tcW w:type="dxa" w:w="4535"/>
            <w:vAlign w:val="center"/>
            <w:tcBorders>
              <w:top w:val="single" w:sz="4" w:space="0" w:color="auto"/>
              <w:bottom w:val="single" w:sz="4" w:space="0" w:color="auto"/>
            </w:tcBorders>
          </w:tcPr>
          <w:p>
            <w:pPr>
              <w:spacing w:before="0" w:after="0"/>
              <w:jc w:val="left"/>
            </w:pPr>
            <w:r/>
            <w:r>
              <w:rPr>
                <w:rFonts w:ascii="Times New Roman" w:hAnsi="Times New Roman"/>
                <w:b/>
                <w:i w:val="0"/>
                <w:sz w:val="22"/>
              </w:rPr>
              <w:t>Mean score</w:t>
            </w:r>
          </w:p>
        </w:tc>
      </w:tr>
      <w:tr>
        <w:tc>
          <w:tcPr>
            <w:tcW w:type="dxa" w:w="4535"/>
            <w:vAlign w:val="center"/>
            <w:tcBorders/>
          </w:tcPr>
          <w:p>
            <w:pPr>
              <w:spacing w:before="0" w:after="0"/>
              <w:jc w:val="left"/>
            </w:pPr>
            <w:r/>
            <w:r>
              <w:rPr>
                <w:rFonts w:ascii="Times New Roman" w:hAnsi="Times New Roman"/>
                <w:b w:val="0"/>
                <w:i w:val="0"/>
                <w:sz w:val="22"/>
              </w:rPr>
              <w:t>Content quality</w:t>
            </w:r>
          </w:p>
        </w:tc>
        <w:tc>
          <w:tcPr>
            <w:tcW w:type="dxa" w:w="4535"/>
            <w:vAlign w:val="center"/>
            <w:tcBorders/>
          </w:tcPr>
          <w:p>
            <w:pPr>
              <w:spacing w:before="0" w:after="0"/>
              <w:jc w:val="left"/>
            </w:pPr>
            <w:r/>
            <w:r>
              <w:rPr>
                <w:rFonts w:ascii="Times New Roman" w:hAnsi="Times New Roman"/>
                <w:b w:val="0"/>
                <w:i w:val="0"/>
                <w:sz w:val="22"/>
              </w:rPr>
              <w:t>7.00 / 8</w:t>
            </w:r>
          </w:p>
        </w:tc>
      </w:tr>
      <w:tr>
        <w:tc>
          <w:tcPr>
            <w:tcW w:type="dxa" w:w="4535"/>
            <w:vAlign w:val="center"/>
            <w:tcBorders/>
          </w:tcPr>
          <w:p>
            <w:pPr>
              <w:spacing w:before="0" w:after="0"/>
              <w:jc w:val="left"/>
            </w:pPr>
            <w:r/>
            <w:r>
              <w:rPr>
                <w:rFonts w:ascii="Times New Roman" w:hAnsi="Times New Roman"/>
                <w:b w:val="0"/>
                <w:i w:val="0"/>
                <w:sz w:val="22"/>
              </w:rPr>
              <w:t>Ease of use</w:t>
            </w:r>
          </w:p>
        </w:tc>
        <w:tc>
          <w:tcPr>
            <w:tcW w:type="dxa" w:w="4535"/>
            <w:vAlign w:val="center"/>
            <w:tcBorders/>
          </w:tcPr>
          <w:p>
            <w:pPr>
              <w:spacing w:before="0" w:after="0"/>
              <w:jc w:val="left"/>
            </w:pPr>
            <w:r/>
            <w:r>
              <w:rPr>
                <w:rFonts w:ascii="Times New Roman" w:hAnsi="Times New Roman"/>
                <w:b w:val="0"/>
                <w:i w:val="0"/>
                <w:sz w:val="22"/>
              </w:rPr>
              <w:t>5.03 / 8</w:t>
            </w:r>
          </w:p>
        </w:tc>
      </w:tr>
      <w:tr>
        <w:tc>
          <w:tcPr>
            <w:tcW w:type="dxa" w:w="4535"/>
            <w:vAlign w:val="center"/>
            <w:tcBorders/>
          </w:tcPr>
          <w:p>
            <w:pPr>
              <w:spacing w:before="0" w:after="0"/>
              <w:jc w:val="left"/>
            </w:pPr>
            <w:r/>
            <w:r>
              <w:rPr>
                <w:rFonts w:ascii="Times New Roman" w:hAnsi="Times New Roman"/>
                <w:b w:val="0"/>
                <w:i w:val="0"/>
                <w:sz w:val="22"/>
              </w:rPr>
              <w:t>Engagement</w:t>
            </w:r>
          </w:p>
        </w:tc>
        <w:tc>
          <w:tcPr>
            <w:tcW w:type="dxa" w:w="4535"/>
            <w:vAlign w:val="center"/>
            <w:tcBorders/>
          </w:tcPr>
          <w:p>
            <w:pPr>
              <w:spacing w:before="0" w:after="0"/>
              <w:jc w:val="left"/>
            </w:pPr>
            <w:r/>
            <w:r>
              <w:rPr>
                <w:rFonts w:ascii="Times New Roman" w:hAnsi="Times New Roman"/>
                <w:b w:val="0"/>
                <w:i w:val="0"/>
                <w:sz w:val="22"/>
              </w:rPr>
              <w:t>7.10 / 8</w:t>
            </w:r>
          </w:p>
        </w:tc>
      </w:tr>
      <w:tr>
        <w:tc>
          <w:tcPr>
            <w:tcW w:type="dxa" w:w="4535"/>
            <w:vAlign w:val="center"/>
            <w:tcBorders/>
          </w:tcPr>
          <w:p>
            <w:pPr>
              <w:spacing w:before="0" w:after="0"/>
              <w:jc w:val="left"/>
            </w:pPr>
            <w:r/>
            <w:r>
              <w:rPr>
                <w:rFonts w:ascii="Times New Roman" w:hAnsi="Times New Roman"/>
                <w:b w:val="0"/>
                <w:i w:val="0"/>
                <w:sz w:val="22"/>
              </w:rPr>
              <w:t>Speaking support</w:t>
            </w:r>
          </w:p>
        </w:tc>
        <w:tc>
          <w:tcPr>
            <w:tcW w:type="dxa" w:w="4535"/>
            <w:vAlign w:val="center"/>
            <w:tcBorders/>
          </w:tcPr>
          <w:p>
            <w:pPr>
              <w:spacing w:before="0" w:after="0"/>
              <w:jc w:val="left"/>
            </w:pPr>
            <w:r/>
            <w:r>
              <w:rPr>
                <w:rFonts w:ascii="Times New Roman" w:hAnsi="Times New Roman"/>
                <w:b w:val="0"/>
                <w:i w:val="0"/>
                <w:sz w:val="22"/>
              </w:rPr>
              <w:t>4.97 / 8</w:t>
            </w:r>
          </w:p>
        </w:tc>
      </w:tr>
      <w:tr>
        <w:tc>
          <w:tcPr>
            <w:tcW w:type="dxa" w:w="4535"/>
            <w:vAlign w:val="center"/>
            <w:tcBorders/>
          </w:tcPr>
          <w:p>
            <w:pPr>
              <w:spacing w:before="0" w:after="0"/>
              <w:jc w:val="left"/>
            </w:pPr>
            <w:r/>
            <w:r>
              <w:rPr>
                <w:rFonts w:ascii="Times New Roman" w:hAnsi="Times New Roman"/>
                <w:b w:val="0"/>
                <w:i w:val="0"/>
                <w:sz w:val="22"/>
              </w:rPr>
              <w:t>Metacognitive support</w:t>
            </w:r>
          </w:p>
        </w:tc>
        <w:tc>
          <w:tcPr>
            <w:tcW w:type="dxa" w:w="4535"/>
            <w:vAlign w:val="center"/>
            <w:tcBorders/>
          </w:tcPr>
          <w:p>
            <w:pPr>
              <w:spacing w:before="0" w:after="0"/>
              <w:jc w:val="left"/>
            </w:pPr>
            <w:r/>
            <w:r>
              <w:rPr>
                <w:rFonts w:ascii="Times New Roman" w:hAnsi="Times New Roman"/>
                <w:b w:val="0"/>
                <w:i w:val="0"/>
                <w:sz w:val="22"/>
              </w:rPr>
              <w:t>7.10 / 8</w:t>
            </w:r>
          </w:p>
        </w:tc>
      </w:tr>
      <w:tr>
        <w:tc>
          <w:tcPr>
            <w:tcW w:type="dxa" w:w="4535"/>
            <w:vAlign w:val="center"/>
            <w:tcBorders/>
          </w:tcPr>
          <w:p>
            <w:pPr>
              <w:spacing w:before="0" w:after="0"/>
              <w:jc w:val="left"/>
            </w:pPr>
            <w:r/>
            <w:r>
              <w:rPr>
                <w:rFonts w:ascii="Times New Roman" w:hAnsi="Times New Roman"/>
                <w:b w:val="0"/>
                <w:i w:val="0"/>
                <w:sz w:val="22"/>
              </w:rPr>
              <w:t>Microlearning design</w:t>
            </w:r>
          </w:p>
        </w:tc>
        <w:tc>
          <w:tcPr>
            <w:tcW w:type="dxa" w:w="4535"/>
            <w:vAlign w:val="center"/>
            <w:tcBorders/>
          </w:tcPr>
          <w:p>
            <w:pPr>
              <w:spacing w:before="0" w:after="0"/>
              <w:jc w:val="left"/>
            </w:pPr>
            <w:r/>
            <w:r>
              <w:rPr>
                <w:rFonts w:ascii="Times New Roman" w:hAnsi="Times New Roman"/>
                <w:b w:val="0"/>
                <w:i w:val="0"/>
                <w:sz w:val="22"/>
              </w:rPr>
              <w:t>4.97 / 8</w:t>
            </w:r>
          </w:p>
        </w:tc>
      </w:tr>
      <w:tr>
        <w:tc>
          <w:tcPr>
            <w:tcW w:type="dxa" w:w="4535"/>
            <w:vAlign w:val="center"/>
            <w:tcBorders/>
          </w:tcPr>
          <w:p>
            <w:pPr>
              <w:spacing w:before="0" w:after="0"/>
              <w:jc w:val="left"/>
            </w:pPr>
            <w:r/>
            <w:r>
              <w:rPr>
                <w:rFonts w:ascii="Times New Roman" w:hAnsi="Times New Roman"/>
                <w:b w:val="0"/>
                <w:i w:val="0"/>
                <w:sz w:val="22"/>
              </w:rPr>
              <w:t>Accessibility</w:t>
            </w:r>
          </w:p>
        </w:tc>
        <w:tc>
          <w:tcPr>
            <w:tcW w:type="dxa" w:w="4535"/>
            <w:vAlign w:val="center"/>
            <w:tcBorders/>
          </w:tcPr>
          <w:p>
            <w:pPr>
              <w:spacing w:before="0" w:after="0"/>
              <w:jc w:val="left"/>
            </w:pPr>
            <w:r/>
            <w:r>
              <w:rPr>
                <w:rFonts w:ascii="Times New Roman" w:hAnsi="Times New Roman"/>
                <w:b w:val="0"/>
                <w:i w:val="0"/>
                <w:sz w:val="22"/>
              </w:rPr>
              <w:t>4.95 / 8</w:t>
            </w:r>
          </w:p>
        </w:tc>
      </w:tr>
      <w:tr>
        <w:tc>
          <w:tcPr>
            <w:tcW w:type="dxa" w:w="4535"/>
            <w:vAlign w:val="center"/>
            <w:tcBorders/>
          </w:tcPr>
          <w:p>
            <w:pPr>
              <w:spacing w:before="0" w:after="0"/>
              <w:jc w:val="left"/>
            </w:pPr>
            <w:r/>
            <w:r>
              <w:rPr>
                <w:rFonts w:ascii="Times New Roman" w:hAnsi="Times New Roman"/>
                <w:b w:val="0"/>
                <w:i w:val="0"/>
                <w:sz w:val="22"/>
              </w:rPr>
              <w:t>Explain-back integration</w:t>
            </w:r>
          </w:p>
        </w:tc>
        <w:tc>
          <w:tcPr>
            <w:tcW w:type="dxa" w:w="4535"/>
            <w:vAlign w:val="center"/>
            <w:tcBorders/>
          </w:tcPr>
          <w:p>
            <w:pPr>
              <w:spacing w:before="0" w:after="0"/>
              <w:jc w:val="left"/>
            </w:pPr>
            <w:r/>
            <w:r>
              <w:rPr>
                <w:rFonts w:ascii="Times New Roman" w:hAnsi="Times New Roman"/>
                <w:b w:val="0"/>
                <w:i w:val="0"/>
                <w:sz w:val="22"/>
              </w:rPr>
              <w:t>6.97 / 8</w:t>
            </w:r>
          </w:p>
        </w:tc>
      </w:tr>
      <w:tr>
        <w:tc>
          <w:tcPr>
            <w:tcW w:type="dxa" w:w="4535"/>
            <w:vAlign w:val="center"/>
            <w:tcBorders/>
          </w:tcPr>
          <w:p>
            <w:pPr>
              <w:spacing w:before="0" w:after="0"/>
              <w:jc w:val="left"/>
            </w:pPr>
            <w:r/>
            <w:r>
              <w:rPr>
                <w:rFonts w:ascii="Times New Roman" w:hAnsi="Times New Roman"/>
                <w:b w:val="0"/>
                <w:i w:val="0"/>
                <w:sz w:val="22"/>
              </w:rPr>
              <w:t>Reflection</w:t>
            </w:r>
          </w:p>
        </w:tc>
        <w:tc>
          <w:tcPr>
            <w:tcW w:type="dxa" w:w="4535"/>
            <w:vAlign w:val="center"/>
            <w:tcBorders/>
          </w:tcPr>
          <w:p>
            <w:pPr>
              <w:spacing w:before="0" w:after="0"/>
              <w:jc w:val="left"/>
            </w:pPr>
            <w:r/>
            <w:r>
              <w:rPr>
                <w:rFonts w:ascii="Times New Roman" w:hAnsi="Times New Roman"/>
                <w:b w:val="0"/>
                <w:i w:val="0"/>
                <w:sz w:val="22"/>
              </w:rPr>
              <w:t>5.00 / 8</w:t>
            </w:r>
          </w:p>
        </w:tc>
      </w:tr>
      <w:tr>
        <w:tc>
          <w:tcPr>
            <w:tcW w:type="dxa" w:w="4535"/>
            <w:vAlign w:val="center"/>
            <w:tcBorders/>
          </w:tcPr>
          <w:p>
            <w:pPr>
              <w:spacing w:before="0" w:after="0"/>
              <w:jc w:val="left"/>
            </w:pPr>
            <w:r/>
            <w:r>
              <w:rPr>
                <w:rFonts w:ascii="Times New Roman" w:hAnsi="Times New Roman"/>
                <w:b w:val="0"/>
                <w:i w:val="0"/>
                <w:sz w:val="22"/>
              </w:rPr>
              <w:t>Total score</w:t>
            </w:r>
          </w:p>
        </w:tc>
        <w:tc>
          <w:tcPr>
            <w:tcW w:type="dxa" w:w="4535"/>
            <w:vAlign w:val="center"/>
            <w:tcBorders/>
          </w:tcPr>
          <w:p>
            <w:pPr>
              <w:spacing w:before="0" w:after="0"/>
              <w:jc w:val="left"/>
            </w:pPr>
            <w:r/>
            <w:r>
              <w:rPr>
                <w:rFonts w:ascii="Times New Roman" w:hAnsi="Times New Roman"/>
                <w:b w:val="0"/>
                <w:i w:val="0"/>
                <w:sz w:val="22"/>
              </w:rPr>
              <w:t>53.10 / 72</w:t>
            </w:r>
          </w:p>
        </w:tc>
      </w:tr>
      <w:tr>
        <w:tc>
          <w:tcPr>
            <w:tcW w:type="dxa" w:w="4535"/>
            <w:vAlign w:val="center"/>
            <w:tcBorders>
              <w:bottom w:val="single" w:sz="4" w:space="0" w:color="auto"/>
            </w:tcBorders>
          </w:tcPr>
          <w:p>
            <w:pPr>
              <w:spacing w:before="0" w:after="0"/>
              <w:jc w:val="left"/>
            </w:pPr>
            <w:r/>
            <w:r>
              <w:rPr>
                <w:rFonts w:ascii="Times New Roman" w:hAnsi="Times New Roman"/>
                <w:b w:val="0"/>
                <w:i w:val="0"/>
                <w:sz w:val="22"/>
              </w:rPr>
              <w:t>Percentage</w:t>
            </w:r>
          </w:p>
        </w:tc>
        <w:tc>
          <w:tcPr>
            <w:tcW w:type="dxa" w:w="4535"/>
            <w:vAlign w:val="center"/>
            <w:tcBorders>
              <w:bottom w:val="single" w:sz="4" w:space="0" w:color="auto"/>
            </w:tcBorders>
          </w:tcPr>
          <w:p>
            <w:pPr>
              <w:spacing w:before="0" w:after="0"/>
              <w:jc w:val="center"/>
            </w:pPr>
            <w:r/>
            <w:r>
              <w:rPr>
                <w:rFonts w:ascii="Times New Roman" w:hAnsi="Times New Roman"/>
                <w:b w:val="0"/>
                <w:i w:val="0"/>
                <w:sz w:val="22"/>
              </w:rPr>
              <w:t>73.75%</w:t>
            </w:r>
          </w:p>
        </w:tc>
      </w:tr>
    </w:tbl>
    <w:p>
      <w:pPr>
        <w:spacing w:before="120" w:after="120"/>
      </w:pPr>
      <w:r>
        <w:rPr>
          <w:rFonts w:ascii="Times New Roman" w:hAnsi="Times New Roman"/>
          <w:b w:val="0"/>
          <w:i w:val="0"/>
          <w:sz w:val="24"/>
        </w:rPr>
        <w:t>Students rated the platform most positively in relation to engagement, metacognitive support, content quality, and explain-back support. By contrast, ease of use, accessibility, and technical smoothness received more moderate ratings. This pattern is consistent with the open-ended record. Students often valued the content and the instructional logic, but still encountered operational barriers.</w:t>
      </w:r>
    </w:p>
    <w:p>
      <w:pPr>
        <w:spacing w:before="120" w:after="120"/>
      </w:pPr>
      <w:r>
        <w:rPr>
          <w:rFonts w:ascii="Times New Roman" w:hAnsi="Times New Roman"/>
          <w:b w:val="0"/>
          <w:i w:val="0"/>
          <w:sz w:val="24"/>
        </w:rPr>
        <w:t>The open-ended response patterns sharpen that picture further. The most frequently liked features were content quality (18 mentions), short microlearning duration (14), ease of use (14), explain-back simplification and repetition (13), and interactive features (11). The most frequently reported benefits were better understanding of material (28), improved speaking skills (20), motivation to learn (15), metacognitive awareness (11), and greater confidence (9). The most commonly cited problems were internet dependence (31 mentions), navigation (26), feature stability (10), and malfunctioning features (10). One lecturer confirmed that implementation friction was not trivial: "There were students who did not use the media because they forgot their login password and then joined a friend, so their progress was not recorded" (Lecturer D01, translated by the authors).</w:t>
      </w:r>
    </w:p>
    <w:p>
      <w:pPr>
        <w:spacing w:before="120" w:after="120"/>
      </w:pPr>
      <w:r>
        <w:rPr>
          <w:rFonts w:ascii="Times New Roman" w:hAnsi="Times New Roman"/>
          <w:b w:val="0"/>
          <w:i w:val="0"/>
          <w:sz w:val="24"/>
        </w:rPr>
        <w:t>Taken together, these results separate pedagogical value from technical friction. Students were not simply saying that the platform was attractive. They linked it to explanation, understanding, oral readiness, and self-awareness. At the same time, they clearly distinguished those benefits from the frustrations created by navigation and connectivity issues.</w:t>
      </w:r>
    </w:p>
    <w:p>
      <w:pPr>
        <w:pStyle w:val="Heading2"/>
        <w:spacing w:before="120" w:after="120" w:line="240" w:lineRule="auto"/>
      </w:pPr>
      <w:r>
        <w:rPr>
          <w:color w:val="4472C4"/>
          <w:sz w:val="24"/>
        </w:rPr>
        <w:t>Learner-reported processes and implementation barriers</w:t>
      </w:r>
    </w:p>
    <w:p>
      <w:pPr>
        <w:spacing w:before="120" w:after="120"/>
      </w:pPr>
      <w:r>
        <w:rPr>
          <w:rFonts w:ascii="Times New Roman" w:hAnsi="Times New Roman"/>
          <w:b w:val="0"/>
          <w:i w:val="0"/>
          <w:sz w:val="24"/>
        </w:rPr>
        <w:t>The qualitative record helps interpret the quantitative outcome patterns. Four interlinked processes are especially visible in learner reports.</w:t>
      </w:r>
    </w:p>
    <w:p>
      <w:pPr>
        <w:spacing w:before="120" w:after="120"/>
      </w:pPr>
      <w:r>
        <w:rPr>
          <w:rFonts w:ascii="Times New Roman" w:hAnsi="Times New Roman"/>
          <w:b w:val="0"/>
          <w:i w:val="0"/>
          <w:sz w:val="24"/>
        </w:rPr>
        <w:t>First, students described becoming more deliberate in planning. Several noted that they no longer began speaking immediately, but started outlining key points or thinking in terms of opening, content, and closing. One student explained, "I used to start right away without preparation, but now I make an outline first before speaking" (Student E03, translated by the authors). This theme is compatible with the performance pattern in organization and with the planning dimension of the metacognitive instrument.</w:t>
      </w:r>
    </w:p>
    <w:p>
      <w:pPr>
        <w:spacing w:before="120" w:after="120"/>
      </w:pPr>
      <w:r>
        <w:rPr>
          <w:rFonts w:ascii="Times New Roman" w:hAnsi="Times New Roman"/>
          <w:b w:val="0"/>
          <w:i w:val="0"/>
          <w:sz w:val="24"/>
        </w:rPr>
        <w:t>Second, students described stronger self-monitoring during performance. They reported noticing speaking speed, intonation, and clarity while speaking, not only after receiving teacher judgment. As one student put it, "I can now notice when I am speaking too fast or when my intonation is too flat" (Student E09, translated by the authors). This matters because self-monitoring is usually difficult to observe directly from performance scores alone.</w:t>
      </w:r>
    </w:p>
    <w:p>
      <w:pPr>
        <w:spacing w:before="120" w:after="120"/>
      </w:pPr>
      <w:r>
        <w:rPr>
          <w:rFonts w:ascii="Times New Roman" w:hAnsi="Times New Roman"/>
          <w:b w:val="0"/>
          <w:i w:val="0"/>
          <w:sz w:val="24"/>
        </w:rPr>
        <w:t>Third, playback-supported reflection appeared repeatedly in the record. Students described listening to their own recordings, noticing where explanations were unclear, and trying again. One participant stated, "I can listen again to the way I speak and identify which parts need improvement" (Student E12, translated by the authors). In theoretical terms, this aligns with self-regulated revision: rather than treating speaking as a single-attempt task, the platform made it revisable.</w:t>
      </w:r>
    </w:p>
    <w:p>
      <w:pPr>
        <w:spacing w:before="120" w:after="120"/>
      </w:pPr>
      <w:r>
        <w:rPr>
          <w:rFonts w:ascii="Times New Roman" w:hAnsi="Times New Roman"/>
          <w:b w:val="0"/>
          <w:i w:val="0"/>
          <w:sz w:val="24"/>
        </w:rPr>
        <w:t xml:space="preserve">Fourth, students linked repeated use to confidence and lower pressure. They often described feeling calmer after repeated rehearsal and more confident when they had already simplified the content for themselves. This affective theme is consistent with CALL-EJ findings on anxiety-sensitive speaking environments </w:t>
      </w:r>
      <w:r>
        <w:rPr>
          <w:rFonts w:ascii="Times New Roman" w:hAnsi="Times New Roman"/>
          <w:b w:val="0"/>
          <w:i w:val="0"/>
          <w:sz w:val="24"/>
        </w:rPr>
        <w:t>(</w:t>
      </w:r>
      <w:hyperlink w:anchor="ref_Ha_2024" w:history="1">
        <w:r>
          <w:rPr>
            <w:rFonts w:ascii="Times New Roman" w:hAnsi="Times New Roman"/>
            <w:u w:val="none"/>
            <w:sz w:val="24"/>
            <w:szCs w:val="24"/>
          </w:rPr>
          <w:t>Ha, 2024</w:t>
        </w:r>
      </w:hyperlink>
      <w:r>
        <w:rPr>
          <w:rFonts w:ascii="Times New Roman" w:hAnsi="Times New Roman"/>
          <w:b w:val="0"/>
          <w:i w:val="0"/>
          <w:sz w:val="24"/>
        </w:rPr>
        <w:t xml:space="preserve">; </w:t>
      </w:r>
      <w:hyperlink w:anchor="ref_Ibatova_2022" w:history="1">
        <w:r>
          <w:rPr>
            <w:rFonts w:ascii="Times New Roman" w:hAnsi="Times New Roman"/>
            <w:u w:val="none"/>
            <w:sz w:val="24"/>
            <w:szCs w:val="24"/>
          </w:rPr>
          <w:t>Ibatova, 2022</w:t>
        </w:r>
      </w:hyperlink>
      <w:r>
        <w:rPr>
          <w:rFonts w:ascii="Times New Roman" w:hAnsi="Times New Roman"/>
          <w:b w:val="0"/>
          <w:i w:val="0"/>
          <w:sz w:val="24"/>
        </w:rPr>
        <w:t xml:space="preserve">; </w:t>
      </w:r>
      <w:hyperlink w:anchor="ref_Nasri_2022" w:history="1">
        <w:r>
          <w:rPr>
            <w:rFonts w:ascii="Times New Roman" w:hAnsi="Times New Roman"/>
            <w:u w:val="none"/>
            <w:sz w:val="24"/>
            <w:szCs w:val="24"/>
          </w:rPr>
          <w:t>Nasri et al., 2022</w:t>
        </w:r>
      </w:hyperlink>
      <w:r>
        <w:rPr>
          <w:rFonts w:ascii="Times New Roman" w:hAnsi="Times New Roman"/>
          <w:b w:val="0"/>
          <w:i w:val="0"/>
          <w:sz w:val="24"/>
        </w:rPr>
        <w:t>)</w:t>
      </w:r>
      <w:r>
        <w:rPr>
          <w:rFonts w:ascii="Times New Roman" w:hAnsi="Times New Roman"/>
          <w:b w:val="0"/>
          <w:i w:val="0"/>
          <w:sz w:val="24"/>
        </w:rPr>
        <w:t>.</w:t>
      </w:r>
    </w:p>
    <w:p>
      <w:pPr>
        <w:spacing w:before="120" w:after="120"/>
      </w:pPr>
      <w:r>
        <w:rPr>
          <w:rFonts w:ascii="Times New Roman" w:hAnsi="Times New Roman"/>
          <w:b w:val="0"/>
          <w:i w:val="0"/>
          <w:sz w:val="24"/>
        </w:rPr>
        <w:t>These learner-reported processes are presented as contextual evidence that illustrates how students experienced the intervention. They are consistent with the quantitative outcome patterns, but they do not establish causal mediation.</w:t>
      </w:r>
    </w:p>
    <w:p>
      <w:pPr>
        <w:pStyle w:val="Heading2"/>
        <w:spacing w:before="120" w:after="120" w:line="240" w:lineRule="auto"/>
      </w:pPr>
      <w:r>
        <w:rPr>
          <w:color w:val="4472C4"/>
          <w:sz w:val="24"/>
        </w:rPr>
        <w:t>Integrative synthesis</w:t>
      </w:r>
    </w:p>
    <w:tbl>
      <w:tblPr>
        <w:tblW w:type="auto" w:w="0"/>
        <w:jc w:val="center"/>
        <w:tblLook w:firstColumn="1" w:firstRow="1" w:lastColumn="0" w:lastRow="0" w:noHBand="0" w:noVBand="1" w:val="04A0"/>
      </w:tblPr>
      <w:tblGrid>
        <w:gridCol w:w="2267"/>
        <w:gridCol w:w="2267"/>
        <w:gridCol w:w="2267"/>
        <w:gridCol w:w="2267"/>
      </w:tblGrid>
      <w:tr>
        <w:tc>
          <w:tcPr>
            <w:tcW w:type="dxa" w:w="9068"/>
            <w:gridSpan w:val="4"/>
            <w:tcBorders/>
          </w:tcPr>
          <w:p>
            <w:pPr>
              <w:spacing w:before="0" w:after="0"/>
            </w:pPr>
            <w:r/>
            <w:r>
              <w:rPr>
                <w:rFonts w:ascii="Times New Roman" w:hAnsi="Times New Roman"/>
                <w:b/>
                <w:i w:val="0"/>
                <w:sz w:val="22"/>
              </w:rPr>
              <w:t>Table 5.</w:t>
            </w:r>
          </w:p>
          <w:p>
            <w:pPr>
              <w:spacing w:before="0" w:after="0"/>
            </w:pPr>
            <w:r>
              <w:rPr>
                <w:rFonts w:ascii="Times New Roman" w:hAnsi="Times New Roman"/>
                <w:b w:val="0"/>
                <w:i w:val="0"/>
                <w:sz w:val="22"/>
              </w:rPr>
              <w:t>Joint display: integration of quantitative and qualitative evidence</w:t>
            </w:r>
          </w:p>
        </w:tc>
      </w:tr>
      <w:tr>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Quantitative pattern</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Qualitative evidence</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Interpretation</w:t>
            </w:r>
          </w:p>
        </w:tc>
        <w:tc>
          <w:tcPr>
            <w:tcW w:type="dxa" w:w="2267"/>
            <w:vAlign w:val="center"/>
            <w:tcBorders>
              <w:top w:val="single" w:sz="4" w:space="0" w:color="auto"/>
              <w:bottom w:val="single" w:sz="4" w:space="0" w:color="auto"/>
            </w:tcBorders>
          </w:tcPr>
          <w:p>
            <w:pPr>
              <w:spacing w:before="0" w:after="0"/>
              <w:jc w:val="left"/>
            </w:pPr>
            <w:r/>
            <w:r>
              <w:rPr>
                <w:rFonts w:ascii="Times New Roman" w:hAnsi="Times New Roman"/>
                <w:b/>
                <w:i w:val="0"/>
                <w:sz w:val="22"/>
              </w:rPr>
              <w:t>Alternative explanation</w:t>
            </w:r>
          </w:p>
        </w:tc>
      </w:tr>
      <w:tr>
        <w:tc>
          <w:tcPr>
            <w:tcW w:type="dxa" w:w="2267"/>
            <w:vAlign w:val="center"/>
            <w:tcBorders/>
          </w:tcPr>
          <w:p>
            <w:pPr>
              <w:spacing w:before="0" w:after="0"/>
              <w:jc w:val="left"/>
            </w:pPr>
            <w:r/>
            <w:r>
              <w:rPr>
                <w:rFonts w:ascii="Times New Roman" w:hAnsi="Times New Roman"/>
                <w:b w:val="0"/>
                <w:i w:val="0"/>
                <w:sz w:val="22"/>
              </w:rPr>
              <w:t>Higher adjusted posttest speaking score in experimental class</w:t>
            </w:r>
          </w:p>
        </w:tc>
        <w:tc>
          <w:tcPr>
            <w:tcW w:type="dxa" w:w="2267"/>
            <w:vAlign w:val="center"/>
            <w:tcBorders/>
          </w:tcPr>
          <w:p>
            <w:pPr>
              <w:spacing w:before="0" w:after="0"/>
              <w:jc w:val="left"/>
            </w:pPr>
            <w:r/>
            <w:r>
              <w:rPr>
                <w:rFonts w:ascii="Times New Roman" w:hAnsi="Times New Roman"/>
                <w:b w:val="0"/>
                <w:i w:val="0"/>
                <w:sz w:val="22"/>
              </w:rPr>
              <w:t>Planning/outline comments from students</w:t>
            </w:r>
          </w:p>
        </w:tc>
        <w:tc>
          <w:tcPr>
            <w:tcW w:type="dxa" w:w="2267"/>
            <w:vAlign w:val="center"/>
            <w:tcBorders/>
          </w:tcPr>
          <w:p>
            <w:pPr>
              <w:spacing w:before="0" w:after="0"/>
              <w:jc w:val="left"/>
            </w:pPr>
            <w:r/>
            <w:r>
              <w:rPr>
                <w:rFonts w:ascii="Times New Roman" w:hAnsi="Times New Roman"/>
                <w:b w:val="0"/>
                <w:i w:val="0"/>
                <w:sz w:val="22"/>
              </w:rPr>
              <w:t>Explain-back cycle may support structuring</w:t>
            </w:r>
          </w:p>
        </w:tc>
        <w:tc>
          <w:tcPr>
            <w:tcW w:type="dxa" w:w="2267"/>
            <w:vAlign w:val="center"/>
            <w:tcBorders/>
          </w:tcPr>
          <w:p>
            <w:pPr>
              <w:spacing w:before="0" w:after="0"/>
              <w:jc w:val="left"/>
            </w:pPr>
            <w:r/>
            <w:r>
              <w:rPr>
                <w:rFonts w:ascii="Times New Roman" w:hAnsi="Times New Roman"/>
                <w:b w:val="0"/>
                <w:i w:val="0"/>
                <w:sz w:val="22"/>
              </w:rPr>
              <w:t>Class/instructor effect; task familiarity</w:t>
            </w:r>
          </w:p>
        </w:tc>
      </w:tr>
      <w:tr>
        <w:tc>
          <w:tcPr>
            <w:tcW w:type="dxa" w:w="2267"/>
            <w:vAlign w:val="center"/>
            <w:tcBorders/>
          </w:tcPr>
          <w:p>
            <w:pPr>
              <w:spacing w:before="0" w:after="0"/>
              <w:jc w:val="left"/>
            </w:pPr>
            <w:r/>
            <w:r>
              <w:rPr>
                <w:rFonts w:ascii="Times New Roman" w:hAnsi="Times New Roman"/>
                <w:b w:val="0"/>
                <w:i w:val="0"/>
                <w:sz w:val="22"/>
              </w:rPr>
              <w:t>Higher adjusted posttest metacognitive score in experimental class</w:t>
            </w:r>
          </w:p>
        </w:tc>
        <w:tc>
          <w:tcPr>
            <w:tcW w:type="dxa" w:w="2267"/>
            <w:vAlign w:val="center"/>
            <w:tcBorders/>
          </w:tcPr>
          <w:p>
            <w:pPr>
              <w:spacing w:before="0" w:after="0"/>
              <w:jc w:val="left"/>
            </w:pPr>
            <w:r/>
            <w:r>
              <w:rPr>
                <w:rFonts w:ascii="Times New Roman" w:hAnsi="Times New Roman"/>
                <w:b w:val="0"/>
                <w:i w:val="0"/>
                <w:sz w:val="22"/>
              </w:rPr>
              <w:t>Monitoring/replay comments from students</w:t>
            </w:r>
          </w:p>
        </w:tc>
        <w:tc>
          <w:tcPr>
            <w:tcW w:type="dxa" w:w="2267"/>
            <w:vAlign w:val="center"/>
            <w:tcBorders/>
          </w:tcPr>
          <w:p>
            <w:pPr>
              <w:spacing w:before="0" w:after="0"/>
              <w:jc w:val="left"/>
            </w:pPr>
            <w:r/>
            <w:r>
              <w:rPr>
                <w:rFonts w:ascii="Times New Roman" w:hAnsi="Times New Roman"/>
                <w:b w:val="0"/>
                <w:i w:val="0"/>
                <w:sz w:val="22"/>
              </w:rPr>
              <w:t>Self-playback may support self-monitoring</w:t>
            </w:r>
          </w:p>
        </w:tc>
        <w:tc>
          <w:tcPr>
            <w:tcW w:type="dxa" w:w="2267"/>
            <w:vAlign w:val="center"/>
            <w:tcBorders/>
          </w:tcPr>
          <w:p>
            <w:pPr>
              <w:spacing w:before="0" w:after="0"/>
              <w:jc w:val="left"/>
            </w:pPr>
            <w:r/>
            <w:r>
              <w:rPr>
                <w:rFonts w:ascii="Times New Roman" w:hAnsi="Times New Roman"/>
                <w:b w:val="0"/>
                <w:i w:val="0"/>
                <w:sz w:val="22"/>
              </w:rPr>
              <w:t>Self-report alignment with taught practices</w:t>
            </w:r>
          </w:p>
        </w:tc>
      </w:tr>
      <w:tr>
        <w:tc>
          <w:tcPr>
            <w:tcW w:type="dxa" w:w="2267"/>
            <w:vAlign w:val="center"/>
            <w:tcBorders/>
          </w:tcPr>
          <w:p>
            <w:pPr>
              <w:spacing w:before="0" w:after="0"/>
              <w:jc w:val="left"/>
            </w:pPr>
            <w:r/>
            <w:r>
              <w:rPr>
                <w:rFonts w:ascii="Times New Roman" w:hAnsi="Times New Roman"/>
                <w:b w:val="0"/>
                <w:i w:val="0"/>
                <w:sz w:val="22"/>
              </w:rPr>
              <w:t>Positive engagement ratings</w:t>
            </w:r>
          </w:p>
        </w:tc>
        <w:tc>
          <w:tcPr>
            <w:tcW w:type="dxa" w:w="2267"/>
            <w:vAlign w:val="center"/>
            <w:tcBorders/>
          </w:tcPr>
          <w:p>
            <w:pPr>
              <w:spacing w:before="0" w:after="0"/>
              <w:jc w:val="left"/>
            </w:pPr>
            <w:r/>
            <w:r>
              <w:rPr>
                <w:rFonts w:ascii="Times New Roman" w:hAnsi="Times New Roman"/>
                <w:b w:val="0"/>
                <w:i w:val="0"/>
                <w:sz w:val="22"/>
              </w:rPr>
              <w:t>Engagement and motivation comments</w:t>
            </w:r>
          </w:p>
        </w:tc>
        <w:tc>
          <w:tcPr>
            <w:tcW w:type="dxa" w:w="2267"/>
            <w:vAlign w:val="center"/>
            <w:tcBorders/>
          </w:tcPr>
          <w:p>
            <w:pPr>
              <w:spacing w:before="0" w:after="0"/>
              <w:jc w:val="left"/>
            </w:pPr>
            <w:r/>
            <w:r>
              <w:rPr>
                <w:rFonts w:ascii="Times New Roman" w:hAnsi="Times New Roman"/>
                <w:b w:val="0"/>
                <w:i w:val="0"/>
                <w:sz w:val="22"/>
              </w:rPr>
              <w:t>Repeated low-stakes practice was acceptable</w:t>
            </w:r>
          </w:p>
        </w:tc>
        <w:tc>
          <w:tcPr>
            <w:tcW w:type="dxa" w:w="2267"/>
            <w:vAlign w:val="center"/>
            <w:tcBorders/>
          </w:tcPr>
          <w:p>
            <w:pPr>
              <w:spacing w:before="0" w:after="0"/>
              <w:jc w:val="left"/>
            </w:pPr>
            <w:r/>
            <w:r>
              <w:rPr>
                <w:rFonts w:ascii="Times New Roman" w:hAnsi="Times New Roman"/>
                <w:b w:val="0"/>
                <w:i w:val="0"/>
                <w:sz w:val="22"/>
              </w:rPr>
              <w:t>Novelty effect</w:t>
            </w:r>
          </w:p>
        </w:tc>
      </w:tr>
      <w:tr>
        <w:tc>
          <w:tcPr>
            <w:tcW w:type="dxa" w:w="2267"/>
            <w:vAlign w:val="center"/>
            <w:tcBorders>
              <w:bottom w:val="single" w:sz="4" w:space="0" w:color="auto"/>
            </w:tcBorders>
          </w:tcPr>
          <w:p>
            <w:pPr>
              <w:spacing w:before="0" w:after="0"/>
              <w:jc w:val="left"/>
            </w:pPr>
            <w:r/>
            <w:r>
              <w:rPr>
                <w:rFonts w:ascii="Times New Roman" w:hAnsi="Times New Roman"/>
                <w:b w:val="0"/>
                <w:i w:val="0"/>
                <w:sz w:val="22"/>
              </w:rPr>
              <w:t>Moderate ease-of-use and accessibility ratings</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Navigation, internet, and recording stability complaints</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Implementation fidelity was constrained</w:t>
            </w:r>
          </w:p>
        </w:tc>
        <w:tc>
          <w:tcPr>
            <w:tcW w:type="dxa" w:w="2267"/>
            <w:vAlign w:val="center"/>
            <w:tcBorders>
              <w:bottom w:val="single" w:sz="4" w:space="0" w:color="auto"/>
            </w:tcBorders>
          </w:tcPr>
          <w:p>
            <w:pPr>
              <w:spacing w:before="0" w:after="0"/>
              <w:jc w:val="left"/>
            </w:pPr>
            <w:r/>
            <w:r>
              <w:rPr>
                <w:rFonts w:ascii="Times New Roman" w:hAnsi="Times New Roman"/>
                <w:b w:val="0"/>
                <w:i w:val="0"/>
                <w:sz w:val="22"/>
              </w:rPr>
              <w:t>Technical friction may have limited dosage</w:t>
            </w:r>
          </w:p>
        </w:tc>
      </w:tr>
    </w:tbl>
    <w:p>
      <w:pPr>
        <w:spacing w:before="120" w:after="120"/>
      </w:pPr>
      <w:r>
        <w:rPr>
          <w:rFonts w:ascii="Times New Roman" w:hAnsi="Times New Roman"/>
          <w:b w:val="0"/>
          <w:i w:val="0"/>
          <w:sz w:val="24"/>
        </w:rPr>
        <w:t>Read together, the quantitative and qualitative strands suggest a coherent interpretation: Bicaranta appears useful not merely because it includes multimedia features, but because it repeatedly moves learners through a cycle of short input, explanation, replay, and revision. That interpretation remains inferential rather than definitive, and the joint display also surfaces the most plausible alternative explanations.</w:t>
      </w:r>
    </w:p>
    <w:p>
      <w:pPr>
        <w:pStyle w:val="Heading2"/>
        <w:spacing w:before="120" w:after="120" w:line="240" w:lineRule="auto"/>
      </w:pPr>
      <w:r>
        <w:rPr>
          <w:color w:val="4472C4"/>
          <w:sz w:val="24"/>
        </w:rPr>
        <w:t>Discussion synthesis</w:t>
      </w:r>
    </w:p>
    <w:p>
      <w:pPr>
        <w:spacing w:before="120" w:after="120"/>
      </w:pPr>
      <w:r>
        <w:rPr>
          <w:rFonts w:ascii="Times New Roman" w:hAnsi="Times New Roman"/>
          <w:b w:val="0"/>
          <w:i w:val="0"/>
          <w:sz w:val="24"/>
        </w:rPr>
        <w:t>The central problem raised at the start of this article was that speaking instruction often emphasizes visible performance more than the metacognitive work that makes performance improve. The present findings address that problem in a specific way. Students in the experimental class did not merely receive multimedia support; they worked in a learning environment that repeatedly required them to simplify ideas, explain them aloud, listen back, and revise. The adjusted between-class comparison suggests that such a cycle is associated with stronger posttest performance in both speaking and metacognitive awareness than regular instruction alone.</w:t>
      </w:r>
    </w:p>
    <w:p>
      <w:pPr>
        <w:spacing w:before="120" w:after="120"/>
      </w:pPr>
      <w:r>
        <w:rPr>
          <w:rFonts w:ascii="Times New Roman" w:hAnsi="Times New Roman"/>
          <w:b w:val="0"/>
          <w:i w:val="0"/>
          <w:sz w:val="24"/>
        </w:rPr>
        <w:t xml:space="preserve">This is where the present study both aligns with and moves beyond </w:t>
      </w:r>
      <w:hyperlink w:anchor="ref_Mahdi_2022" w:history="1">
        <w:r>
          <w:rPr>
            <w:rFonts w:ascii="Times New Roman" w:hAnsi="Times New Roman"/>
            <w:u w:val="none"/>
            <w:sz w:val="24"/>
            <w:szCs w:val="24"/>
          </w:rPr>
          <w:t>Mahdi (2022)</w:t>
        </w:r>
      </w:hyperlink>
      <w:r>
        <w:rPr>
          <w:rFonts w:ascii="Times New Roman" w:hAnsi="Times New Roman"/>
          <w:b w:val="0"/>
          <w:i w:val="0"/>
          <w:sz w:val="24"/>
        </w:rPr>
        <w:t>. Mahdi demonstrated that an interactive multimedia environment could improve speaking and presentation outcomes. The current study supports that broader claim, but narrows the pedagogical explanation. The likely advantage of Bicaranta is not multimedia presence in itself. It is the deliberate combination of segmentation, explanation, replay, and reflection. In that sense, the present article contributes a more design-oriented account of how multimedia may support speaking development, even though the design does not permit a definitive mediation claim.</w:t>
      </w:r>
    </w:p>
    <w:p>
      <w:pPr>
        <w:spacing w:before="120" w:after="120"/>
      </w:pPr>
      <w:r>
        <w:rPr>
          <w:rFonts w:ascii="Times New Roman" w:hAnsi="Times New Roman"/>
          <w:b w:val="0"/>
          <w:i w:val="0"/>
          <w:sz w:val="24"/>
        </w:rPr>
        <w:t>The findings are also consistent with the theoretical framing introduced in the literature review. From a multimedia-learning perspective, short modular content may help learners focus on relevant information and organize it more efficiently. From a generative-learning perspective, explain-back tasks require learners to transform content rather than merely encounter it. From a self-regulated-learning perspective, playback and reflection create opportunities for planning, monitoring, and evaluation. The present study cannot prove that these processes caused the observed gains, but the combined evidence is consistent with that interpretation.</w:t>
      </w:r>
    </w:p>
    <w:p>
      <w:pPr>
        <w:spacing w:before="120" w:after="120"/>
      </w:pPr>
      <w:r>
        <w:rPr>
          <w:rFonts w:ascii="Times New Roman" w:hAnsi="Times New Roman"/>
          <w:b w:val="0"/>
          <w:i w:val="0"/>
          <w:sz w:val="24"/>
        </w:rPr>
        <w:t xml:space="preserve">For CALL implementation, the practical implication is that pedagogical sequencing may matter as much as technological sophistication. A browser-based system can create repeated opportunities for explanation, self-observation, and revision, but the present findings also show that navigation, connectivity, and recording reliability are part of the intervention rather than peripheral technical details. Recent CALL-EJ publications have understandably explored ASR, AI voice systems, metaverse platforms, and VR-assisted environments </w:t>
      </w:r>
      <w:r>
        <w:rPr>
          <w:rFonts w:ascii="Times New Roman" w:hAnsi="Times New Roman"/>
          <w:b w:val="0"/>
          <w:i w:val="0"/>
          <w:sz w:val="24"/>
        </w:rPr>
        <w:t>(</w:t>
      </w:r>
      <w:hyperlink w:anchor="ref_Ha_2024" w:history="1">
        <w:r>
          <w:rPr>
            <w:rFonts w:ascii="Times New Roman" w:hAnsi="Times New Roman"/>
            <w:u w:val="none"/>
            <w:sz w:val="24"/>
            <w:szCs w:val="24"/>
          </w:rPr>
          <w:t>Ha, 2024</w:t>
        </w:r>
      </w:hyperlink>
      <w:r>
        <w:rPr>
          <w:rFonts w:ascii="Times New Roman" w:hAnsi="Times New Roman"/>
          <w:b w:val="0"/>
          <w:i w:val="0"/>
          <w:sz w:val="24"/>
        </w:rPr>
        <w:t xml:space="preserve">; </w:t>
      </w:r>
      <w:hyperlink w:anchor="ref_Le_2025" w:history="1">
        <w:r>
          <w:rPr>
            <w:rFonts w:ascii="Times New Roman" w:hAnsi="Times New Roman"/>
            <w:u w:val="none"/>
            <w:sz w:val="24"/>
            <w:szCs w:val="24"/>
          </w:rPr>
          <w:t>Le &amp; Do, 2025</w:t>
        </w:r>
      </w:hyperlink>
      <w:r>
        <w:rPr>
          <w:rFonts w:ascii="Times New Roman" w:hAnsi="Times New Roman"/>
          <w:b w:val="0"/>
          <w:i w:val="0"/>
          <w:sz w:val="24"/>
        </w:rPr>
        <w:t xml:space="preserve">; </w:t>
      </w:r>
      <w:r>
        <w:rPr>
          <w:rFonts w:ascii="Times New Roman" w:hAnsi="Times New Roman"/>
          <w:b w:val="0"/>
          <w:i w:val="0"/>
          <w:sz w:val="24"/>
        </w:rPr>
        <w:t>Nguyen et al., 2025a, 2025b</w:t>
      </w:r>
      <w:r>
        <w:rPr>
          <w:rFonts w:ascii="Times New Roman" w:hAnsi="Times New Roman"/>
          <w:b w:val="0"/>
          <w:i w:val="0"/>
          <w:sz w:val="24"/>
        </w:rPr>
        <w:t>)</w:t>
      </w:r>
      <w:r>
        <w:rPr>
          <w:rFonts w:ascii="Times New Roman" w:hAnsi="Times New Roman"/>
          <w:b w:val="0"/>
          <w:i w:val="0"/>
          <w:sz w:val="24"/>
        </w:rPr>
        <w:t>. The current study points in a complementary direction: a browser-based platform may still be useful if it organizes speaking practice into a repeatable reflective cycle, although usability and connectivity problems constrained implementation in this setting.</w:t>
      </w:r>
    </w:p>
    <w:p>
      <w:pPr>
        <w:pStyle w:val="Heading2"/>
        <w:spacing w:before="120" w:after="120" w:line="240" w:lineRule="auto"/>
      </w:pPr>
      <w:r>
        <w:rPr>
          <w:color w:val="4472C4"/>
          <w:sz w:val="24"/>
        </w:rPr>
        <w:t>Limitations</w:t>
      </w:r>
    </w:p>
    <w:p>
      <w:pPr>
        <w:spacing w:before="120" w:after="120"/>
      </w:pPr>
      <w:r>
        <w:rPr>
          <w:rFonts w:ascii="Times New Roman" w:hAnsi="Times New Roman"/>
          <w:b w:val="0"/>
          <w:i w:val="0"/>
          <w:sz w:val="24"/>
        </w:rPr>
        <w:t>Several limitations constrain interpretation. First, the study compared two intact classes, so treatment condition was confounded with class-level characteristics that could not be fully controlled statistically. Because only one class received each condition, no statistical adjustment can fully separate the treatment effect from the class effect. Furthermore, different instructors taught the two classes, so the treatment effect cannot be separated from possible instructor effects. Second, unscheduled Bicaranta access by approximately four to five control-class students was reported by the control-class lecturer, who noted that "some students tried the platform to prepare for the test" (Lecturer D02). This cross-over exposure could not be precisely quantified, and the resulting treatment contrast should therefore be interpreted as partially contaminated and likely conservative if cross-over exposure provided any instructional benefit. Third, speaking-score inference depends on the reliability and equivalence of the assessment tasks and rater process; because the raters were also the class instructors and were not blinded to group membership, and because inter-rater reliability could not be estimated post hoc, these sources of measurement error should be considered when interpreting the effect estimate. Fourth, the metacognitive outcome was based on an adapted self-report instrument whose items were closely aligned with intervention practices, so the measure may partly reflect intervention-specific awareness rather than broad metacognitive growth. Fifth, qualitative evidence was used to interpret learner experiences rather than to establish causal mediation. These limitations support interpreting the findings as an adjusted comparative classroom effect rather than definitive evidence of causality.</w:t>
      </w:r>
    </w:p>
    <w:p>
      <w:pPr>
        <w:pStyle w:val="Heading1"/>
        <w:spacing w:before="120" w:after="120" w:line="240" w:lineRule="auto"/>
      </w:pPr>
      <w:r>
        <w:rPr>
          <w:color w:val="ED7D31"/>
          <w:sz w:val="26"/>
        </w:rPr>
        <w:t>Conclusion</w:t>
      </w:r>
    </w:p>
    <w:p>
      <w:pPr>
        <w:spacing w:before="120" w:after="120"/>
      </w:pPr>
      <w:r>
        <w:rPr>
          <w:rFonts w:ascii="Times New Roman" w:hAnsi="Times New Roman"/>
          <w:b w:val="0"/>
          <w:i w:val="0"/>
          <w:sz w:val="24"/>
        </w:rPr>
        <w:t>This study evaluated Bicaranta, a browser-based multimedia platform integrating explain-back activities, segmented input, self-recording, replay, and revision, as an approach to strengthening university students' speaking performance and speaking-related metacognitive awareness. In this two-class quasi-experimental evaluation, the Bicaranta class showed stronger adjusted outcome patterns than the regular-instruction class in both speaking performance and metacognitive awareness. Learner reports described planning, monitoring, replay, and technical friction as salient features of implementation.</w:t>
      </w:r>
    </w:p>
    <w:p>
      <w:pPr>
        <w:spacing w:before="120" w:after="120"/>
      </w:pPr>
      <w:r>
        <w:rPr>
          <w:rFonts w:ascii="Times New Roman" w:hAnsi="Times New Roman"/>
          <w:b w:val="0"/>
          <w:i w:val="0"/>
          <w:sz w:val="24"/>
        </w:rPr>
        <w:t>The main contribution of the study is the more specific proposition that a browser-based reflective multimedia design can support academic speaking when it requires students to explain, record, review, and refine their own spoken output repeatedly. The contribution lies not in the broad claim that technology helps speaking, which already exists in the literature, but in evaluating a specific practice architecture and its dual outcomes. For practice, this means that universities do not always need the most advanced platform to improve speaking instruction; they need a platform whose task sequence activates planning, monitoring, and evaluation. For research, the next step is to strengthen technical stability, improve rater control, and test the design across multiple classes and instructors with cleaner treatment boundaries before stronger causal or generalizable claims are warranted.</w:t>
      </w:r>
    </w:p>
    <w:p>
      <w:pPr>
        <w:pStyle w:val="Heading1"/>
        <w:spacing w:before="120" w:after="120" w:line="240" w:lineRule="auto"/>
      </w:pPr>
      <w:r>
        <w:rPr>
          <w:color w:val="ED7D31"/>
          <w:sz w:val="26"/>
        </w:rPr>
        <w:t>Acknowledgments</w:t>
      </w:r>
    </w:p>
    <w:p>
      <w:pPr>
        <w:spacing w:before="120" w:after="120"/>
      </w:pPr>
      <w:r>
        <w:rPr>
          <w:rFonts w:ascii="Times New Roman" w:hAnsi="Times New Roman"/>
          <w:b w:val="0"/>
          <w:i w:val="0"/>
          <w:sz w:val="24"/>
        </w:rPr>
        <w:t>The authors thank the participating students and lecturers whose learning records, feedback, and interview reflections made this study possible.</w:t>
      </w:r>
    </w:p>
    <w:p>
      <w:pPr>
        <w:pStyle w:val="Heading1"/>
        <w:spacing w:before="120" w:after="120" w:line="240" w:lineRule="auto"/>
      </w:pPr>
      <w:r>
        <w:rPr>
          <w:color w:val="ED7D31"/>
          <w:sz w:val="26"/>
        </w:rPr>
        <w:t>References</w:t>
      </w:r>
    </w:p>
    <w:p>
      <w:pPr>
        <w:spacing w:before="120" w:after="120"/>
        <w:ind w:left="480" w:hanging="480"/>
      </w:pPr>
      <w:bookmarkStart w:id="1" w:name="ref_Bajrami_2016"/>
      <w:bookmarkEnd w:id="1"/>
      <w:r>
        <w:rPr>
          <w:rFonts w:ascii="Times New Roman" w:hAnsi="Times New Roman"/>
          <w:b w:val="0"/>
          <w:i w:val="0"/>
          <w:sz w:val="24"/>
        </w:rPr>
        <w:t xml:space="preserve">Bajrami, L., &amp; Ismaili, M. (2016). The role of video materials in EFL classrooms. </w:t>
      </w:r>
      <w:r>
        <w:rPr>
          <w:rFonts w:ascii="Times New Roman" w:hAnsi="Times New Roman"/>
          <w:b w:val="0"/>
          <w:i/>
          <w:sz w:val="24"/>
        </w:rPr>
        <w:t>Procedia - Social and Behavioral Sciences, 232</w:t>
      </w:r>
      <w:r>
        <w:rPr>
          <w:rFonts w:ascii="Times New Roman" w:hAnsi="Times New Roman"/>
          <w:b w:val="0"/>
          <w:i w:val="0"/>
          <w:sz w:val="24"/>
        </w:rPr>
        <w:t xml:space="preserve">, 502–506. </w:t>
      </w:r>
      <w:hyperlink r:id="rId17">
        <w:r>
          <w:rPr>
            <w:rFonts w:ascii="Times New Roman" w:hAnsi="Times New Roman"/>
            <w:u w:val="single"/>
            <w:color w:val="4472C4"/>
            <w:sz w:val="24"/>
            <w:szCs w:val="24"/>
          </w:rPr>
          <w:t>https://doi.org/10.1016/j.sbspro.2016.10.068</w:t>
        </w:r>
      </w:hyperlink>
    </w:p>
    <w:p>
      <w:pPr>
        <w:spacing w:before="120" w:after="120"/>
        <w:ind w:left="480" w:hanging="480"/>
      </w:pPr>
      <w:bookmarkStart w:id="2" w:name="ref_Belmekki_2023"/>
      <w:bookmarkEnd w:id="2"/>
      <w:r>
        <w:rPr>
          <w:rFonts w:ascii="Times New Roman" w:hAnsi="Times New Roman"/>
          <w:b w:val="0"/>
          <w:i w:val="0"/>
          <w:sz w:val="24"/>
        </w:rPr>
        <w:t xml:space="preserve">Belmekki, M. (2023). The effect of self-video recording on the development of students' speaking skill in higher education. </w:t>
      </w:r>
      <w:r>
        <w:rPr>
          <w:rFonts w:ascii="Times New Roman" w:hAnsi="Times New Roman"/>
          <w:b w:val="0"/>
          <w:i/>
          <w:sz w:val="24"/>
        </w:rPr>
        <w:t>The Journal of Quality in Education, 13</w:t>
      </w:r>
      <w:r>
        <w:rPr>
          <w:rFonts w:ascii="Times New Roman" w:hAnsi="Times New Roman"/>
          <w:b w:val="0"/>
          <w:i w:val="0"/>
          <w:sz w:val="24"/>
        </w:rPr>
        <w:t xml:space="preserve">(21), 21–31. </w:t>
      </w:r>
      <w:hyperlink r:id="rId18">
        <w:r>
          <w:rPr>
            <w:rFonts w:ascii="Times New Roman" w:hAnsi="Times New Roman"/>
            <w:u w:val="single"/>
            <w:color w:val="4472C4"/>
            <w:sz w:val="24"/>
            <w:szCs w:val="24"/>
          </w:rPr>
          <w:t>https://doi.org/10.37870/joqie.v13i21.345</w:t>
        </w:r>
      </w:hyperlink>
    </w:p>
    <w:p>
      <w:pPr>
        <w:spacing w:before="120" w:after="120"/>
        <w:ind w:left="480" w:hanging="480"/>
      </w:pPr>
      <w:bookmarkStart w:id="3" w:name="ref_Boonkit_2010"/>
      <w:bookmarkEnd w:id="3"/>
      <w:r>
        <w:rPr>
          <w:rFonts w:ascii="Times New Roman" w:hAnsi="Times New Roman"/>
          <w:b w:val="0"/>
          <w:i w:val="0"/>
          <w:sz w:val="24"/>
        </w:rPr>
        <w:t xml:space="preserve">Boonkit, K. (2010). Enhancing the development of speaking skills for non-native speakers of English. </w:t>
      </w:r>
      <w:r>
        <w:rPr>
          <w:rFonts w:ascii="Times New Roman" w:hAnsi="Times New Roman"/>
          <w:b w:val="0"/>
          <w:i/>
          <w:sz w:val="24"/>
        </w:rPr>
        <w:t>Procedia - Social and Behavioral Sciences, 2</w:t>
      </w:r>
      <w:r>
        <w:rPr>
          <w:rFonts w:ascii="Times New Roman" w:hAnsi="Times New Roman"/>
          <w:b w:val="0"/>
          <w:i w:val="0"/>
          <w:sz w:val="24"/>
        </w:rPr>
        <w:t xml:space="preserve">(2), 1305–1309. </w:t>
      </w:r>
      <w:hyperlink r:id="rId19">
        <w:r>
          <w:rPr>
            <w:rFonts w:ascii="Times New Roman" w:hAnsi="Times New Roman"/>
            <w:u w:val="single"/>
            <w:color w:val="4472C4"/>
            <w:sz w:val="24"/>
            <w:szCs w:val="24"/>
          </w:rPr>
          <w:t>https://doi.org/10.1016/j.sbspro.2010.03.191</w:t>
        </w:r>
      </w:hyperlink>
    </w:p>
    <w:p>
      <w:pPr>
        <w:spacing w:before="120" w:after="120"/>
        <w:ind w:left="480" w:hanging="480"/>
      </w:pPr>
      <w:bookmarkStart w:id="4" w:name="ref_Chi_2014"/>
      <w:bookmarkEnd w:id="4"/>
      <w:r>
        <w:rPr>
          <w:rFonts w:ascii="Times New Roman" w:hAnsi="Times New Roman"/>
          <w:b w:val="0"/>
          <w:i w:val="0"/>
          <w:sz w:val="24"/>
        </w:rPr>
        <w:t xml:space="preserve">Chi, M. T. H., &amp; Wylie, R. (2014). The ICAP framework: Linking cognitive engagement to active learning outcomes. </w:t>
      </w:r>
      <w:r>
        <w:rPr>
          <w:rFonts w:ascii="Times New Roman" w:hAnsi="Times New Roman"/>
          <w:b w:val="0"/>
          <w:i/>
          <w:sz w:val="24"/>
        </w:rPr>
        <w:t>Educational Psychologist, 49</w:t>
      </w:r>
      <w:r>
        <w:rPr>
          <w:rFonts w:ascii="Times New Roman" w:hAnsi="Times New Roman"/>
          <w:b w:val="0"/>
          <w:i w:val="0"/>
          <w:sz w:val="24"/>
        </w:rPr>
        <w:t xml:space="preserve">(4), 219–243. </w:t>
      </w:r>
      <w:hyperlink r:id="rId20">
        <w:r>
          <w:rPr>
            <w:rFonts w:ascii="Times New Roman" w:hAnsi="Times New Roman"/>
            <w:u w:val="single"/>
            <w:color w:val="4472C4"/>
            <w:sz w:val="24"/>
            <w:szCs w:val="24"/>
          </w:rPr>
          <w:t>https://doi.org/10.1080/00461520.2014.965823</w:t>
        </w:r>
      </w:hyperlink>
    </w:p>
    <w:p>
      <w:pPr>
        <w:spacing w:before="120" w:after="120"/>
        <w:ind w:left="480" w:hanging="480"/>
      </w:pPr>
      <w:bookmarkStart w:id="5" w:name="ref_Fiorella_2016"/>
      <w:bookmarkEnd w:id="5"/>
      <w:r>
        <w:rPr>
          <w:rFonts w:ascii="Times New Roman" w:hAnsi="Times New Roman"/>
          <w:b w:val="0"/>
          <w:i w:val="0"/>
          <w:sz w:val="24"/>
        </w:rPr>
        <w:t xml:space="preserve">Fiorella, L., &amp; Mayer, R. E. (2016). Eight ways to promote generative learning. </w:t>
      </w:r>
      <w:r>
        <w:rPr>
          <w:rFonts w:ascii="Times New Roman" w:hAnsi="Times New Roman"/>
          <w:b w:val="0"/>
          <w:i/>
          <w:sz w:val="24"/>
        </w:rPr>
        <w:t>Educational Psychology Review, 28</w:t>
      </w:r>
      <w:r>
        <w:rPr>
          <w:rFonts w:ascii="Times New Roman" w:hAnsi="Times New Roman"/>
          <w:b w:val="0"/>
          <w:i w:val="0"/>
          <w:sz w:val="24"/>
        </w:rPr>
        <w:t xml:space="preserve">(4), 717–741. </w:t>
      </w:r>
      <w:hyperlink r:id="rId21">
        <w:r>
          <w:rPr>
            <w:rFonts w:ascii="Times New Roman" w:hAnsi="Times New Roman"/>
            <w:u w:val="single"/>
            <w:color w:val="4472C4"/>
            <w:sz w:val="24"/>
            <w:szCs w:val="24"/>
          </w:rPr>
          <w:t>https://doi.org/10.1007/s10648-015-9348-9</w:t>
        </w:r>
      </w:hyperlink>
    </w:p>
    <w:p>
      <w:pPr>
        <w:spacing w:before="120" w:after="120"/>
        <w:ind w:left="480" w:hanging="480"/>
      </w:pPr>
      <w:bookmarkStart w:id="6" w:name="ref_Goh_2024"/>
      <w:bookmarkEnd w:id="6"/>
      <w:r>
        <w:rPr>
          <w:rFonts w:ascii="Times New Roman" w:hAnsi="Times New Roman"/>
          <w:b w:val="0"/>
          <w:i w:val="0"/>
          <w:sz w:val="24"/>
        </w:rPr>
        <w:t xml:space="preserve">Goh, C. C. M., &amp; Liu, X. (2024). </w:t>
      </w:r>
      <w:r>
        <w:rPr>
          <w:rFonts w:ascii="Times New Roman" w:hAnsi="Times New Roman"/>
          <w:b w:val="0"/>
          <w:i/>
          <w:sz w:val="24"/>
        </w:rPr>
        <w:t>Confident speaking: Theory, practice and teacher inquiry</w:t>
      </w:r>
      <w:r>
        <w:rPr>
          <w:rFonts w:ascii="Times New Roman" w:hAnsi="Times New Roman"/>
          <w:b w:val="0"/>
          <w:i w:val="0"/>
          <w:sz w:val="24"/>
        </w:rPr>
        <w:t xml:space="preserve">. Routledge. </w:t>
      </w:r>
      <w:hyperlink r:id="rId22">
        <w:r>
          <w:rPr>
            <w:rFonts w:ascii="Times New Roman" w:hAnsi="Times New Roman"/>
            <w:u w:val="single"/>
            <w:color w:val="4472C4"/>
            <w:sz w:val="24"/>
            <w:szCs w:val="24"/>
          </w:rPr>
          <w:t>https://doi.org/10.4324/9780429265402</w:t>
        </w:r>
      </w:hyperlink>
    </w:p>
    <w:p>
      <w:pPr>
        <w:spacing w:before="120" w:after="120"/>
        <w:ind w:left="480" w:hanging="480"/>
      </w:pPr>
      <w:bookmarkStart w:id="7" w:name="ref_Ha_2024"/>
      <w:bookmarkEnd w:id="7"/>
      <w:r>
        <w:rPr>
          <w:rFonts w:ascii="Times New Roman" w:hAnsi="Times New Roman"/>
          <w:b w:val="0"/>
          <w:i w:val="0"/>
          <w:sz w:val="24"/>
        </w:rPr>
        <w:t xml:space="preserve">Ha, M.-J. (2024). Exploring metaverse-blended learning in an English presentation class: Student perceptions. </w:t>
      </w:r>
      <w:r>
        <w:rPr>
          <w:rFonts w:ascii="Times New Roman" w:hAnsi="Times New Roman"/>
          <w:b w:val="0"/>
          <w:i/>
          <w:sz w:val="24"/>
        </w:rPr>
        <w:t>Computer-Assisted Language Learning Electronic Journal, 25</w:t>
      </w:r>
      <w:r>
        <w:rPr>
          <w:rFonts w:ascii="Times New Roman" w:hAnsi="Times New Roman"/>
          <w:b w:val="0"/>
          <w:i w:val="0"/>
          <w:sz w:val="24"/>
        </w:rPr>
        <w:t xml:space="preserve">(2), 130–151. </w:t>
      </w:r>
      <w:hyperlink r:id="rId23">
        <w:r>
          <w:rPr>
            <w:rFonts w:ascii="Times New Roman" w:hAnsi="Times New Roman"/>
            <w:u w:val="single"/>
            <w:color w:val="4472C4"/>
            <w:sz w:val="24"/>
            <w:szCs w:val="24"/>
          </w:rPr>
          <w:t>https://callej.org/index.php/journal/article/view/446</w:t>
        </w:r>
      </w:hyperlink>
    </w:p>
    <w:p>
      <w:pPr>
        <w:spacing w:before="120" w:after="120"/>
        <w:ind w:left="480" w:hanging="480"/>
      </w:pPr>
      <w:bookmarkStart w:id="8" w:name="ref_Hafour_2024"/>
      <w:bookmarkEnd w:id="8"/>
      <w:r>
        <w:rPr>
          <w:rFonts w:ascii="Times New Roman" w:hAnsi="Times New Roman"/>
          <w:b w:val="0"/>
          <w:i w:val="0"/>
          <w:sz w:val="24"/>
        </w:rPr>
        <w:t xml:space="preserve">Hafour, M. F. (2024). Interactive digital media assignments: Effects on EFL learners' overall and micro-level oral language skills. </w:t>
      </w:r>
      <w:r>
        <w:rPr>
          <w:rFonts w:ascii="Times New Roman" w:hAnsi="Times New Roman"/>
          <w:b w:val="0"/>
          <w:i/>
          <w:sz w:val="24"/>
        </w:rPr>
        <w:t>Computer Assisted Language Learning, 37</w:t>
      </w:r>
      <w:r>
        <w:rPr>
          <w:rFonts w:ascii="Times New Roman" w:hAnsi="Times New Roman"/>
          <w:b w:val="0"/>
          <w:i w:val="0"/>
          <w:sz w:val="24"/>
        </w:rPr>
        <w:t xml:space="preserve">(4), 986–1018. </w:t>
      </w:r>
      <w:hyperlink r:id="rId24">
        <w:r>
          <w:rPr>
            <w:rFonts w:ascii="Times New Roman" w:hAnsi="Times New Roman"/>
            <w:u w:val="single"/>
            <w:color w:val="4472C4"/>
            <w:sz w:val="24"/>
            <w:szCs w:val="24"/>
          </w:rPr>
          <w:t>https://doi.org/10.1080/09588221.2022.2067180</w:t>
        </w:r>
      </w:hyperlink>
    </w:p>
    <w:p>
      <w:pPr>
        <w:spacing w:before="120" w:after="120"/>
        <w:ind w:left="480" w:hanging="480"/>
      </w:pPr>
      <w:bookmarkStart w:id="9" w:name="ref_Ibatova_2022"/>
      <w:bookmarkEnd w:id="9"/>
      <w:r>
        <w:rPr>
          <w:rFonts w:ascii="Times New Roman" w:hAnsi="Times New Roman"/>
          <w:b w:val="0"/>
          <w:i w:val="0"/>
          <w:sz w:val="24"/>
        </w:rPr>
        <w:t xml:space="preserve">Ibatova, A. (2022). An investigation of EFL learners' speaking anxiety and motivation in face-to-face and synchronous text-based chat and voice-based chat environment. </w:t>
      </w:r>
      <w:r>
        <w:rPr>
          <w:rFonts w:ascii="Times New Roman" w:hAnsi="Times New Roman"/>
          <w:b w:val="0"/>
          <w:i/>
          <w:sz w:val="24"/>
        </w:rPr>
        <w:t>Computer-Assisted Language Learning Electronic Journal, 23</w:t>
      </w:r>
      <w:r>
        <w:rPr>
          <w:rFonts w:ascii="Times New Roman" w:hAnsi="Times New Roman"/>
          <w:b w:val="0"/>
          <w:i w:val="0"/>
          <w:sz w:val="24"/>
        </w:rPr>
        <w:t xml:space="preserve">(2), 278–294. </w:t>
      </w:r>
      <w:hyperlink r:id="rId25">
        <w:r>
          <w:rPr>
            <w:rFonts w:ascii="Times New Roman" w:hAnsi="Times New Roman"/>
            <w:u w:val="single"/>
            <w:color w:val="4472C4"/>
            <w:sz w:val="24"/>
            <w:szCs w:val="24"/>
          </w:rPr>
          <w:t>https://callej.org/index.php/journal/article/view/407</w:t>
        </w:r>
      </w:hyperlink>
    </w:p>
    <w:p>
      <w:pPr>
        <w:spacing w:before="120" w:after="120"/>
        <w:ind w:left="480" w:hanging="480"/>
      </w:pPr>
      <w:bookmarkStart w:id="10" w:name="ref_Kessler_2010"/>
      <w:bookmarkEnd w:id="10"/>
      <w:r>
        <w:rPr>
          <w:rFonts w:ascii="Times New Roman" w:hAnsi="Times New Roman"/>
          <w:b w:val="0"/>
          <w:i w:val="0"/>
          <w:sz w:val="24"/>
        </w:rPr>
        <w:t xml:space="preserve">Kessler, G. (2010). Fluency and anxiety in self-access speaking tasks: The influence of environment. </w:t>
      </w:r>
      <w:r>
        <w:rPr>
          <w:rFonts w:ascii="Times New Roman" w:hAnsi="Times New Roman"/>
          <w:b w:val="0"/>
          <w:i/>
          <w:sz w:val="24"/>
        </w:rPr>
        <w:t>Computer Assisted Language Learning, 23</w:t>
      </w:r>
      <w:r>
        <w:rPr>
          <w:rFonts w:ascii="Times New Roman" w:hAnsi="Times New Roman"/>
          <w:b w:val="0"/>
          <w:i w:val="0"/>
          <w:sz w:val="24"/>
        </w:rPr>
        <w:t xml:space="preserve">(4), 361–375. </w:t>
      </w:r>
      <w:hyperlink r:id="rId26">
        <w:r>
          <w:rPr>
            <w:rFonts w:ascii="Times New Roman" w:hAnsi="Times New Roman"/>
            <w:u w:val="single"/>
            <w:color w:val="4472C4"/>
            <w:sz w:val="24"/>
            <w:szCs w:val="24"/>
          </w:rPr>
          <w:t>https://doi.org/10.1080/09588221.2010.512551</w:t>
        </w:r>
      </w:hyperlink>
    </w:p>
    <w:p>
      <w:pPr>
        <w:spacing w:before="120" w:after="120"/>
        <w:ind w:left="480" w:hanging="480"/>
      </w:pPr>
      <w:bookmarkStart w:id="11" w:name="ref_Le_2025"/>
      <w:bookmarkEnd w:id="11"/>
      <w:r>
        <w:rPr>
          <w:rFonts w:ascii="Times New Roman" w:hAnsi="Times New Roman"/>
          <w:b w:val="0"/>
          <w:i w:val="0"/>
          <w:sz w:val="24"/>
        </w:rPr>
        <w:t xml:space="preserve">Le, V. H. H., &amp; Do, M. T. (2025). Using Copilot to foster utterance fluency of undergraduates: A multiple case study. </w:t>
      </w:r>
      <w:r>
        <w:rPr>
          <w:rFonts w:ascii="Times New Roman" w:hAnsi="Times New Roman"/>
          <w:b w:val="0"/>
          <w:i/>
          <w:sz w:val="24"/>
        </w:rPr>
        <w:t>Computer-Assisted Language Learning Electronic Journal, 26</w:t>
      </w:r>
      <w:r>
        <w:rPr>
          <w:rFonts w:ascii="Times New Roman" w:hAnsi="Times New Roman"/>
          <w:b w:val="0"/>
          <w:i w:val="0"/>
          <w:sz w:val="24"/>
        </w:rPr>
        <w:t xml:space="preserve">(4), 396–417. </w:t>
      </w:r>
      <w:hyperlink r:id="rId27">
        <w:r>
          <w:rPr>
            <w:rFonts w:ascii="Times New Roman" w:hAnsi="Times New Roman"/>
            <w:u w:val="single"/>
            <w:color w:val="4472C4"/>
            <w:sz w:val="24"/>
            <w:szCs w:val="24"/>
          </w:rPr>
          <w:t>https://callej.org/index.php/journal/article/view/690</w:t>
        </w:r>
      </w:hyperlink>
    </w:p>
    <w:p>
      <w:pPr>
        <w:spacing w:before="120" w:after="120"/>
        <w:ind w:left="480" w:hanging="480"/>
      </w:pPr>
      <w:bookmarkStart w:id="12" w:name="ref_Lee_2014"/>
      <w:bookmarkEnd w:id="12"/>
      <w:r>
        <w:rPr>
          <w:rFonts w:ascii="Times New Roman" w:hAnsi="Times New Roman"/>
          <w:b w:val="0"/>
          <w:i w:val="0"/>
          <w:sz w:val="24"/>
        </w:rPr>
        <w:t xml:space="preserve">Lee, L. (2014). Digital news stories: Building language learners' content knowledge and speaking skills. </w:t>
      </w:r>
      <w:r>
        <w:rPr>
          <w:rFonts w:ascii="Times New Roman" w:hAnsi="Times New Roman"/>
          <w:b w:val="0"/>
          <w:i/>
          <w:sz w:val="24"/>
        </w:rPr>
        <w:t>Foreign Language Annals, 47</w:t>
      </w:r>
      <w:r>
        <w:rPr>
          <w:rFonts w:ascii="Times New Roman" w:hAnsi="Times New Roman"/>
          <w:b w:val="0"/>
          <w:i w:val="0"/>
          <w:sz w:val="24"/>
        </w:rPr>
        <w:t xml:space="preserve">(2), 338–356. </w:t>
      </w:r>
      <w:hyperlink r:id="rId28">
        <w:r>
          <w:rPr>
            <w:rFonts w:ascii="Times New Roman" w:hAnsi="Times New Roman"/>
            <w:u w:val="single"/>
            <w:color w:val="4472C4"/>
            <w:sz w:val="24"/>
            <w:szCs w:val="24"/>
          </w:rPr>
          <w:t>https://doi.org/10.1111/flan.12084</w:t>
        </w:r>
      </w:hyperlink>
    </w:p>
    <w:p>
      <w:pPr>
        <w:spacing w:before="120" w:after="120"/>
        <w:ind w:left="480" w:hanging="480"/>
      </w:pPr>
      <w:bookmarkStart w:id="13" w:name="ref_Leong_2017"/>
      <w:bookmarkEnd w:id="13"/>
      <w:r>
        <w:rPr>
          <w:rFonts w:ascii="Times New Roman" w:hAnsi="Times New Roman"/>
          <w:b w:val="0"/>
          <w:i w:val="0"/>
          <w:sz w:val="24"/>
        </w:rPr>
        <w:t xml:space="preserve">Leong, L.-M., &amp; Ahmadi, S. M. (2017). An analysis of factors influencing learners' English speaking skill. </w:t>
      </w:r>
      <w:r>
        <w:rPr>
          <w:rFonts w:ascii="Times New Roman" w:hAnsi="Times New Roman"/>
          <w:b w:val="0"/>
          <w:i/>
          <w:sz w:val="24"/>
        </w:rPr>
        <w:t>International Journal of Research in English Education, 2</w:t>
      </w:r>
      <w:r>
        <w:rPr>
          <w:rFonts w:ascii="Times New Roman" w:hAnsi="Times New Roman"/>
          <w:b w:val="0"/>
          <w:i w:val="0"/>
          <w:sz w:val="24"/>
        </w:rPr>
        <w:t xml:space="preserve">(1), 34–41. </w:t>
      </w:r>
      <w:hyperlink r:id="rId29">
        <w:r>
          <w:rPr>
            <w:rFonts w:ascii="Times New Roman" w:hAnsi="Times New Roman"/>
            <w:u w:val="single"/>
            <w:color w:val="4472C4"/>
            <w:sz w:val="24"/>
            <w:szCs w:val="24"/>
          </w:rPr>
          <w:t>https://doi.org/10.18869/acadpub.ijree.2.1.34</w:t>
        </w:r>
      </w:hyperlink>
    </w:p>
    <w:p>
      <w:pPr>
        <w:spacing w:before="120" w:after="120"/>
        <w:ind w:left="480" w:hanging="480"/>
      </w:pPr>
      <w:bookmarkStart w:id="14" w:name="ref_Mahdi_2022"/>
      <w:bookmarkEnd w:id="14"/>
      <w:r>
        <w:rPr>
          <w:rFonts w:ascii="Times New Roman" w:hAnsi="Times New Roman"/>
          <w:b w:val="0"/>
          <w:i w:val="0"/>
          <w:sz w:val="24"/>
        </w:rPr>
        <w:t xml:space="preserve">Mahdi, D. A. (2022). Improving speaking and presentation skills through interactive multimedia environment for non-native speakers of English. </w:t>
      </w:r>
      <w:r>
        <w:rPr>
          <w:rFonts w:ascii="Times New Roman" w:hAnsi="Times New Roman"/>
          <w:b w:val="0"/>
          <w:i/>
          <w:sz w:val="24"/>
        </w:rPr>
        <w:t>SAGE Open, 12</w:t>
      </w:r>
      <w:r>
        <w:rPr>
          <w:rFonts w:ascii="Times New Roman" w:hAnsi="Times New Roman"/>
          <w:b w:val="0"/>
          <w:i w:val="0"/>
          <w:sz w:val="24"/>
        </w:rPr>
        <w:t xml:space="preserve">(1), 1–12. </w:t>
      </w:r>
      <w:hyperlink r:id="rId30">
        <w:r>
          <w:rPr>
            <w:rFonts w:ascii="Times New Roman" w:hAnsi="Times New Roman"/>
            <w:u w:val="single"/>
            <w:color w:val="4472C4"/>
            <w:sz w:val="24"/>
            <w:szCs w:val="24"/>
          </w:rPr>
          <w:t>https://doi.org/10.1177/21582440221079811</w:t>
        </w:r>
      </w:hyperlink>
    </w:p>
    <w:p>
      <w:pPr>
        <w:spacing w:before="120" w:after="120"/>
        <w:ind w:left="480" w:hanging="480"/>
      </w:pPr>
      <w:bookmarkStart w:id="15" w:name="ref_Mathur_2022"/>
      <w:bookmarkEnd w:id="15"/>
      <w:r>
        <w:rPr>
          <w:rFonts w:ascii="Times New Roman" w:hAnsi="Times New Roman"/>
          <w:b w:val="0"/>
          <w:i w:val="0"/>
          <w:sz w:val="24"/>
        </w:rPr>
        <w:t xml:space="preserve">Mathur, M., &amp; Mahapatra, S. (2022). Impact of ePortfolio assessment as an instructional strategy on students' academic speaking skills: An experimental study. </w:t>
      </w:r>
      <w:r>
        <w:rPr>
          <w:rFonts w:ascii="Times New Roman" w:hAnsi="Times New Roman"/>
          <w:b w:val="0"/>
          <w:i/>
          <w:sz w:val="24"/>
        </w:rPr>
        <w:t>Computer-Assisted Language Learning Electronic Journal, 23</w:t>
      </w:r>
      <w:r>
        <w:rPr>
          <w:rFonts w:ascii="Times New Roman" w:hAnsi="Times New Roman"/>
          <w:b w:val="0"/>
          <w:i w:val="0"/>
          <w:sz w:val="24"/>
        </w:rPr>
        <w:t xml:space="preserve">(3), 1–23. </w:t>
      </w:r>
      <w:hyperlink r:id="rId31">
        <w:r>
          <w:rPr>
            <w:rFonts w:ascii="Times New Roman" w:hAnsi="Times New Roman"/>
            <w:u w:val="single"/>
            <w:color w:val="4472C4"/>
            <w:sz w:val="24"/>
            <w:szCs w:val="24"/>
          </w:rPr>
          <w:t>https://callej.org/index.php/journal/article/view/410</w:t>
        </w:r>
      </w:hyperlink>
    </w:p>
    <w:p>
      <w:pPr>
        <w:spacing w:before="120" w:after="120"/>
        <w:ind w:left="480" w:hanging="480"/>
      </w:pPr>
      <w:bookmarkStart w:id="16" w:name="ref_Mayer_2014"/>
      <w:bookmarkEnd w:id="16"/>
      <w:r>
        <w:rPr>
          <w:rFonts w:ascii="Times New Roman" w:hAnsi="Times New Roman"/>
          <w:b w:val="0"/>
          <w:i w:val="0"/>
          <w:sz w:val="24"/>
        </w:rPr>
        <w:t xml:space="preserve">Mayer, R. E. (2014). Cognitive theory of multimedia learning. In R. E. Mayer (Ed.), </w:t>
      </w:r>
      <w:r>
        <w:rPr>
          <w:rFonts w:ascii="Times New Roman" w:hAnsi="Times New Roman"/>
          <w:b w:val="0"/>
          <w:i/>
          <w:sz w:val="24"/>
        </w:rPr>
        <w:t>The Cambridge handbook of multimedia learning</w:t>
      </w:r>
      <w:r>
        <w:rPr>
          <w:rFonts w:ascii="Times New Roman" w:hAnsi="Times New Roman"/>
          <w:b w:val="0"/>
          <w:i w:val="0"/>
          <w:sz w:val="24"/>
        </w:rPr>
        <w:t xml:space="preserve"> (2nd ed., pp. 43–71). Cambridge University Press. </w:t>
      </w:r>
      <w:hyperlink r:id="rId32">
        <w:r>
          <w:rPr>
            <w:rFonts w:ascii="Times New Roman" w:hAnsi="Times New Roman"/>
            <w:u w:val="single"/>
            <w:color w:val="4472C4"/>
            <w:sz w:val="24"/>
            <w:szCs w:val="24"/>
          </w:rPr>
          <w:t>https://doi.org/10.1017/CBO9781139547369.005</w:t>
        </w:r>
      </w:hyperlink>
    </w:p>
    <w:p>
      <w:pPr>
        <w:spacing w:before="120" w:after="120"/>
        <w:ind w:left="480" w:hanging="480"/>
      </w:pPr>
      <w:bookmarkStart w:id="17" w:name="ref_Mohammad_2024"/>
      <w:bookmarkEnd w:id="17"/>
      <w:r>
        <w:rPr>
          <w:rFonts w:ascii="Times New Roman" w:hAnsi="Times New Roman"/>
          <w:b w:val="0"/>
          <w:i w:val="0"/>
          <w:sz w:val="24"/>
        </w:rPr>
        <w:t xml:space="preserve">Mohammad, S. I., Abdelrasheed, N. S. G., Minasova, A. S., Vasudevan, A., &amp; Shavkatov, N. (2024). A gauge into emotional intelligence enhancement in CALL and the effects on oral skills, personal best goals, and self-efficacy among EFL learners. </w:t>
      </w:r>
      <w:r>
        <w:rPr>
          <w:rFonts w:ascii="Times New Roman" w:hAnsi="Times New Roman"/>
          <w:b w:val="0"/>
          <w:i/>
          <w:sz w:val="24"/>
        </w:rPr>
        <w:t>Computer-Assisted Language Learning Electronic Journal, 25</w:t>
      </w:r>
      <w:r>
        <w:rPr>
          <w:rFonts w:ascii="Times New Roman" w:hAnsi="Times New Roman"/>
          <w:b w:val="0"/>
          <w:i w:val="0"/>
          <w:sz w:val="24"/>
        </w:rPr>
        <w:t xml:space="preserve">(4), 552–577. </w:t>
      </w:r>
      <w:hyperlink r:id="rId33">
        <w:r>
          <w:rPr>
            <w:rFonts w:ascii="Times New Roman" w:hAnsi="Times New Roman"/>
            <w:u w:val="single"/>
            <w:color w:val="4472C4"/>
            <w:sz w:val="24"/>
            <w:szCs w:val="24"/>
          </w:rPr>
          <w:t>https://callej.org/index.php/journal/article/view/488</w:t>
        </w:r>
      </w:hyperlink>
    </w:p>
    <w:p>
      <w:pPr>
        <w:spacing w:before="120" w:after="120"/>
        <w:ind w:left="480" w:hanging="480"/>
      </w:pPr>
      <w:bookmarkStart w:id="18" w:name="ref_Nasri_2022"/>
      <w:bookmarkEnd w:id="18"/>
      <w:r>
        <w:rPr>
          <w:rFonts w:ascii="Times New Roman" w:hAnsi="Times New Roman"/>
          <w:b w:val="0"/>
          <w:i w:val="0"/>
          <w:sz w:val="24"/>
        </w:rPr>
        <w:t xml:space="preserve">Nasri, M., Shafiee, S., &amp; Sepehri, M. (2022). An account of Iranian EFL learners' speaking complexity, accuracy, and fluency and foreign language speaking anxiety in a computer-assisted language learning environment. </w:t>
      </w:r>
      <w:r>
        <w:rPr>
          <w:rFonts w:ascii="Times New Roman" w:hAnsi="Times New Roman"/>
          <w:b w:val="0"/>
          <w:i/>
          <w:sz w:val="24"/>
        </w:rPr>
        <w:t>Computer-Assisted Language Learning Electronic Journal, 23</w:t>
      </w:r>
      <w:r>
        <w:rPr>
          <w:rFonts w:ascii="Times New Roman" w:hAnsi="Times New Roman"/>
          <w:b w:val="0"/>
          <w:i w:val="0"/>
          <w:sz w:val="24"/>
        </w:rPr>
        <w:t xml:space="preserve">(2), 299–321. </w:t>
      </w:r>
      <w:hyperlink r:id="rId34">
        <w:r>
          <w:rPr>
            <w:rFonts w:ascii="Times New Roman" w:hAnsi="Times New Roman"/>
            <w:u w:val="single"/>
            <w:color w:val="4472C4"/>
            <w:sz w:val="24"/>
            <w:szCs w:val="24"/>
          </w:rPr>
          <w:t>https://callej.org/index.php/journal/article/view/408</w:t>
        </w:r>
      </w:hyperlink>
    </w:p>
    <w:p>
      <w:pPr>
        <w:spacing w:before="120" w:after="120"/>
        <w:ind w:left="480" w:hanging="480"/>
      </w:pPr>
      <w:r>
        <w:rPr>
          <w:rFonts w:ascii="Times New Roman" w:hAnsi="Times New Roman"/>
          <w:b w:val="0"/>
          <w:i w:val="0"/>
          <w:sz w:val="24"/>
        </w:rPr>
        <w:t xml:space="preserve">Nguyen, N. V., Vo, T. T., &amp; Tran, V. D. T. (2025a). AI-driven pronunciation assessment: The impact of SpeechAce on EFL learners' pronunciation competency. </w:t>
      </w:r>
      <w:r>
        <w:rPr>
          <w:rFonts w:ascii="Times New Roman" w:hAnsi="Times New Roman"/>
          <w:b w:val="0"/>
          <w:i/>
          <w:sz w:val="24"/>
        </w:rPr>
        <w:t>Computer-Assisted Language Learning Electronic Journal, 26</w:t>
      </w:r>
      <w:r>
        <w:rPr>
          <w:rFonts w:ascii="Times New Roman" w:hAnsi="Times New Roman"/>
          <w:b w:val="0"/>
          <w:i w:val="0"/>
          <w:sz w:val="24"/>
        </w:rPr>
        <w:t xml:space="preserve">(3), 84–106. </w:t>
      </w:r>
      <w:hyperlink r:id="rId35">
        <w:r>
          <w:rPr>
            <w:rFonts w:ascii="Times New Roman" w:hAnsi="Times New Roman"/>
            <w:u w:val="single"/>
            <w:color w:val="4472C4"/>
            <w:sz w:val="24"/>
            <w:szCs w:val="24"/>
          </w:rPr>
          <w:t>https://callej.org/index.php/journal/article/view/511</w:t>
        </w:r>
      </w:hyperlink>
    </w:p>
    <w:p>
      <w:pPr>
        <w:spacing w:before="120" w:after="120"/>
        <w:ind w:left="480" w:hanging="480"/>
      </w:pPr>
      <w:r>
        <w:rPr>
          <w:rFonts w:ascii="Times New Roman" w:hAnsi="Times New Roman"/>
          <w:b w:val="0"/>
          <w:i w:val="0"/>
          <w:sz w:val="24"/>
        </w:rPr>
        <w:t xml:space="preserve">Nguyen, T. S., Nguyen, T. D. T., Hoang, N. Q. N., &amp; Do, T. K. H. (2025b). How AI-powered voice recognition has supported pronunciation competence among EFL university learners. </w:t>
      </w:r>
      <w:r>
        <w:rPr>
          <w:rFonts w:ascii="Times New Roman" w:hAnsi="Times New Roman"/>
          <w:b w:val="0"/>
          <w:i/>
          <w:sz w:val="24"/>
        </w:rPr>
        <w:t>Computer-Assisted Language Learning Electronic Journal, 26</w:t>
      </w:r>
      <w:r>
        <w:rPr>
          <w:rFonts w:ascii="Times New Roman" w:hAnsi="Times New Roman"/>
          <w:b w:val="0"/>
          <w:i w:val="0"/>
          <w:sz w:val="24"/>
        </w:rPr>
        <w:t xml:space="preserve">(3), 64–83. </w:t>
      </w:r>
      <w:hyperlink r:id="rId36">
        <w:r>
          <w:rPr>
            <w:rFonts w:ascii="Times New Roman" w:hAnsi="Times New Roman"/>
            <w:u w:val="single"/>
            <w:color w:val="4472C4"/>
            <w:sz w:val="24"/>
            <w:szCs w:val="24"/>
          </w:rPr>
          <w:t>https://callej.org/index.php/journal/article/view/519</w:t>
        </w:r>
      </w:hyperlink>
    </w:p>
    <w:p>
      <w:pPr>
        <w:spacing w:before="120" w:after="120"/>
        <w:ind w:left="480" w:hanging="480"/>
      </w:pPr>
      <w:bookmarkStart w:id="19" w:name="ref_Prasittichok_2024"/>
      <w:bookmarkEnd w:id="19"/>
      <w:r>
        <w:rPr>
          <w:rFonts w:ascii="Times New Roman" w:hAnsi="Times New Roman"/>
          <w:b w:val="0"/>
          <w:i w:val="0"/>
          <w:sz w:val="24"/>
        </w:rPr>
        <w:t xml:space="preserve">Prasittichok, P., &amp; Smithsarakarn, P. N. (2024). The effects of microlearning on EFL students' English speaking: A systematic review and meta-analysis. </w:t>
      </w:r>
      <w:r>
        <w:rPr>
          <w:rFonts w:ascii="Times New Roman" w:hAnsi="Times New Roman"/>
          <w:b w:val="0"/>
          <w:i/>
          <w:sz w:val="24"/>
        </w:rPr>
        <w:t>International Journal of Learning, Teaching and Educational Research, 23</w:t>
      </w:r>
      <w:r>
        <w:rPr>
          <w:rFonts w:ascii="Times New Roman" w:hAnsi="Times New Roman"/>
          <w:b w:val="0"/>
          <w:i w:val="0"/>
          <w:sz w:val="24"/>
        </w:rPr>
        <w:t xml:space="preserve">(4), 525–546. </w:t>
      </w:r>
      <w:hyperlink r:id="rId37">
        <w:r>
          <w:rPr>
            <w:rFonts w:ascii="Times New Roman" w:hAnsi="Times New Roman"/>
            <w:u w:val="single"/>
            <w:color w:val="4472C4"/>
            <w:sz w:val="24"/>
            <w:szCs w:val="24"/>
          </w:rPr>
          <w:t>https://doi.org/10.26803/ijlter.23.4.27</w:t>
        </w:r>
      </w:hyperlink>
    </w:p>
    <w:p>
      <w:pPr>
        <w:spacing w:before="120" w:after="120"/>
        <w:ind w:left="480" w:hanging="480"/>
      </w:pPr>
      <w:bookmarkStart w:id="20" w:name="ref_Roohani_2021"/>
      <w:bookmarkEnd w:id="20"/>
      <w:r>
        <w:rPr>
          <w:rFonts w:ascii="Times New Roman" w:hAnsi="Times New Roman"/>
          <w:b w:val="0"/>
          <w:i w:val="0"/>
          <w:sz w:val="24"/>
        </w:rPr>
        <w:t xml:space="preserve">Roohani, A., &amp; Etemadfar, P. (2021). Effect of micro flipped method on EFL learners' speaking fluency. </w:t>
      </w:r>
      <w:r>
        <w:rPr>
          <w:rFonts w:ascii="Times New Roman" w:hAnsi="Times New Roman"/>
          <w:b w:val="0"/>
          <w:i/>
          <w:sz w:val="24"/>
        </w:rPr>
        <w:t>The Journal of AsiaTEFL, 18</w:t>
      </w:r>
      <w:r>
        <w:rPr>
          <w:rFonts w:ascii="Times New Roman" w:hAnsi="Times New Roman"/>
          <w:b w:val="0"/>
          <w:i w:val="0"/>
          <w:sz w:val="24"/>
        </w:rPr>
        <w:t xml:space="preserve">(2), 559–575. </w:t>
      </w:r>
      <w:hyperlink r:id="rId38">
        <w:r>
          <w:rPr>
            <w:rFonts w:ascii="Times New Roman" w:hAnsi="Times New Roman"/>
            <w:u w:val="single"/>
            <w:color w:val="4472C4"/>
            <w:sz w:val="24"/>
            <w:szCs w:val="24"/>
          </w:rPr>
          <w:t>https://doi.org/10.18823/asiatefl.2021.18.2.11.559</w:t>
        </w:r>
      </w:hyperlink>
    </w:p>
    <w:p>
      <w:pPr>
        <w:spacing w:before="120" w:after="120"/>
        <w:ind w:left="480" w:hanging="480"/>
      </w:pPr>
      <w:bookmarkStart w:id="21" w:name="ref_Sabnani_2022"/>
      <w:bookmarkEnd w:id="21"/>
      <w:r>
        <w:rPr>
          <w:rFonts w:ascii="Times New Roman" w:hAnsi="Times New Roman"/>
          <w:b w:val="0"/>
          <w:i w:val="0"/>
          <w:sz w:val="24"/>
        </w:rPr>
        <w:t xml:space="preserve">Sabnani, R. L., &amp; Goh, C. C. M. (2022). Developing young learners' metacognitive awareness for speaking. </w:t>
      </w:r>
      <w:r>
        <w:rPr>
          <w:rFonts w:ascii="Times New Roman" w:hAnsi="Times New Roman"/>
          <w:b w:val="0"/>
          <w:i/>
          <w:sz w:val="24"/>
        </w:rPr>
        <w:t>TESOL Quarterly, 56</w:t>
      </w:r>
      <w:r>
        <w:rPr>
          <w:rFonts w:ascii="Times New Roman" w:hAnsi="Times New Roman"/>
          <w:b w:val="0"/>
          <w:i w:val="0"/>
          <w:sz w:val="24"/>
        </w:rPr>
        <w:t xml:space="preserve">(1), 336–346. </w:t>
      </w:r>
      <w:hyperlink r:id="rId39">
        <w:r>
          <w:rPr>
            <w:rFonts w:ascii="Times New Roman" w:hAnsi="Times New Roman"/>
            <w:u w:val="single"/>
            <w:color w:val="4472C4"/>
            <w:sz w:val="24"/>
            <w:szCs w:val="24"/>
          </w:rPr>
          <w:t>https://doi.org/10.1002/tesq.3042</w:t>
        </w:r>
      </w:hyperlink>
    </w:p>
    <w:p>
      <w:pPr>
        <w:spacing w:before="120" w:after="120"/>
        <w:ind w:left="480" w:hanging="480"/>
      </w:pPr>
      <w:bookmarkStart w:id="22" w:name="ref_Sulistyowati_2022"/>
      <w:bookmarkEnd w:id="22"/>
      <w:r>
        <w:rPr>
          <w:rFonts w:ascii="Times New Roman" w:hAnsi="Times New Roman"/>
          <w:b w:val="0"/>
          <w:i w:val="0"/>
          <w:sz w:val="24"/>
        </w:rPr>
        <w:t xml:space="preserve">Sulistyowati, T., Mujiyanto, J., Rukmini, D., &amp; Hartono, R. (2022). Developing and validating the metacognitive awareness speaking questionnaire. In </w:t>
      </w:r>
      <w:r>
        <w:rPr>
          <w:rFonts w:ascii="Times New Roman" w:hAnsi="Times New Roman"/>
          <w:b w:val="0"/>
          <w:i/>
          <w:sz w:val="24"/>
        </w:rPr>
        <w:t>Proceedings of the Tenth International Conference on English Language and Literature (TEFLIN-ICOELT 2021)</w:t>
      </w:r>
      <w:r>
        <w:rPr>
          <w:rFonts w:ascii="Times New Roman" w:hAnsi="Times New Roman"/>
          <w:b w:val="0"/>
          <w:i w:val="0"/>
          <w:sz w:val="24"/>
        </w:rPr>
        <w:t xml:space="preserve"> (pp. [pages]). Atlantis Press. </w:t>
      </w:r>
      <w:hyperlink r:id="rId40">
        <w:r>
          <w:rPr>
            <w:rFonts w:ascii="Times New Roman" w:hAnsi="Times New Roman"/>
            <w:u w:val="single"/>
            <w:color w:val="4472C4"/>
            <w:sz w:val="24"/>
            <w:szCs w:val="24"/>
          </w:rPr>
          <w:t>https://doi.org/10.2991/assehr.k.220201.038</w:t>
        </w:r>
      </w:hyperlink>
    </w:p>
    <w:p>
      <w:pPr>
        <w:spacing w:before="120" w:after="120"/>
        <w:ind w:left="480" w:hanging="480"/>
      </w:pPr>
      <w:bookmarkStart w:id="23" w:name="ref_Tsang_2025"/>
      <w:bookmarkEnd w:id="23"/>
      <w:r>
        <w:rPr>
          <w:rFonts w:ascii="Times New Roman" w:hAnsi="Times New Roman"/>
          <w:b w:val="0"/>
          <w:i w:val="0"/>
          <w:sz w:val="24"/>
        </w:rPr>
        <w:t xml:space="preserve">Tsang, A. (2025). The relationships between EFL learners' anxiety in oral presentations, self-perceived pronunciation, and speaking proficiency. </w:t>
      </w:r>
      <w:r>
        <w:rPr>
          <w:rFonts w:ascii="Times New Roman" w:hAnsi="Times New Roman"/>
          <w:b w:val="0"/>
          <w:i/>
          <w:sz w:val="24"/>
        </w:rPr>
        <w:t>Language Teaching Research, 29</w:t>
      </w:r>
      <w:r>
        <w:rPr>
          <w:rFonts w:ascii="Times New Roman" w:hAnsi="Times New Roman"/>
          <w:b w:val="0"/>
          <w:i w:val="0"/>
          <w:sz w:val="24"/>
        </w:rPr>
        <w:t xml:space="preserve">(4), 1639–1659. </w:t>
      </w:r>
      <w:hyperlink r:id="rId41">
        <w:r>
          <w:rPr>
            <w:rFonts w:ascii="Times New Roman" w:hAnsi="Times New Roman"/>
            <w:u w:val="single"/>
            <w:color w:val="4472C4"/>
            <w:sz w:val="24"/>
            <w:szCs w:val="24"/>
          </w:rPr>
          <w:t>https://doi.org/10.1177/13621688221102522</w:t>
        </w:r>
      </w:hyperlink>
    </w:p>
    <w:p>
      <w:pPr>
        <w:spacing w:before="120" w:after="120"/>
        <w:ind w:left="480" w:hanging="480"/>
      </w:pPr>
      <w:bookmarkStart w:id="24" w:name="ref_Zhang_2022"/>
      <w:bookmarkEnd w:id="24"/>
      <w:r>
        <w:rPr>
          <w:rFonts w:ascii="Times New Roman" w:hAnsi="Times New Roman"/>
          <w:b w:val="0"/>
          <w:i w:val="0"/>
          <w:sz w:val="24"/>
        </w:rPr>
        <w:t xml:space="preserve">Zhang, W., Zhao, M., &amp; Zhu, Y. (2022). Understanding individual differences in metacognitive strategy use, task demand, and performance in integrated L2 speaking assessment tasks. </w:t>
      </w:r>
      <w:r>
        <w:rPr>
          <w:rFonts w:ascii="Times New Roman" w:hAnsi="Times New Roman"/>
          <w:b w:val="0"/>
          <w:i/>
          <w:sz w:val="24"/>
        </w:rPr>
        <w:t>Frontiers in Psychology, 13</w:t>
      </w:r>
      <w:r>
        <w:rPr>
          <w:rFonts w:ascii="Times New Roman" w:hAnsi="Times New Roman"/>
          <w:b w:val="0"/>
          <w:i w:val="0"/>
          <w:sz w:val="24"/>
        </w:rPr>
        <w:t xml:space="preserve">, Article 876208. </w:t>
      </w:r>
      <w:hyperlink r:id="rId42">
        <w:r>
          <w:rPr>
            <w:rFonts w:ascii="Times New Roman" w:hAnsi="Times New Roman"/>
            <w:u w:val="single"/>
            <w:color w:val="4472C4"/>
            <w:sz w:val="24"/>
            <w:szCs w:val="24"/>
          </w:rPr>
          <w:t>https://doi.org/10.3389/fpsyg.2022.876208</w:t>
        </w:r>
      </w:hyperlink>
    </w:p>
    <w:p>
      <w:pPr>
        <w:spacing w:before="120" w:after="120"/>
        <w:ind w:left="480" w:hanging="480"/>
      </w:pPr>
      <w:bookmarkStart w:id="25" w:name="ref_Zimmerman_2002"/>
      <w:bookmarkEnd w:id="25"/>
      <w:r>
        <w:rPr>
          <w:rFonts w:ascii="Times New Roman" w:hAnsi="Times New Roman"/>
          <w:b w:val="0"/>
          <w:i w:val="0"/>
          <w:sz w:val="24"/>
        </w:rPr>
        <w:t xml:space="preserve">Zimmerman, B. J. (2002). Becoming a self-regulated learner: An overview. </w:t>
      </w:r>
      <w:r>
        <w:rPr>
          <w:rFonts w:ascii="Times New Roman" w:hAnsi="Times New Roman"/>
          <w:b w:val="0"/>
          <w:i/>
          <w:sz w:val="24"/>
        </w:rPr>
        <w:t>Theory Into Practice, 41</w:t>
      </w:r>
      <w:r>
        <w:rPr>
          <w:rFonts w:ascii="Times New Roman" w:hAnsi="Times New Roman"/>
          <w:b w:val="0"/>
          <w:i w:val="0"/>
          <w:sz w:val="24"/>
        </w:rPr>
        <w:t xml:space="preserve">(2), 64–70. </w:t>
      </w:r>
      <w:hyperlink r:id="rId43">
        <w:r>
          <w:rPr>
            <w:rFonts w:ascii="Times New Roman" w:hAnsi="Times New Roman"/>
            <w:u w:val="single"/>
            <w:color w:val="4472C4"/>
            <w:sz w:val="24"/>
            <w:szCs w:val="24"/>
          </w:rPr>
          <w:t>https://doi.org/10.1207/S15430421TIP4102_2</w:t>
        </w:r>
      </w:hyperlink>
    </w:p>
    <w:p>
      <w:pPr>
        <w:spacing w:before="120" w:after="120"/>
      </w:pPr>
      <w:r>
        <w:rPr>
          <w:b/>
          <w:color w:val="ED7D31"/>
          <w:sz w:val="26"/>
        </w:rPr>
        <w:t>Biodata</w:t>
      </w:r>
    </w:p>
    <w:p>
      <w:pPr>
        <w:spacing w:before="120" w:after="120"/>
      </w:pPr>
      <w:r>
        <w:rPr>
          <w:rFonts w:ascii="Times New Roman" w:hAnsi="Times New Roman"/>
          <w:b w:val="0"/>
          <w:i w:val="0"/>
          <w:sz w:val="24"/>
        </w:rPr>
        <w:t>*</w:t>
      </w:r>
      <w:r>
        <w:rPr>
          <w:rFonts w:ascii="Times New Roman" w:hAnsi="Times New Roman"/>
          <w:b w:val="0"/>
          <w:i/>
          <w:sz w:val="24"/>
        </w:rPr>
        <w:t>Restu Bias Primandhika</w:t>
      </w:r>
      <w:r>
        <w:rPr>
          <w:rFonts w:ascii="Times New Roman" w:hAnsi="Times New Roman"/>
          <w:b w:val="0"/>
          <w:i w:val="0"/>
          <w:sz w:val="24"/>
        </w:rPr>
        <w:t>* is a lecturer specializing in Language Learning, Linguistics, and Digital Learning Media. He received his master's degree in Indonesian Language Education from IKIP Siliwangi and is a doctoral student at Universitas Muhammadiyah Prof. DR. HAMKA. In 2018, he joined the Faculty of Language Education at IKIP Siliwangi as a lecturer. He has written several papers in the areas of the impact of learning technology on cognitive abilities, digital media preferences of Indonesian language education students, AI's impact on students' oral presentation skills, and neural machine translation. His research interests include digital learning media, Indonesian language education, learning technology, pedagogical innovations, and artificial intelligence in education. He can be contacted at restubiasprimandhika@uhamka.ac.id.</w:t>
      </w:r>
    </w:p>
    <w:p>
      <w:pPr>
        <w:spacing w:before="120" w:after="120"/>
      </w:pPr>
      <w:r>
        <w:rPr>
          <w:rFonts w:ascii="Times New Roman" w:hAnsi="Times New Roman"/>
          <w:b w:val="0"/>
          <w:i w:val="0"/>
          <w:sz w:val="24"/>
        </w:rPr>
        <w:t>*</w:t>
      </w:r>
      <w:r>
        <w:rPr>
          <w:rFonts w:ascii="Times New Roman" w:hAnsi="Times New Roman"/>
          <w:b w:val="0"/>
          <w:i/>
          <w:sz w:val="24"/>
        </w:rPr>
        <w:t>Nani Solihati</w:t>
      </w:r>
      <w:r>
        <w:rPr>
          <w:rFonts w:ascii="Times New Roman" w:hAnsi="Times New Roman"/>
          <w:b w:val="0"/>
          <w:i w:val="0"/>
          <w:sz w:val="24"/>
        </w:rPr>
        <w:t>* is a professor in Indonesian Language and Literature Education at the Post-Graduate School, Universitas Muhammadiyah Prof. DR. HAMKA (UHAMKA). She has researched extensively and has widely published in the areas of critical thinking tasks in language textbooks, literary psychology, gender inequality in literature, and character education through traditional games. She can be contacted at nani_solihati@uhamka.ac.id.</w:t>
      </w:r>
    </w:p>
    <w:p>
      <w:pPr>
        <w:spacing w:before="120" w:after="120"/>
      </w:pPr>
      <w:r>
        <w:rPr>
          <w:rFonts w:ascii="Times New Roman" w:hAnsi="Times New Roman"/>
          <w:b w:val="0"/>
          <w:i w:val="0"/>
          <w:sz w:val="24"/>
        </w:rPr>
        <w:t>*</w:t>
      </w:r>
      <w:r>
        <w:rPr>
          <w:rFonts w:ascii="Times New Roman" w:hAnsi="Times New Roman"/>
          <w:b w:val="0"/>
          <w:i/>
          <w:sz w:val="24"/>
        </w:rPr>
        <w:t>Siti Zulaiha</w:t>
      </w:r>
      <w:r>
        <w:rPr>
          <w:rFonts w:ascii="Times New Roman" w:hAnsi="Times New Roman"/>
          <w:b w:val="0"/>
          <w:i w:val="0"/>
          <w:sz w:val="24"/>
        </w:rPr>
        <w:t>* is an Associate Professor, the Head of the Master's Degree Program in English Education, and a senior lecturer at the Graduate School of Universitas Muhammadiyah Prof. DR. HAMKA (UHAMKA). She conducts research on primary school foreign language learning, teaching, and assessment, implementation of next-generation assessment models, English curriculum development, and the perceptions and pedagogical challenges faced by EFL teachers in language classrooms. She can be contacted at siti.zulaiha@uhamka.ac.id.</w:t>
      </w:r>
    </w:p>
    <w:sectPr w:rsidR="00FC39C9" w:rsidRPr="00CF063F" w:rsidSect="0091606C">
      <w:headerReference w:type="even" r:id="rId9"/>
      <w:headerReference w:type="default" r:id="rId10"/>
      <w:footerReference w:type="even" r:id="rId11"/>
      <w:footerReference w:type="default" r:id="rId12"/>
      <w:headerReference w:type="first" r:id="rId13"/>
      <w:footerReference w:type="first" r:id="rId14"/>
      <w:pgSz w:w="11906" w:h="16838" w:code="9"/>
      <w:pgMar w:top="1588" w:right="1418" w:bottom="1588" w:left="141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9EDB" w14:textId="77777777" w:rsidR="000A6FBC" w:rsidRDefault="000A6FBC" w:rsidP="00134980">
      <w:r>
        <w:separator/>
      </w:r>
    </w:p>
  </w:endnote>
  <w:endnote w:type="continuationSeparator" w:id="0">
    <w:p w14:paraId="6101AF69" w14:textId="77777777" w:rsidR="000A6FBC" w:rsidRDefault="000A6FBC" w:rsidP="00134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inion Pro">
    <w:altName w:val="Cambria"/>
    <w:panose1 w:val="020B0604020202020204"/>
    <w:charset w:val="00"/>
    <w:family w:val="roman"/>
    <w:notTrueType/>
    <w:pitch w:val="variable"/>
    <w:sig w:usb0="E00002AF" w:usb1="5000E07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848037"/>
      <w:docPartObj>
        <w:docPartGallery w:val="Page Numbers (Bottom of Page)"/>
        <w:docPartUnique/>
      </w:docPartObj>
    </w:sdtPr>
    <w:sdtEndPr>
      <w:rPr>
        <w:rFonts w:ascii="Times New Roman" w:hAnsi="Times New Roman"/>
        <w:noProof/>
        <w:sz w:val="20"/>
        <w:szCs w:val="20"/>
      </w:rPr>
    </w:sdtEndPr>
    <w:sdtContent>
      <w:p w14:paraId="503F969E" w14:textId="40634E98" w:rsidR="00FA701B" w:rsidRPr="00FA701B" w:rsidRDefault="00FA701B">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Pr="00FA701B">
          <w:rPr>
            <w:rFonts w:ascii="Times New Roman" w:hAnsi="Times New Roman"/>
            <w:noProof/>
            <w:sz w:val="20"/>
            <w:szCs w:val="20"/>
          </w:rPr>
          <w:t>2</w:t>
        </w:r>
        <w:r w:rsidRPr="00FA701B">
          <w:rPr>
            <w:rFonts w:ascii="Times New Roman" w:hAnsi="Times New Roman"/>
            <w:noProof/>
            <w:sz w:val="20"/>
            <w:szCs w:val="20"/>
          </w:rPr>
          <w:fldChar w:fldCharType="end"/>
        </w:r>
      </w:p>
    </w:sdtContent>
  </w:sdt>
  <w:p w14:paraId="61749331" w14:textId="77777777" w:rsidR="00FA701B" w:rsidRDefault="00FA7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09335"/>
      <w:docPartObj>
        <w:docPartGallery w:val="Page Numbers (Bottom of Page)"/>
        <w:docPartUnique/>
      </w:docPartObj>
    </w:sdtPr>
    <w:sdtEndPr>
      <w:rPr>
        <w:rFonts w:ascii="Times New Roman" w:hAnsi="Times New Roman"/>
        <w:noProof/>
        <w:sz w:val="20"/>
        <w:szCs w:val="20"/>
      </w:rPr>
    </w:sdtEndPr>
    <w:sdtContent>
      <w:p w14:paraId="45FB29B2" w14:textId="4CA727BC" w:rsidR="00C406D1" w:rsidRPr="00FA701B" w:rsidRDefault="00C406D1">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Pr="00FA701B">
          <w:rPr>
            <w:rFonts w:ascii="Times New Roman" w:hAnsi="Times New Roman"/>
            <w:noProof/>
            <w:sz w:val="20"/>
            <w:szCs w:val="20"/>
          </w:rPr>
          <w:t>2</w:t>
        </w:r>
        <w:r w:rsidRPr="00FA701B">
          <w:rPr>
            <w:rFonts w:ascii="Times New Roman" w:hAnsi="Times New Roman"/>
            <w:noProof/>
            <w:sz w:val="20"/>
            <w:szCs w:val="20"/>
          </w:rPr>
          <w:fldChar w:fldCharType="end"/>
        </w:r>
      </w:p>
    </w:sdtContent>
  </w:sdt>
  <w:p w14:paraId="078DFC41" w14:textId="2490117A" w:rsidR="003606B0" w:rsidRPr="00090EE3" w:rsidRDefault="003606B0" w:rsidP="00090EE3">
    <w:pPr>
      <w:pStyle w:val="Footer"/>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1105" w14:textId="69828EA0" w:rsidR="003606B0" w:rsidRPr="00667BF9" w:rsidRDefault="003606B0" w:rsidP="00667BF9">
    <w:pPr>
      <w:pStyle w:val="Footer"/>
      <w:tabs>
        <w:tab w:val="clear" w:pos="8306"/>
      </w:tabs>
      <w:rPr>
        <w:rFonts w:ascii="Times New Roman" w:hAnsi="Times New Roman"/>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EA4E" w14:textId="77777777" w:rsidR="000A6FBC" w:rsidRDefault="000A6FBC" w:rsidP="00134980">
      <w:r>
        <w:separator/>
      </w:r>
    </w:p>
  </w:footnote>
  <w:footnote w:type="continuationSeparator" w:id="0">
    <w:p w14:paraId="11966D0F" w14:textId="77777777" w:rsidR="000A6FBC" w:rsidRDefault="000A6FBC" w:rsidP="00134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6086" w14:textId="65132733" w:rsidR="00482A24" w:rsidRPr="00BE3E8A" w:rsidRDefault="007722F6" w:rsidP="00D93D91">
    <w:pPr>
      <w:pStyle w:val="Header"/>
      <w:tabs>
        <w:tab w:val="clear" w:pos="4153"/>
        <w:tab w:val="clear" w:pos="8306"/>
        <w:tab w:val="center" w:pos="4536"/>
        <w:tab w:val="right" w:pos="9072"/>
      </w:tabs>
      <w:ind w:right="-1"/>
      <w:jc w:val="both"/>
      <w:rPr>
        <w:rFonts w:ascii="Times New Roman" w:hAnsi="Times New Roman"/>
        <w:sz w:val="20"/>
        <w:szCs w:val="20"/>
      </w:rPr>
    </w:pPr>
    <w:r>
      <w:rPr>
        <w:rFonts w:ascii="Times New Roman" w:hAnsi="Times New Roman"/>
        <w:sz w:val="20"/>
        <w:szCs w:val="20"/>
      </w:rPr>
      <w:t>https://</w:t>
    </w:r>
    <w:r w:rsidR="00C5010F">
      <w:rPr>
        <w:rFonts w:ascii="Times New Roman" w:hAnsi="Times New Roman"/>
        <w:sz w:val="20"/>
        <w:szCs w:val="20"/>
      </w:rPr>
      <w:t>callej</w:t>
    </w:r>
    <w:r>
      <w:rPr>
        <w:rFonts w:ascii="Times New Roman" w:hAnsi="Times New Roman"/>
        <w:sz w:val="20"/>
        <w:szCs w:val="20"/>
      </w:rPr>
      <w:t>.org</w:t>
    </w:r>
    <w:r w:rsidR="00482A24" w:rsidRPr="00A9246D">
      <w:rPr>
        <w:rFonts w:ascii="Times New Roman" w:hAnsi="Times New Roman"/>
        <w:sz w:val="20"/>
        <w:szCs w:val="20"/>
        <w:lang w:val="vi-VN"/>
      </w:rPr>
      <w:tab/>
    </w:r>
    <w:r w:rsidR="00466570">
      <w:rPr>
        <w:rFonts w:ascii="Times New Roman" w:hAnsi="Times New Roman"/>
        <w:sz w:val="20"/>
        <w:szCs w:val="20"/>
      </w:rPr>
      <w:t>Primandhika, Solihati, and Zulaiha</w:t>
    </w:r>
    <w:r w:rsidR="00482A24" w:rsidRPr="00A9246D">
      <w:rPr>
        <w:rFonts w:ascii="Times New Roman" w:hAnsi="Times New Roman"/>
        <w:sz w:val="20"/>
        <w:szCs w:val="20"/>
        <w:lang w:val="vi-VN"/>
      </w:rPr>
      <w:t xml:space="preserve"> </w:t>
    </w:r>
    <w:r w:rsidR="00482A24" w:rsidRPr="00A9246D">
      <w:rPr>
        <w:rFonts w:ascii="Times New Roman" w:hAnsi="Times New Roman"/>
        <w:sz w:val="20"/>
        <w:szCs w:val="20"/>
      </w:rPr>
      <w:tab/>
    </w:r>
    <w:r w:rsidR="00482A24" w:rsidRPr="00A9246D">
      <w:rPr>
        <w:rFonts w:ascii="Times New Roman" w:hAnsi="Times New Roman"/>
        <w:sz w:val="20"/>
        <w:szCs w:val="20"/>
        <w:lang w:val="vi-VN"/>
      </w:rPr>
      <w:t xml:space="preserve">Vol. </w:t>
    </w:r>
    <w:r w:rsidR="00A6018C">
      <w:rPr>
        <w:rFonts w:ascii="Times New Roman" w:hAnsi="Times New Roman"/>
        <w:sz w:val="20"/>
        <w:szCs w:val="20"/>
        <w:lang w:val="vi-VN"/>
      </w:rPr>
      <w:t>…</w:t>
    </w:r>
    <w:r w:rsidR="00482A24" w:rsidRPr="00A9246D">
      <w:rPr>
        <w:rFonts w:ascii="Times New Roman" w:hAnsi="Times New Roman"/>
        <w:sz w:val="20"/>
        <w:szCs w:val="20"/>
        <w:lang w:val="vi-VN"/>
      </w:rPr>
      <w:t xml:space="preserve">; No. </w:t>
    </w:r>
    <w:r w:rsidR="0089365B">
      <w:rPr>
        <w:rFonts w:ascii="Times New Roman" w:hAnsi="Times New Roman"/>
        <w:sz w:val="20"/>
        <w:szCs w:val="20"/>
      </w:rPr>
      <w:t>…</w:t>
    </w:r>
    <w:r w:rsidR="00482A24" w:rsidRPr="00A9246D">
      <w:rPr>
        <w:rFonts w:ascii="Times New Roman" w:hAnsi="Times New Roman"/>
        <w:sz w:val="20"/>
        <w:szCs w:val="20"/>
        <w:lang w:val="vi-VN"/>
      </w:rPr>
      <w:t>; 202</w:t>
    </w:r>
    <w:r w:rsidR="00C5010F">
      <w:rPr>
        <w:rFonts w:ascii="Times New Roman" w:hAnsi="Times New Roman"/>
        <w:sz w:val="20"/>
        <w:szCs w:val="20"/>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7DE5" w14:textId="2D3A7E4B" w:rsidR="003606B0" w:rsidRPr="002E27F8" w:rsidRDefault="0009483E" w:rsidP="00564945">
    <w:pPr>
      <w:pStyle w:val="Header"/>
      <w:tabs>
        <w:tab w:val="clear" w:pos="4153"/>
        <w:tab w:val="clear" w:pos="8306"/>
        <w:tab w:val="center" w:pos="4536"/>
        <w:tab w:val="right" w:pos="9072"/>
      </w:tabs>
      <w:ind w:right="-1"/>
      <w:jc w:val="both"/>
      <w:rPr>
        <w:rFonts w:ascii="Times New Roman" w:hAnsi="Times New Roman"/>
        <w:sz w:val="20"/>
        <w:szCs w:val="20"/>
      </w:rPr>
    </w:pPr>
    <w:r>
      <w:rPr>
        <w:rFonts w:ascii="Times New Roman" w:hAnsi="Times New Roman"/>
        <w:sz w:val="20"/>
        <w:szCs w:val="20"/>
      </w:rPr>
      <w:t>E-</w:t>
    </w:r>
    <w:r w:rsidRPr="00846264">
      <w:rPr>
        <w:rFonts w:ascii="Times New Roman" w:hAnsi="Times New Roman"/>
        <w:sz w:val="20"/>
        <w:szCs w:val="20"/>
      </w:rPr>
      <w:t xml:space="preserve">ISSN: </w:t>
    </w:r>
    <w:r w:rsidR="008D7C98" w:rsidRPr="008D7C98">
      <w:rPr>
        <w:rFonts w:ascii="Times New Roman" w:hAnsi="Times New Roman"/>
        <w:color w:val="222222"/>
        <w:sz w:val="20"/>
        <w:szCs w:val="20"/>
        <w:shd w:val="clear" w:color="auto" w:fill="FFFFFF"/>
      </w:rPr>
      <w:t>2187-9036</w:t>
    </w:r>
    <w:r w:rsidR="002B57EB" w:rsidRPr="00A9246D">
      <w:rPr>
        <w:rFonts w:ascii="Times New Roman" w:hAnsi="Times New Roman"/>
        <w:sz w:val="20"/>
        <w:szCs w:val="20"/>
        <w:lang w:val="vi-VN"/>
      </w:rPr>
      <w:tab/>
    </w:r>
    <w:r w:rsidR="008D7C98">
      <w:rPr>
        <w:rFonts w:ascii="Times New Roman" w:hAnsi="Times New Roman"/>
        <w:sz w:val="20"/>
        <w:szCs w:val="20"/>
      </w:rPr>
      <w:t>CALL-EJ</w:t>
    </w:r>
    <w:r w:rsidR="002B57EB" w:rsidRPr="00A9246D">
      <w:rPr>
        <w:rFonts w:ascii="Times New Roman" w:hAnsi="Times New Roman"/>
        <w:sz w:val="20"/>
        <w:szCs w:val="20"/>
        <w:lang w:val="vi-VN"/>
      </w:rPr>
      <w:t xml:space="preserve"> </w:t>
    </w:r>
    <w:r w:rsidR="00D43B11" w:rsidRPr="00A9246D">
      <w:rPr>
        <w:rFonts w:ascii="Times New Roman" w:hAnsi="Times New Roman"/>
        <w:sz w:val="20"/>
        <w:szCs w:val="20"/>
      </w:rPr>
      <w:tab/>
    </w:r>
    <w:r w:rsidR="0048234E" w:rsidRPr="00A9246D">
      <w:rPr>
        <w:rFonts w:ascii="Times New Roman" w:hAnsi="Times New Roman"/>
        <w:sz w:val="20"/>
        <w:szCs w:val="20"/>
        <w:lang w:val="vi-VN"/>
      </w:rPr>
      <w:t xml:space="preserve">Vol. </w:t>
    </w:r>
    <w:r w:rsidR="00A6018C">
      <w:rPr>
        <w:rFonts w:ascii="Times New Roman" w:hAnsi="Times New Roman"/>
        <w:sz w:val="20"/>
        <w:szCs w:val="20"/>
        <w:lang w:val="vi-VN"/>
      </w:rPr>
      <w:t>…</w:t>
    </w:r>
    <w:r w:rsidR="0048234E" w:rsidRPr="00A9246D">
      <w:rPr>
        <w:rFonts w:ascii="Times New Roman" w:hAnsi="Times New Roman"/>
        <w:sz w:val="20"/>
        <w:szCs w:val="20"/>
        <w:lang w:val="vi-VN"/>
      </w:rPr>
      <w:t xml:space="preserve">; No. </w:t>
    </w:r>
    <w:r w:rsidR="0089365B">
      <w:rPr>
        <w:rFonts w:ascii="Times New Roman" w:hAnsi="Times New Roman"/>
        <w:sz w:val="20"/>
        <w:szCs w:val="20"/>
      </w:rPr>
      <w:t>…</w:t>
    </w:r>
    <w:r w:rsidR="0048234E" w:rsidRPr="00A9246D">
      <w:rPr>
        <w:rFonts w:ascii="Times New Roman" w:hAnsi="Times New Roman"/>
        <w:sz w:val="20"/>
        <w:szCs w:val="20"/>
        <w:lang w:val="vi-VN"/>
      </w:rPr>
      <w:t>; 202</w:t>
    </w:r>
    <w:r w:rsidR="008D7C98">
      <w:rPr>
        <w:rFonts w:ascii="Times New Roman" w:hAnsi="Times New Roman"/>
        <w:sz w:val="20"/>
        <w:szCs w:val="20"/>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182F" w14:textId="6EA8F4B1" w:rsidR="00D022F7" w:rsidRPr="00BD09AD" w:rsidRDefault="00BD09AD" w:rsidP="0091606C">
    <w:pPr>
      <w:pStyle w:val="Header"/>
      <w:tabs>
        <w:tab w:val="clear" w:pos="4153"/>
        <w:tab w:val="clear" w:pos="8306"/>
        <w:tab w:val="center" w:pos="4536"/>
        <w:tab w:val="right" w:pos="9072"/>
      </w:tabs>
      <w:ind w:right="-1"/>
      <w:jc w:val="both"/>
      <w:rPr>
        <w:rFonts w:ascii="Times New Roman" w:hAnsi="Times New Roman"/>
        <w:sz w:val="20"/>
        <w:szCs w:val="20"/>
      </w:rPr>
    </w:pPr>
    <w:r>
      <w:rPr>
        <w:rFonts w:ascii="Times New Roman" w:hAnsi="Times New Roman"/>
        <w:sz w:val="20"/>
        <w:szCs w:val="20"/>
      </w:rPr>
      <w:t>CALL-EJ</w:t>
    </w:r>
    <w:r w:rsidR="00D022F7" w:rsidRPr="00BD09AD">
      <w:rPr>
        <w:rFonts w:ascii="Times New Roman" w:hAnsi="Times New Roman"/>
        <w:sz w:val="20"/>
        <w:szCs w:val="20"/>
        <w:lang w:val="vi-VN"/>
      </w:rPr>
      <w:tab/>
    </w:r>
    <w:r w:rsidRPr="00BD09AD">
      <w:rPr>
        <w:rFonts w:asciiTheme="majorBidi" w:hAnsiTheme="majorBidi" w:cstheme="majorBidi"/>
        <w:bCs/>
        <w:i/>
        <w:iCs/>
        <w:sz w:val="20"/>
        <w:szCs w:val="20"/>
      </w:rPr>
      <w:t>Computer-Assisted Language Learning Electronic Journal</w:t>
    </w:r>
    <w:r w:rsidRPr="00BD09AD">
      <w:rPr>
        <w:rFonts w:asciiTheme="majorBidi" w:hAnsiTheme="majorBidi" w:cstheme="majorBidi"/>
        <w:bCs/>
        <w:sz w:val="20"/>
        <w:szCs w:val="20"/>
      </w:rPr>
      <w:t> </w:t>
    </w:r>
    <w:r w:rsidR="00D022F7" w:rsidRPr="00BD09AD">
      <w:rPr>
        <w:rFonts w:ascii="Times New Roman" w:hAnsi="Times New Roman"/>
        <w:sz w:val="20"/>
        <w:szCs w:val="20"/>
      </w:rPr>
      <w:tab/>
    </w:r>
    <w:r w:rsidR="00D022F7" w:rsidRPr="00BD09AD">
      <w:rPr>
        <w:rFonts w:ascii="Times New Roman" w:hAnsi="Times New Roman"/>
        <w:sz w:val="20"/>
        <w:szCs w:val="20"/>
        <w:lang w:val="vi-VN"/>
      </w:rPr>
      <w:t xml:space="preserve">Vol. </w:t>
    </w:r>
    <w:r w:rsidR="00A6018C" w:rsidRPr="00BD09AD">
      <w:rPr>
        <w:rFonts w:ascii="Times New Roman" w:hAnsi="Times New Roman"/>
        <w:sz w:val="20"/>
        <w:szCs w:val="20"/>
        <w:lang w:val="vi-VN"/>
      </w:rPr>
      <w:t>…</w:t>
    </w:r>
    <w:r w:rsidR="00D022F7" w:rsidRPr="00BD09AD">
      <w:rPr>
        <w:rFonts w:ascii="Times New Roman" w:hAnsi="Times New Roman"/>
        <w:sz w:val="20"/>
        <w:szCs w:val="20"/>
        <w:lang w:val="vi-VN"/>
      </w:rPr>
      <w:t xml:space="preserve">; No. </w:t>
    </w:r>
    <w:r w:rsidR="0089365B" w:rsidRPr="00BD09AD">
      <w:rPr>
        <w:rFonts w:ascii="Times New Roman" w:hAnsi="Times New Roman"/>
        <w:sz w:val="20"/>
        <w:szCs w:val="20"/>
      </w:rPr>
      <w:t>…</w:t>
    </w:r>
    <w:r w:rsidR="00D022F7" w:rsidRPr="00BD09AD">
      <w:rPr>
        <w:rFonts w:ascii="Times New Roman" w:hAnsi="Times New Roman"/>
        <w:sz w:val="20"/>
        <w:szCs w:val="20"/>
        <w:lang w:val="vi-VN"/>
      </w:rPr>
      <w:t>; 2</w:t>
    </w:r>
    <w:r w:rsidR="00BE3E8A" w:rsidRPr="00BD09AD">
      <w:rPr>
        <w:rFonts w:ascii="Times New Roman" w:hAnsi="Times New Roman"/>
        <w:sz w:val="20"/>
        <w:szCs w:val="20"/>
      </w:rPr>
      <w:t>02</w:t>
    </w:r>
    <w:r w:rsidR="00C5010F" w:rsidRPr="00BD09AD">
      <w:rPr>
        <w:rFonts w:ascii="Times New Roman" w:hAnsi="Times New Roman"/>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574A"/>
    <w:multiLevelType w:val="hybridMultilevel"/>
    <w:tmpl w:val="DB282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5B74C1"/>
    <w:multiLevelType w:val="hybridMultilevel"/>
    <w:tmpl w:val="BC020F98"/>
    <w:lvl w:ilvl="0" w:tplc="9306E962">
      <w:start w:val="1"/>
      <w:numFmt w:val="bullet"/>
      <w:lvlText w:val="•"/>
      <w:lvlJc w:val="left"/>
      <w:pPr>
        <w:tabs>
          <w:tab w:val="num" w:pos="720"/>
        </w:tabs>
        <w:ind w:left="720" w:hanging="360"/>
      </w:pPr>
      <w:rPr>
        <w:rFonts w:ascii="Arial" w:hAnsi="Arial" w:hint="default"/>
      </w:rPr>
    </w:lvl>
    <w:lvl w:ilvl="1" w:tplc="DCC4F324">
      <w:start w:val="1"/>
      <w:numFmt w:val="bullet"/>
      <w:lvlText w:val="•"/>
      <w:lvlJc w:val="left"/>
      <w:pPr>
        <w:tabs>
          <w:tab w:val="num" w:pos="1440"/>
        </w:tabs>
        <w:ind w:left="1440" w:hanging="360"/>
      </w:pPr>
      <w:rPr>
        <w:rFonts w:ascii="Arial" w:hAnsi="Arial" w:hint="default"/>
      </w:rPr>
    </w:lvl>
    <w:lvl w:ilvl="2" w:tplc="5ACA743A" w:tentative="1">
      <w:start w:val="1"/>
      <w:numFmt w:val="bullet"/>
      <w:lvlText w:val="•"/>
      <w:lvlJc w:val="left"/>
      <w:pPr>
        <w:tabs>
          <w:tab w:val="num" w:pos="2160"/>
        </w:tabs>
        <w:ind w:left="2160" w:hanging="360"/>
      </w:pPr>
      <w:rPr>
        <w:rFonts w:ascii="Arial" w:hAnsi="Arial" w:hint="default"/>
      </w:rPr>
    </w:lvl>
    <w:lvl w:ilvl="3" w:tplc="60041490" w:tentative="1">
      <w:start w:val="1"/>
      <w:numFmt w:val="bullet"/>
      <w:lvlText w:val="•"/>
      <w:lvlJc w:val="left"/>
      <w:pPr>
        <w:tabs>
          <w:tab w:val="num" w:pos="2880"/>
        </w:tabs>
        <w:ind w:left="2880" w:hanging="360"/>
      </w:pPr>
      <w:rPr>
        <w:rFonts w:ascii="Arial" w:hAnsi="Arial" w:hint="default"/>
      </w:rPr>
    </w:lvl>
    <w:lvl w:ilvl="4" w:tplc="1A6CE69E" w:tentative="1">
      <w:start w:val="1"/>
      <w:numFmt w:val="bullet"/>
      <w:lvlText w:val="•"/>
      <w:lvlJc w:val="left"/>
      <w:pPr>
        <w:tabs>
          <w:tab w:val="num" w:pos="3600"/>
        </w:tabs>
        <w:ind w:left="3600" w:hanging="360"/>
      </w:pPr>
      <w:rPr>
        <w:rFonts w:ascii="Arial" w:hAnsi="Arial" w:hint="default"/>
      </w:rPr>
    </w:lvl>
    <w:lvl w:ilvl="5" w:tplc="D466EA0A" w:tentative="1">
      <w:start w:val="1"/>
      <w:numFmt w:val="bullet"/>
      <w:lvlText w:val="•"/>
      <w:lvlJc w:val="left"/>
      <w:pPr>
        <w:tabs>
          <w:tab w:val="num" w:pos="4320"/>
        </w:tabs>
        <w:ind w:left="4320" w:hanging="360"/>
      </w:pPr>
      <w:rPr>
        <w:rFonts w:ascii="Arial" w:hAnsi="Arial" w:hint="default"/>
      </w:rPr>
    </w:lvl>
    <w:lvl w:ilvl="6" w:tplc="2E96A47E" w:tentative="1">
      <w:start w:val="1"/>
      <w:numFmt w:val="bullet"/>
      <w:lvlText w:val="•"/>
      <w:lvlJc w:val="left"/>
      <w:pPr>
        <w:tabs>
          <w:tab w:val="num" w:pos="5040"/>
        </w:tabs>
        <w:ind w:left="5040" w:hanging="360"/>
      </w:pPr>
      <w:rPr>
        <w:rFonts w:ascii="Arial" w:hAnsi="Arial" w:hint="default"/>
      </w:rPr>
    </w:lvl>
    <w:lvl w:ilvl="7" w:tplc="E7A65E06" w:tentative="1">
      <w:start w:val="1"/>
      <w:numFmt w:val="bullet"/>
      <w:lvlText w:val="•"/>
      <w:lvlJc w:val="left"/>
      <w:pPr>
        <w:tabs>
          <w:tab w:val="num" w:pos="5760"/>
        </w:tabs>
        <w:ind w:left="5760" w:hanging="360"/>
      </w:pPr>
      <w:rPr>
        <w:rFonts w:ascii="Arial" w:hAnsi="Arial" w:hint="default"/>
      </w:rPr>
    </w:lvl>
    <w:lvl w:ilvl="8" w:tplc="6D909A44" w:tentative="1">
      <w:start w:val="1"/>
      <w:numFmt w:val="bullet"/>
      <w:lvlText w:val="•"/>
      <w:lvlJc w:val="left"/>
      <w:pPr>
        <w:tabs>
          <w:tab w:val="num" w:pos="6480"/>
        </w:tabs>
        <w:ind w:left="6480" w:hanging="360"/>
      </w:pPr>
      <w:rPr>
        <w:rFonts w:ascii="Arial" w:hAnsi="Arial" w:hint="default"/>
      </w:rPr>
    </w:lvl>
  </w:abstractNum>
  <w:num w:numId="1" w16cid:durableId="1158615120">
    <w:abstractNumId w:val="0"/>
  </w:num>
  <w:num w:numId="2" w16cid:durableId="1079864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80"/>
    <w:rsid w:val="00015E87"/>
    <w:rsid w:val="00020235"/>
    <w:rsid w:val="00034523"/>
    <w:rsid w:val="000351CA"/>
    <w:rsid w:val="000665E6"/>
    <w:rsid w:val="00075D81"/>
    <w:rsid w:val="000760AF"/>
    <w:rsid w:val="00076B69"/>
    <w:rsid w:val="000929AF"/>
    <w:rsid w:val="0009483E"/>
    <w:rsid w:val="000A6FBC"/>
    <w:rsid w:val="000B0BDD"/>
    <w:rsid w:val="000E7ED1"/>
    <w:rsid w:val="000F33DD"/>
    <w:rsid w:val="00100420"/>
    <w:rsid w:val="0012770A"/>
    <w:rsid w:val="00130B9B"/>
    <w:rsid w:val="001341F2"/>
    <w:rsid w:val="00134980"/>
    <w:rsid w:val="00152E59"/>
    <w:rsid w:val="00171925"/>
    <w:rsid w:val="00173772"/>
    <w:rsid w:val="0017599F"/>
    <w:rsid w:val="001971A5"/>
    <w:rsid w:val="001A5D68"/>
    <w:rsid w:val="001E2D93"/>
    <w:rsid w:val="00203EBF"/>
    <w:rsid w:val="00214482"/>
    <w:rsid w:val="00214DD4"/>
    <w:rsid w:val="00230BF9"/>
    <w:rsid w:val="0023353A"/>
    <w:rsid w:val="00234607"/>
    <w:rsid w:val="00295284"/>
    <w:rsid w:val="002B57EB"/>
    <w:rsid w:val="002B5A22"/>
    <w:rsid w:val="002B6852"/>
    <w:rsid w:val="002D090B"/>
    <w:rsid w:val="002E27F8"/>
    <w:rsid w:val="002E41A4"/>
    <w:rsid w:val="00315F7D"/>
    <w:rsid w:val="003270E8"/>
    <w:rsid w:val="00343392"/>
    <w:rsid w:val="00352EC6"/>
    <w:rsid w:val="003606B0"/>
    <w:rsid w:val="003614F8"/>
    <w:rsid w:val="00370425"/>
    <w:rsid w:val="0038083D"/>
    <w:rsid w:val="003A254B"/>
    <w:rsid w:val="003B2088"/>
    <w:rsid w:val="003C3CBC"/>
    <w:rsid w:val="003C633D"/>
    <w:rsid w:val="003D0F74"/>
    <w:rsid w:val="003D355C"/>
    <w:rsid w:val="003F187C"/>
    <w:rsid w:val="004035A0"/>
    <w:rsid w:val="00412D00"/>
    <w:rsid w:val="0041425D"/>
    <w:rsid w:val="00424B3F"/>
    <w:rsid w:val="004269F4"/>
    <w:rsid w:val="00426C22"/>
    <w:rsid w:val="00466570"/>
    <w:rsid w:val="00466B4D"/>
    <w:rsid w:val="0048234E"/>
    <w:rsid w:val="00482A24"/>
    <w:rsid w:val="00497EF5"/>
    <w:rsid w:val="004B54E5"/>
    <w:rsid w:val="004C3455"/>
    <w:rsid w:val="004C71F3"/>
    <w:rsid w:val="004E6E3D"/>
    <w:rsid w:val="00541138"/>
    <w:rsid w:val="005555E8"/>
    <w:rsid w:val="00562CE8"/>
    <w:rsid w:val="00564945"/>
    <w:rsid w:val="00571C52"/>
    <w:rsid w:val="00574064"/>
    <w:rsid w:val="005A2890"/>
    <w:rsid w:val="005C6C20"/>
    <w:rsid w:val="005F63AB"/>
    <w:rsid w:val="006329C7"/>
    <w:rsid w:val="00654BB8"/>
    <w:rsid w:val="00656273"/>
    <w:rsid w:val="00667BF9"/>
    <w:rsid w:val="00681049"/>
    <w:rsid w:val="006907C0"/>
    <w:rsid w:val="006A4091"/>
    <w:rsid w:val="006B2132"/>
    <w:rsid w:val="006B5F73"/>
    <w:rsid w:val="006B67BB"/>
    <w:rsid w:val="006C5352"/>
    <w:rsid w:val="006D4744"/>
    <w:rsid w:val="006D723B"/>
    <w:rsid w:val="006D74E5"/>
    <w:rsid w:val="0072514D"/>
    <w:rsid w:val="007260CF"/>
    <w:rsid w:val="007621BA"/>
    <w:rsid w:val="007722F6"/>
    <w:rsid w:val="007753A3"/>
    <w:rsid w:val="00786591"/>
    <w:rsid w:val="00806615"/>
    <w:rsid w:val="00824A5F"/>
    <w:rsid w:val="008255BE"/>
    <w:rsid w:val="00860C1F"/>
    <w:rsid w:val="008647B7"/>
    <w:rsid w:val="00866F2B"/>
    <w:rsid w:val="0087238C"/>
    <w:rsid w:val="00883B96"/>
    <w:rsid w:val="0089365B"/>
    <w:rsid w:val="008C3ECE"/>
    <w:rsid w:val="008D7C98"/>
    <w:rsid w:val="008E1CA2"/>
    <w:rsid w:val="008F3D86"/>
    <w:rsid w:val="008F41A2"/>
    <w:rsid w:val="0091606C"/>
    <w:rsid w:val="00944230"/>
    <w:rsid w:val="00970849"/>
    <w:rsid w:val="0099152D"/>
    <w:rsid w:val="009A28D2"/>
    <w:rsid w:val="009F09DD"/>
    <w:rsid w:val="009F6799"/>
    <w:rsid w:val="00A138CB"/>
    <w:rsid w:val="00A21A9A"/>
    <w:rsid w:val="00A3001E"/>
    <w:rsid w:val="00A31849"/>
    <w:rsid w:val="00A6018C"/>
    <w:rsid w:val="00A7118A"/>
    <w:rsid w:val="00A854FC"/>
    <w:rsid w:val="00A9246D"/>
    <w:rsid w:val="00AA5044"/>
    <w:rsid w:val="00AD4B73"/>
    <w:rsid w:val="00AE2C93"/>
    <w:rsid w:val="00AF0F98"/>
    <w:rsid w:val="00AF44DB"/>
    <w:rsid w:val="00B0526A"/>
    <w:rsid w:val="00B1265E"/>
    <w:rsid w:val="00B15115"/>
    <w:rsid w:val="00B34CDF"/>
    <w:rsid w:val="00B43361"/>
    <w:rsid w:val="00B61D69"/>
    <w:rsid w:val="00B70D79"/>
    <w:rsid w:val="00B80DA4"/>
    <w:rsid w:val="00BC17BF"/>
    <w:rsid w:val="00BC27EF"/>
    <w:rsid w:val="00BC6858"/>
    <w:rsid w:val="00BD09AD"/>
    <w:rsid w:val="00BE3BC5"/>
    <w:rsid w:val="00BE3E8A"/>
    <w:rsid w:val="00BE5745"/>
    <w:rsid w:val="00C10EA8"/>
    <w:rsid w:val="00C3123C"/>
    <w:rsid w:val="00C406D1"/>
    <w:rsid w:val="00C5010F"/>
    <w:rsid w:val="00C607ED"/>
    <w:rsid w:val="00C64A83"/>
    <w:rsid w:val="00C75C39"/>
    <w:rsid w:val="00C809AD"/>
    <w:rsid w:val="00C86DC6"/>
    <w:rsid w:val="00C95D2F"/>
    <w:rsid w:val="00C96A1B"/>
    <w:rsid w:val="00CA4F88"/>
    <w:rsid w:val="00CA53EF"/>
    <w:rsid w:val="00CB23F8"/>
    <w:rsid w:val="00CB4777"/>
    <w:rsid w:val="00CB5417"/>
    <w:rsid w:val="00CB799C"/>
    <w:rsid w:val="00CE2D4E"/>
    <w:rsid w:val="00CF063F"/>
    <w:rsid w:val="00D022F7"/>
    <w:rsid w:val="00D20462"/>
    <w:rsid w:val="00D207AC"/>
    <w:rsid w:val="00D30927"/>
    <w:rsid w:val="00D43B11"/>
    <w:rsid w:val="00D5783C"/>
    <w:rsid w:val="00D875D5"/>
    <w:rsid w:val="00D93D91"/>
    <w:rsid w:val="00D976D7"/>
    <w:rsid w:val="00DA2B25"/>
    <w:rsid w:val="00DC518F"/>
    <w:rsid w:val="00DD22EE"/>
    <w:rsid w:val="00DD2F01"/>
    <w:rsid w:val="00DE4548"/>
    <w:rsid w:val="00DF184B"/>
    <w:rsid w:val="00E11F7C"/>
    <w:rsid w:val="00E33EC6"/>
    <w:rsid w:val="00E57B96"/>
    <w:rsid w:val="00E6186E"/>
    <w:rsid w:val="00EA2B26"/>
    <w:rsid w:val="00EC0FF3"/>
    <w:rsid w:val="00F1227E"/>
    <w:rsid w:val="00F16172"/>
    <w:rsid w:val="00F23FD3"/>
    <w:rsid w:val="00F24DDE"/>
    <w:rsid w:val="00F37930"/>
    <w:rsid w:val="00F4100B"/>
    <w:rsid w:val="00F6651A"/>
    <w:rsid w:val="00F72196"/>
    <w:rsid w:val="00F74803"/>
    <w:rsid w:val="00F964D2"/>
    <w:rsid w:val="00F96B98"/>
    <w:rsid w:val="00FA701B"/>
    <w:rsid w:val="00FC39C9"/>
    <w:rsid w:val="00FD60E9"/>
    <w:rsid w:val="00FE5C4B"/>
    <w:rsid w:val="00FF6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C48D0"/>
  <w15:chartTrackingRefBased/>
  <w15:docId w15:val="{5C04AFA0-9422-4135-A910-B29FC1FD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980"/>
    <w:pPr>
      <w:widowControl w:val="0"/>
      <w:spacing w:after="0" w:line="240" w:lineRule="auto"/>
      <w:jc w:val="both"/>
    </w:pPr>
    <w:rPr>
      <w:rFonts w:eastAsia="SimSun" w:cs="Times New Roman"/>
      <w:kern w:val="2"/>
      <w:sz w:val="21"/>
      <w:szCs w:val="24"/>
      <w:lang w:eastAsia="zh-CN"/>
    </w:rPr>
  </w:style>
  <w:style w:type="paragraph" w:styleId="Heading1">
    <w:name w:val="heading 1"/>
    <w:aliases w:val=" Char"/>
    <w:basedOn w:val="Normal"/>
    <w:next w:val="Normal"/>
    <w:link w:val="Heading1Char1"/>
    <w:uiPriority w:val="9"/>
    <w:qFormat/>
    <w:rsid w:val="00134980"/>
    <w:pPr>
      <w:keepNext/>
      <w:keepLines/>
      <w:spacing w:after="80" w:line="240" w:lineRule="exact"/>
      <w:outlineLvl w:val="0"/>
    </w:pPr>
    <w:rPr>
      <w:b/>
      <w:bCs/>
      <w:kern w:val="44"/>
      <w:sz w:val="20"/>
      <w:szCs w:val="44"/>
    </w:rPr>
  </w:style>
  <w:style w:type="paragraph" w:styleId="Heading2">
    <w:name w:val="heading 2"/>
    <w:aliases w:val="level2"/>
    <w:basedOn w:val="Normal"/>
    <w:next w:val="Normal"/>
    <w:link w:val="Heading2Char"/>
    <w:uiPriority w:val="99"/>
    <w:qFormat/>
    <w:rsid w:val="00134980"/>
    <w:pPr>
      <w:keepNext/>
      <w:keepLines/>
      <w:spacing w:after="80" w:line="240" w:lineRule="exact"/>
      <w:outlineLvl w:val="1"/>
    </w:pPr>
    <w:rPr>
      <w:bCs/>
      <w:i/>
      <w:kern w:val="0"/>
      <w:sz w:val="20"/>
      <w:szCs w:val="32"/>
    </w:rPr>
  </w:style>
  <w:style w:type="paragraph" w:styleId="Heading3">
    <w:name w:val="heading 3"/>
    <w:basedOn w:val="Normal"/>
    <w:next w:val="Normal"/>
    <w:link w:val="Heading3Char"/>
    <w:uiPriority w:val="9"/>
    <w:semiHidden/>
    <w:unhideWhenUsed/>
    <w:qFormat/>
    <w:rsid w:val="00134980"/>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134980"/>
    <w:rPr>
      <w:rFonts w:asciiTheme="majorHAnsi" w:eastAsiaTheme="majorEastAsia" w:hAnsiTheme="majorHAnsi" w:cstheme="majorBidi"/>
      <w:color w:val="2F5496" w:themeColor="accent1" w:themeShade="BF"/>
      <w:kern w:val="2"/>
      <w:sz w:val="32"/>
      <w:szCs w:val="32"/>
      <w:lang w:eastAsia="zh-CN"/>
    </w:rPr>
  </w:style>
  <w:style w:type="character" w:customStyle="1" w:styleId="Heading2Char">
    <w:name w:val="Heading 2 Char"/>
    <w:aliases w:val="level2 Char"/>
    <w:basedOn w:val="DefaultParagraphFont"/>
    <w:link w:val="Heading2"/>
    <w:uiPriority w:val="99"/>
    <w:qFormat/>
    <w:rsid w:val="00134980"/>
    <w:rPr>
      <w:rFonts w:eastAsia="SimSun" w:cs="Times New Roman"/>
      <w:bCs/>
      <w:i/>
      <w:sz w:val="20"/>
      <w:szCs w:val="32"/>
      <w:lang w:eastAsia="zh-CN"/>
    </w:rPr>
  </w:style>
  <w:style w:type="character" w:customStyle="1" w:styleId="Heading1Char1">
    <w:name w:val="Heading 1 Char1"/>
    <w:aliases w:val=" Char Char"/>
    <w:link w:val="Heading1"/>
    <w:uiPriority w:val="9"/>
    <w:qFormat/>
    <w:rsid w:val="00134980"/>
    <w:rPr>
      <w:rFonts w:eastAsia="SimSun" w:cs="Times New Roman"/>
      <w:b/>
      <w:bCs/>
      <w:kern w:val="44"/>
      <w:sz w:val="20"/>
      <w:szCs w:val="44"/>
      <w:lang w:eastAsia="zh-CN"/>
    </w:rPr>
  </w:style>
  <w:style w:type="paragraph" w:styleId="Header">
    <w:name w:val="header"/>
    <w:basedOn w:val="Normal"/>
    <w:link w:val="HeaderChar1"/>
    <w:uiPriority w:val="99"/>
    <w:unhideWhenUsed/>
    <w:qFormat/>
    <w:rsid w:val="00134980"/>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HeaderChar">
    <w:name w:val="Header Char"/>
    <w:basedOn w:val="DefaultParagraphFont"/>
    <w:uiPriority w:val="99"/>
    <w:semiHidden/>
    <w:rsid w:val="00134980"/>
    <w:rPr>
      <w:rFonts w:eastAsia="SimSun" w:cs="Times New Roman"/>
      <w:kern w:val="2"/>
      <w:sz w:val="21"/>
      <w:szCs w:val="24"/>
      <w:lang w:eastAsia="zh-CN"/>
    </w:rPr>
  </w:style>
  <w:style w:type="character" w:customStyle="1" w:styleId="HeaderChar1">
    <w:name w:val="Header Char1"/>
    <w:link w:val="Header"/>
    <w:uiPriority w:val="99"/>
    <w:qFormat/>
    <w:rsid w:val="00134980"/>
    <w:rPr>
      <w:rFonts w:ascii="Calibri" w:eastAsia="SimSun" w:hAnsi="Calibri" w:cs="Times New Roman"/>
      <w:sz w:val="18"/>
      <w:szCs w:val="18"/>
      <w:lang w:eastAsia="zh-CN"/>
    </w:rPr>
  </w:style>
  <w:style w:type="paragraph" w:styleId="Footer">
    <w:name w:val="footer"/>
    <w:basedOn w:val="Normal"/>
    <w:link w:val="FooterChar1"/>
    <w:uiPriority w:val="99"/>
    <w:unhideWhenUsed/>
    <w:qFormat/>
    <w:rsid w:val="00134980"/>
    <w:pPr>
      <w:tabs>
        <w:tab w:val="center" w:pos="4153"/>
        <w:tab w:val="right" w:pos="8306"/>
      </w:tabs>
      <w:snapToGrid w:val="0"/>
      <w:jc w:val="left"/>
    </w:pPr>
    <w:rPr>
      <w:rFonts w:ascii="Calibri" w:hAnsi="Calibri"/>
      <w:kern w:val="0"/>
      <w:sz w:val="18"/>
      <w:szCs w:val="18"/>
    </w:rPr>
  </w:style>
  <w:style w:type="character" w:customStyle="1" w:styleId="FooterChar">
    <w:name w:val="Footer Char"/>
    <w:basedOn w:val="DefaultParagraphFont"/>
    <w:uiPriority w:val="99"/>
    <w:rsid w:val="00134980"/>
    <w:rPr>
      <w:rFonts w:eastAsia="SimSun" w:cs="Times New Roman"/>
      <w:kern w:val="2"/>
      <w:sz w:val="21"/>
      <w:szCs w:val="24"/>
      <w:lang w:eastAsia="zh-CN"/>
    </w:rPr>
  </w:style>
  <w:style w:type="character" w:customStyle="1" w:styleId="FooterChar1">
    <w:name w:val="Footer Char1"/>
    <w:link w:val="Footer"/>
    <w:uiPriority w:val="99"/>
    <w:qFormat/>
    <w:rsid w:val="00134980"/>
    <w:rPr>
      <w:rFonts w:ascii="Calibri" w:eastAsia="SimSun" w:hAnsi="Calibri" w:cs="Times New Roman"/>
      <w:sz w:val="18"/>
      <w:szCs w:val="18"/>
      <w:lang w:eastAsia="zh-CN"/>
    </w:rPr>
  </w:style>
  <w:style w:type="paragraph" w:styleId="ListParagraph">
    <w:name w:val="List Paragraph"/>
    <w:basedOn w:val="Normal"/>
    <w:link w:val="ListParagraphChar"/>
    <w:uiPriority w:val="34"/>
    <w:qFormat/>
    <w:rsid w:val="00134980"/>
    <w:pPr>
      <w:ind w:firstLineChars="200" w:firstLine="420"/>
    </w:pPr>
    <w:rPr>
      <w:rFonts w:ascii="Calibri" w:hAnsi="Calibri"/>
      <w:szCs w:val="22"/>
    </w:rPr>
  </w:style>
  <w:style w:type="paragraph" w:styleId="Caption">
    <w:name w:val="caption"/>
    <w:basedOn w:val="Normal"/>
    <w:next w:val="Normal"/>
    <w:qFormat/>
    <w:rsid w:val="00134980"/>
    <w:pPr>
      <w:widowControl/>
      <w:jc w:val="center"/>
    </w:pPr>
    <w:rPr>
      <w:b/>
      <w:bCs/>
      <w:kern w:val="0"/>
      <w:sz w:val="20"/>
      <w:szCs w:val="20"/>
      <w:lang w:eastAsia="en-US"/>
    </w:rPr>
  </w:style>
  <w:style w:type="character" w:customStyle="1" w:styleId="ListParagraphChar">
    <w:name w:val="List Paragraph Char"/>
    <w:link w:val="ListParagraph"/>
    <w:uiPriority w:val="34"/>
    <w:rsid w:val="00134980"/>
    <w:rPr>
      <w:rFonts w:ascii="Calibri" w:eastAsia="SimSun" w:hAnsi="Calibri" w:cs="Times New Roman"/>
      <w:kern w:val="2"/>
      <w:sz w:val="21"/>
      <w:lang w:eastAsia="zh-CN"/>
    </w:rPr>
  </w:style>
  <w:style w:type="paragraph" w:customStyle="1" w:styleId="level3">
    <w:name w:val="level3"/>
    <w:basedOn w:val="Heading3"/>
    <w:link w:val="level3Char"/>
    <w:qFormat/>
    <w:rsid w:val="00134980"/>
    <w:pPr>
      <w:widowControl/>
      <w:spacing w:before="200" w:line="276" w:lineRule="auto"/>
      <w:jc w:val="left"/>
    </w:pPr>
    <w:rPr>
      <w:rFonts w:eastAsia="Times New Roman" w:cs="Times New Roman"/>
      <w:b/>
      <w:bCs/>
      <w:color w:val="000000"/>
      <w:lang w:val="en-GB"/>
    </w:rPr>
  </w:style>
  <w:style w:type="character" w:customStyle="1" w:styleId="level3Char">
    <w:name w:val="level3 Char"/>
    <w:basedOn w:val="Heading3Char"/>
    <w:link w:val="level3"/>
    <w:rsid w:val="00134980"/>
    <w:rPr>
      <w:rFonts w:asciiTheme="majorHAnsi" w:eastAsia="Times New Roman" w:hAnsiTheme="majorHAnsi" w:cs="Times New Roman"/>
      <w:b/>
      <w:bCs/>
      <w:color w:val="000000"/>
      <w:kern w:val="2"/>
      <w:szCs w:val="24"/>
      <w:lang w:val="en-GB" w:eastAsia="zh-CN"/>
    </w:rPr>
  </w:style>
  <w:style w:type="character" w:customStyle="1" w:styleId="Heading3Char">
    <w:name w:val="Heading 3 Char"/>
    <w:basedOn w:val="DefaultParagraphFont"/>
    <w:link w:val="Heading3"/>
    <w:uiPriority w:val="9"/>
    <w:semiHidden/>
    <w:rsid w:val="00134980"/>
    <w:rPr>
      <w:rFonts w:asciiTheme="majorHAnsi" w:eastAsiaTheme="majorEastAsia" w:hAnsiTheme="majorHAnsi" w:cstheme="majorBidi"/>
      <w:color w:val="1F3763" w:themeColor="accent1" w:themeShade="7F"/>
      <w:kern w:val="2"/>
      <w:szCs w:val="24"/>
      <w:lang w:eastAsia="zh-CN"/>
    </w:rPr>
  </w:style>
  <w:style w:type="character" w:styleId="Hyperlink">
    <w:name w:val="Hyperlink"/>
    <w:basedOn w:val="DefaultParagraphFont"/>
    <w:uiPriority w:val="99"/>
    <w:unhideWhenUsed/>
    <w:rsid w:val="00CF063F"/>
    <w:rPr>
      <w:color w:val="0563C1" w:themeColor="hyperlink"/>
      <w:u w:val="single"/>
    </w:rPr>
  </w:style>
  <w:style w:type="character" w:styleId="UnresolvedMention">
    <w:name w:val="Unresolved Mention"/>
    <w:basedOn w:val="DefaultParagraphFont"/>
    <w:uiPriority w:val="99"/>
    <w:semiHidden/>
    <w:unhideWhenUsed/>
    <w:rsid w:val="00CF063F"/>
    <w:rPr>
      <w:color w:val="605E5C"/>
      <w:shd w:val="clear" w:color="auto" w:fill="E1DFDD"/>
    </w:rPr>
  </w:style>
  <w:style w:type="paragraph" w:customStyle="1" w:styleId="Acknowledgment">
    <w:name w:val="Acknowledgment"/>
    <w:basedOn w:val="Normal"/>
    <w:qFormat/>
    <w:rsid w:val="002D090B"/>
    <w:pPr>
      <w:widowControl/>
      <w:spacing w:before="240" w:after="160"/>
      <w:jc w:val="left"/>
    </w:pPr>
    <w:rPr>
      <w:rFonts w:eastAsia="DengXian" w:cs="Minion Pro"/>
      <w:color w:val="000000"/>
      <w:kern w:val="0"/>
      <w:sz w:val="23"/>
      <w:szCs w:val="19"/>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74913">
      <w:bodyDiv w:val="1"/>
      <w:marLeft w:val="0"/>
      <w:marRight w:val="0"/>
      <w:marTop w:val="0"/>
      <w:marBottom w:val="0"/>
      <w:divBdr>
        <w:top w:val="none" w:sz="0" w:space="0" w:color="auto"/>
        <w:left w:val="none" w:sz="0" w:space="0" w:color="auto"/>
        <w:bottom w:val="none" w:sz="0" w:space="0" w:color="auto"/>
        <w:right w:val="none" w:sz="0" w:space="0" w:color="auto"/>
      </w:divBdr>
    </w:div>
    <w:div w:id="282541860">
      <w:bodyDiv w:val="1"/>
      <w:marLeft w:val="0"/>
      <w:marRight w:val="0"/>
      <w:marTop w:val="0"/>
      <w:marBottom w:val="0"/>
      <w:divBdr>
        <w:top w:val="none" w:sz="0" w:space="0" w:color="auto"/>
        <w:left w:val="none" w:sz="0" w:space="0" w:color="auto"/>
        <w:bottom w:val="none" w:sz="0" w:space="0" w:color="auto"/>
        <w:right w:val="none" w:sz="0" w:space="0" w:color="auto"/>
      </w:divBdr>
    </w:div>
    <w:div w:id="319238297">
      <w:bodyDiv w:val="1"/>
      <w:marLeft w:val="0"/>
      <w:marRight w:val="0"/>
      <w:marTop w:val="0"/>
      <w:marBottom w:val="0"/>
      <w:divBdr>
        <w:top w:val="none" w:sz="0" w:space="0" w:color="auto"/>
        <w:left w:val="none" w:sz="0" w:space="0" w:color="auto"/>
        <w:bottom w:val="none" w:sz="0" w:space="0" w:color="auto"/>
        <w:right w:val="none" w:sz="0" w:space="0" w:color="auto"/>
      </w:divBdr>
    </w:div>
    <w:div w:id="1184398497">
      <w:bodyDiv w:val="1"/>
      <w:marLeft w:val="0"/>
      <w:marRight w:val="0"/>
      <w:marTop w:val="0"/>
      <w:marBottom w:val="0"/>
      <w:divBdr>
        <w:top w:val="none" w:sz="0" w:space="0" w:color="auto"/>
        <w:left w:val="none" w:sz="0" w:space="0" w:color="auto"/>
        <w:bottom w:val="none" w:sz="0" w:space="0" w:color="auto"/>
        <w:right w:val="none" w:sz="0" w:space="0" w:color="auto"/>
      </w:divBdr>
    </w:div>
    <w:div w:id="1366296886">
      <w:bodyDiv w:val="1"/>
      <w:marLeft w:val="0"/>
      <w:marRight w:val="0"/>
      <w:marTop w:val="0"/>
      <w:marBottom w:val="0"/>
      <w:divBdr>
        <w:top w:val="none" w:sz="0" w:space="0" w:color="auto"/>
        <w:left w:val="none" w:sz="0" w:space="0" w:color="auto"/>
        <w:bottom w:val="none" w:sz="0" w:space="0" w:color="auto"/>
        <w:right w:val="none" w:sz="0" w:space="0" w:color="auto"/>
      </w:divBdr>
      <w:divsChild>
        <w:div w:id="957685832">
          <w:marLeft w:val="1080"/>
          <w:marRight w:val="0"/>
          <w:marTop w:val="100"/>
          <w:marBottom w:val="0"/>
          <w:divBdr>
            <w:top w:val="none" w:sz="0" w:space="0" w:color="auto"/>
            <w:left w:val="none" w:sz="0" w:space="0" w:color="auto"/>
            <w:bottom w:val="none" w:sz="0" w:space="0" w:color="auto"/>
            <w:right w:val="none" w:sz="0" w:space="0" w:color="auto"/>
          </w:divBdr>
        </w:div>
        <w:div w:id="2133596237">
          <w:marLeft w:val="1080"/>
          <w:marRight w:val="0"/>
          <w:marTop w:val="100"/>
          <w:marBottom w:val="0"/>
          <w:divBdr>
            <w:top w:val="none" w:sz="0" w:space="0" w:color="auto"/>
            <w:left w:val="none" w:sz="0" w:space="0" w:color="auto"/>
            <w:bottom w:val="none" w:sz="0" w:space="0" w:color="auto"/>
            <w:right w:val="none" w:sz="0" w:space="0" w:color="auto"/>
          </w:divBdr>
        </w:div>
        <w:div w:id="1417552143">
          <w:marLeft w:val="1080"/>
          <w:marRight w:val="0"/>
          <w:marTop w:val="100"/>
          <w:marBottom w:val="0"/>
          <w:divBdr>
            <w:top w:val="none" w:sz="0" w:space="0" w:color="auto"/>
            <w:left w:val="none" w:sz="0" w:space="0" w:color="auto"/>
            <w:bottom w:val="none" w:sz="0" w:space="0" w:color="auto"/>
            <w:right w:val="none" w:sz="0" w:space="0" w:color="auto"/>
          </w:divBdr>
        </w:div>
      </w:divsChild>
    </w:div>
    <w:div w:id="204119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588221.2019.160952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hyperlink" Target="https://doi.org/10.1016/j.sbspro.2016.10.068" TargetMode="External"/><Relationship Id="rId18" Type="http://schemas.openxmlformats.org/officeDocument/2006/relationships/hyperlink" Target="https://doi.org/10.37870/joqie.v13i21.345" TargetMode="External"/><Relationship Id="rId19" Type="http://schemas.openxmlformats.org/officeDocument/2006/relationships/hyperlink" Target="https://doi.org/10.1016/j.sbspro.2010.03.191" TargetMode="External"/><Relationship Id="rId20" Type="http://schemas.openxmlformats.org/officeDocument/2006/relationships/hyperlink" Target="https://doi.org/10.1080/00461520.2014.965823" TargetMode="External"/><Relationship Id="rId21" Type="http://schemas.openxmlformats.org/officeDocument/2006/relationships/hyperlink" Target="https://doi.org/10.1007/s10648-015-9348-9" TargetMode="External"/><Relationship Id="rId22" Type="http://schemas.openxmlformats.org/officeDocument/2006/relationships/hyperlink" Target="https://doi.org/10.4324/9780429265402" TargetMode="External"/><Relationship Id="rId23" Type="http://schemas.openxmlformats.org/officeDocument/2006/relationships/hyperlink" Target="https://callej.org/index.php/journal/article/view/446" TargetMode="External"/><Relationship Id="rId24" Type="http://schemas.openxmlformats.org/officeDocument/2006/relationships/hyperlink" Target="https://doi.org/10.1080/09588221.2022.2067180" TargetMode="External"/><Relationship Id="rId25" Type="http://schemas.openxmlformats.org/officeDocument/2006/relationships/hyperlink" Target="https://callej.org/index.php/journal/article/view/407" TargetMode="External"/><Relationship Id="rId26" Type="http://schemas.openxmlformats.org/officeDocument/2006/relationships/hyperlink" Target="https://doi.org/10.1080/09588221.2010.512551" TargetMode="External"/><Relationship Id="rId27" Type="http://schemas.openxmlformats.org/officeDocument/2006/relationships/hyperlink" Target="https://callej.org/index.php/journal/article/view/690" TargetMode="External"/><Relationship Id="rId28" Type="http://schemas.openxmlformats.org/officeDocument/2006/relationships/hyperlink" Target="https://doi.org/10.1111/flan.12084" TargetMode="External"/><Relationship Id="rId29" Type="http://schemas.openxmlformats.org/officeDocument/2006/relationships/hyperlink" Target="https://doi.org/10.18869/acadpub.ijree.2.1.34" TargetMode="External"/><Relationship Id="rId30" Type="http://schemas.openxmlformats.org/officeDocument/2006/relationships/hyperlink" Target="https://doi.org/10.1177/21582440221079811" TargetMode="External"/><Relationship Id="rId31" Type="http://schemas.openxmlformats.org/officeDocument/2006/relationships/hyperlink" Target="https://callej.org/index.php/journal/article/view/410" TargetMode="External"/><Relationship Id="rId32" Type="http://schemas.openxmlformats.org/officeDocument/2006/relationships/hyperlink" Target="https://doi.org/10.1017/CBO9781139547369.005" TargetMode="External"/><Relationship Id="rId33" Type="http://schemas.openxmlformats.org/officeDocument/2006/relationships/hyperlink" Target="https://callej.org/index.php/journal/article/view/488" TargetMode="External"/><Relationship Id="rId34" Type="http://schemas.openxmlformats.org/officeDocument/2006/relationships/hyperlink" Target="https://callej.org/index.php/journal/article/view/408" TargetMode="External"/><Relationship Id="rId35" Type="http://schemas.openxmlformats.org/officeDocument/2006/relationships/hyperlink" Target="https://callej.org/index.php/journal/article/view/511" TargetMode="External"/><Relationship Id="rId36" Type="http://schemas.openxmlformats.org/officeDocument/2006/relationships/hyperlink" Target="https://callej.org/index.php/journal/article/view/519" TargetMode="External"/><Relationship Id="rId37" Type="http://schemas.openxmlformats.org/officeDocument/2006/relationships/hyperlink" Target="https://doi.org/10.26803/ijlter.23.4.27" TargetMode="External"/><Relationship Id="rId38" Type="http://schemas.openxmlformats.org/officeDocument/2006/relationships/hyperlink" Target="https://doi.org/10.18823/asiatefl.2021.18.2.11.559" TargetMode="External"/><Relationship Id="rId39" Type="http://schemas.openxmlformats.org/officeDocument/2006/relationships/hyperlink" Target="https://doi.org/10.1002/tesq.3042" TargetMode="External"/><Relationship Id="rId40" Type="http://schemas.openxmlformats.org/officeDocument/2006/relationships/hyperlink" Target="https://doi.org/10.2991/assehr.k.220201.038" TargetMode="External"/><Relationship Id="rId41" Type="http://schemas.openxmlformats.org/officeDocument/2006/relationships/hyperlink" Target="https://doi.org/10.1177/13621688221102522" TargetMode="External"/><Relationship Id="rId42" Type="http://schemas.openxmlformats.org/officeDocument/2006/relationships/hyperlink" Target="https://doi.org/10.3389/fpsyg.2022.876208" TargetMode="External"/><Relationship Id="rId43" Type="http://schemas.openxmlformats.org/officeDocument/2006/relationships/hyperlink" Target="https://doi.org/10.1207/S15430421TIP4102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E5724-BFC0-463C-8CD8-B980D5FFE994}">
  <ds:schemaRefs>
    <ds:schemaRef ds:uri="http://schemas.openxmlformats.org/officeDocument/2006/bibliography"/>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916</Words>
  <Characters>5654</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citation</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citation</dc:title>
  <dc:subject/>
  <dc:creator>Ho Pham Vu Phi</dc:creator>
  <cp:keywords/>
  <dc:description/>
  <cp:lastModifiedBy>Phạm Vũ Phi Hổ - Khoa Ngoại ngữ</cp:lastModifiedBy>
  <cp:revision>4</cp:revision>
  <dcterms:created xsi:type="dcterms:W3CDTF">2025-03-01T06:40:00Z</dcterms:created>
  <dcterms:modified xsi:type="dcterms:W3CDTF">2025-05-12T03:01:00Z</dcterms:modified>
</cp:coreProperties>
</file>