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rFonts w:eastAsia="Times New Roman" w:cs="Times New Roman"/>
          <w:sz w:val="24"/>
          <w:szCs w:val="24"/>
        </w:rPr>
      </w:pPr>
      <w:bookmarkStart w:id="4" w:name="_Toc233360710"/>
      <w:r>
        <w:rPr>
          <w:rFonts w:eastAsia="Times New Roman" w:cs="Times New Roman"/>
          <w:sz w:val="24"/>
          <w:szCs w:val="24"/>
        </w:rPr>
        <w:t>BAB I</w:t>
      </w:r>
      <w:bookmarkEnd w:id="4"/>
    </w:p>
    <w:p>
      <w:pPr>
        <w:pStyle w:val="Normal"/>
        <w:tabs>
          <w:tab w:val="clear" w:pos="720"/>
          <w:tab w:val="left" w:pos="4395" w:leader="none"/>
          <w:tab w:val="left" w:pos="7371" w:leader="none"/>
        </w:tabs>
        <w:spacing w:lineRule="auto" w:line="480" w:before="0" w:after="0"/>
        <w:jc w:val="center"/>
        <w:rPr>
          <w:rFonts w:eastAsia="Times New Roman" w:cs="Times New Roman"/>
          <w:b/>
          <w:bCs/>
          <w:szCs w:val="24"/>
        </w:rPr>
      </w:pPr>
      <w:r>
        <w:rPr>
          <w:rFonts w:eastAsia="Times New Roman" w:cs="Times New Roman"/>
          <w:b/>
          <w:bCs/>
          <w:szCs w:val="24"/>
        </w:rPr>
        <w:t>PENDAHULUAN</w:t>
        <w:br/>
      </w:r>
    </w:p>
    <w:p>
      <w:pPr>
        <w:pStyle w:val="Normal"/>
        <w:numPr>
          <w:ilvl w:val="0"/>
          <w:numId w:val="24"/>
        </w:numPr>
        <w:pBdr/>
        <w:tabs>
          <w:tab w:val="clear" w:pos="720"/>
          <w:tab w:val="left" w:pos="426" w:leader="none"/>
          <w:tab w:val="left" w:pos="7371" w:leader="none"/>
        </w:tabs>
        <w:spacing w:lineRule="auto" w:line="480" w:before="0" w:after="0"/>
        <w:ind w:hanging="0" w:start="0"/>
        <w:outlineLvl w:val="1"/>
        <w:rPr>
          <w:rFonts w:eastAsia="Times New Roman" w:cs="Times New Roman"/>
          <w:b/>
          <w:color w:val="000000"/>
          <w:szCs w:val="24"/>
        </w:rPr>
      </w:pPr>
      <w:bookmarkStart w:id="5" w:name="_Toc233360711"/>
      <w:r>
        <w:rPr>
          <w:rFonts w:eastAsia="Times New Roman" w:cs="Times New Roman"/>
          <w:b/>
          <w:bCs/>
          <w:color w:themeColor="text1" w:val="000000"/>
        </w:rPr>
        <w:t>Latar Belakang Masalah</w:t>
      </w:r>
      <w:bookmarkEnd w:id="5"/>
    </w:p>
    <w:p>
      <w:pPr>
        <w:pStyle w:val="Normal"/>
        <w:spacing w:lineRule="auto" w:line="480" w:before="240" w:after="0"/>
        <w:ind w:firstLine="720"/>
        <w:jc w:val="both"/>
        <w:rPr/>
      </w:pPr>
      <w:r>
        <w:rPr>
          <w:rFonts w:eastAsia="Times New Roman" w:cs="Times New Roman"/>
          <w:color w:themeColor="text1" w:val="000000"/>
          <w:szCs w:val="24"/>
        </w:rPr>
        <w:t>Keterampilan berbicara merupakan salah satu kompetensi sentral yang harus dikuasai mahasiswa di pendidikan tinggi. Melalui keterampilan ini, mahasiswa mengomunikasikan pemahaman, menyampaikan gagasan, serta mempertanggungjawabkan hasil berpikirnya dalam berbagai aktivitas akademik, seperti diskusi, presentasi, dan forum ilmiah (Rochmawati &amp; Sylvia, 2023). Berbicara di jenjang pendidikan tinggi bukan sekadar kemampuan teknis berbahasa. Mahasiswa dituntut untuk mengorganisasi ide, menyusun argumen secara logis, dan menyesuaikan strategi penyampaian dengan konteks serta audiens yang dihadapinya. Proses ini melibatkan aktivitas kognitif tingkat tinggi karena mahasiswa harus mampu memilih informasi yang relevan, mengaitkan antarkonsep, dan menyampaikan penjelasan secara runtut (Goh &amp; Liu, 2023). Dengan demikian, kualitas keterampilan berbicara mahasiswa sering kali mencerminkan kedalaman pemahaman dan kualitas proses berpikir yang dimilikinya.</w:t>
      </w:r>
    </w:p>
    <w:p>
      <w:pPr>
        <w:pStyle w:val="Normal"/>
        <w:spacing w:lineRule="auto" w:line="480" w:before="0" w:after="0"/>
        <w:ind w:firstLine="720"/>
        <w:jc w:val="both"/>
        <w:rPr/>
      </w:pPr>
      <w:r>
        <w:rPr>
          <w:rFonts w:eastAsia="Times New Roman" w:cs="Times New Roman"/>
          <w:color w:themeColor="text1" w:val="000000"/>
          <w:szCs w:val="24"/>
        </w:rPr>
        <w:t>Tuntutan terhadap keterampilan berbicara ini semakin menguat seiring perubahan orientasi pendidikan tinggi di Indonesia. Undang-Undang Nomor 20 Tahun 2003 tentang Sistem Pendidikan Nasional menegaskan bahwa pendidikan nasional bertujuan mengembangkan potensi peserta didik secara menyeluruh, mencakup dimensi kognitif, afektif, dan psikomotorik (Baiquni, 2025). Sejalan dengan itu, kebijakan Kampus Berdampak dan Pembelajaran Mendalam menempatkan perguruan tinggi sebagai ruang pembelajaran transformatif yang menuntut mahasiswa menjadi subjek belajar yang reflektif dan bertanggung jawab atas proses belajarnya sendiri (Yuliarto et al., 2025; Kementerian Pendidikan Tinggi, Sains, dan Teknologi, 2025). Dalam kerangka tersebut, mahasiswa tidak cukup hanya memahami konsep. Mereka juga harus mampu mengartikulasikan, mempertahankan, dan mendialogkan gagasan secara argumentatif sebagai bagian dari profil lulusan yang adaptif serta siap berkontribusi dalam konteks profesional dan sosial. Keterampilan berbicara, dengan demikian, menempati posisi strategis sebagai medium utama untuk mengeksternalisasikan pengetahuan, menegosiasikan makna, dan merefleksikan pemahaman secara sadar.</w:t>
      </w:r>
    </w:p>
    <w:p>
      <w:pPr>
        <w:pStyle w:val="Normal"/>
        <w:spacing w:lineRule="auto" w:line="480" w:before="0" w:after="240"/>
        <w:ind w:firstLine="720"/>
        <w:jc w:val="both"/>
        <w:rPr/>
      </w:pPr>
      <w:r>
        <w:rPr>
          <w:rFonts w:eastAsia="Times New Roman" w:cs="Times New Roman"/>
          <w:color w:themeColor="text1" w:val="000000"/>
          <w:szCs w:val="24"/>
        </w:rPr>
        <w:t>Namun, kenyataan di lapangan menunjukkan permasalahan yang serius. Studi pendahuluan yang dilakukan peneliti (Primandhika et al., 2025, 2026) menemukan beberapa kondisi yang perlu diperhatikan. Pertama, mahasiswa kerap mampu menunjukkan penguasaan materi melalui tugas tertulis atau ujian berbasis teks, tetapi mengalami kesulitan ketika harus memberikan penjelasan lisan yang runtut dan argumentatif. Kedua, penyampaian lisan mahasiswa cenderung bersifat deskriptif dan repetitif tanpa disertai elaborasi makna yang memadai. Ketiga, kemampuan menyesuaikan strategi komunikasi terhadap konteks audiens akademik masih lemah. Keempat, faktor seperti keterbatasan kosakata, kurangnya persiapan, serta rendahnya kepercayaan diri turut menjadi penghambat yang signifikan. Kondisi tersebut menunjukkan adanya kesenjangan antara pemahaman kognitif yang dimiliki mahasiswa dan kemampuannya mengomunikasikan pemahaman itu secara lisan di ruang-ruang akademik (Mulyo et al., 2019; Santiani, 2025).</w:t>
      </w:r>
    </w:p>
    <w:p>
      <w:pPr>
        <w:pStyle w:val="Normal"/>
        <w:spacing w:lineRule="auto" w:line="480" w:before="240" w:after="0"/>
        <w:ind w:firstLine="720"/>
        <w:jc w:val="both"/>
        <w:rPr/>
      </w:pPr>
      <w:r>
        <w:rPr>
          <w:rFonts w:eastAsia="Times New Roman" w:cs="Times New Roman"/>
          <w:color w:themeColor="text1" w:val="000000"/>
          <w:szCs w:val="24"/>
        </w:rPr>
        <w:t>Jika ditelusuri lebih dalam, akar permasalahan tersebut tidak semata-mata bersifat teknis kebahasaan, tetapi juga berkaitan dengan lemahnya kemampuan metakognitif dalam keterampilan berbicara. Berbagai studi mutakhir menunjukkan bahwa tanpa regulasi metakognitif yang memadai, mahasiswa tidak memiliki mekanisme reflektif yang jelas untuk meningkatkan kualitas berbicaranya secara berkelanjutan (Zhang et al., 2021). Dalam penelitian ini, kelemahan tersebut dipetakan ke dalam lima dimensi yang saling berhubungan. Pertama, pada tahap konseptualisasi (conceptualisation), mahasiswa sering berbicara tanpa tujuan komunikasi, struktur isi, dan prioritas gagasan yang jelas. Kedua, pada tahap formulasi (formulation), mahasiswa belum konsisten memilih kosakata, bentuk kalimat, dan strategi retorika yang sesuai dengan konteks akademik. Ketiga, pada tahap artikulasi (articulation), penyampaian lisan masih belum stabil dari segi kejelasan, intonasi, dan kelancaran. Keempat, pada tahap pemantauan diri (self-monitoring), mahasiswa belum terbiasa memantau koherensi argumen, kejelasan penjelasan, dan respons audiens ketika berbicara. Kelima, pada tahap evaluasi diri (self-evaluation), mahasiswa umumnya belum melakukan refleksi sistematis terhadap keberhasilan komunikasi dan bagian yang perlu diperbaiki setelah performa lisan selesai. Kondisi ini menyebabkan peningkatan keterampilan berbicara berlangsung secara coba-coba, bukan melalui proses sadar yang terarah (Arifin, 2025; Darmuki &amp; Hariyadi, 2019; Muhammadpour &amp; Tahriri, 2024).</w:t>
      </w:r>
    </w:p>
    <w:p>
      <w:pPr>
        <w:pStyle w:val="Normal"/>
        <w:spacing w:lineRule="auto" w:line="480" w:before="0" w:after="0"/>
        <w:ind w:firstLine="720"/>
        <w:jc w:val="both"/>
        <w:rPr/>
      </w:pPr>
      <w:r>
        <w:rPr>
          <w:rFonts w:eastAsia="Times New Roman" w:cs="Times New Roman"/>
          <w:color w:themeColor="text1" w:val="000000"/>
          <w:szCs w:val="24"/>
        </w:rPr>
        <w:t>Situasi ini diperparah oleh maraknya pemanfaatan teknologi berbasis kecerdasan buatan generatif di kalangan mahasiswa. Di satu sisi, AI generatif memang mendukung efisiensi belajar melalui penyediaan ringkasan, contoh teks, dan scaffolding kognitif yang membantu mahasiswa memahami materi lebih cepat (Crompton &amp; Burke, 2023). Akan tetapi, ketergantungan yang berlebihan pada teknologi tersebut berpotensi menggeser komunikasi lisan menjadi praktik membaca atau menyampaikan ulang teks yang dihasilkan secara otomatis. Akibatnya, keterampilan berbicara berkembang secara pasif dan reproduktif, bukan sebagai proses konstruktif yang menuntut pengolahan gagasan secara verbal dan reflektif (Kasneci et al., 2023; Muhidin, 2022). Ironisnya, dalam konteks ini keterampilan berbicara justru semakin penting sebagai indikator pembeda antara pemahaman dangkal dan pemahaman mendalam, sekaligus menjadi tolok ukur krusial dalam penilaian autentik berbasis presentasi, diskusi, dan argumentasi lisan di perguruan tinggi (Baines et al., 2025; Zhu &amp; Carless, 2018).</w:t>
      </w:r>
    </w:p>
    <w:p>
      <w:pPr>
        <w:pStyle w:val="Normal"/>
        <w:spacing w:lineRule="auto" w:line="480" w:before="0" w:after="0"/>
        <w:ind w:firstLine="720"/>
        <w:jc w:val="both"/>
        <w:rPr/>
      </w:pPr>
      <w:r>
        <w:rPr>
          <w:rFonts w:eastAsia="Times New Roman" w:cs="Times New Roman"/>
          <w:color w:themeColor="text1" w:val="000000"/>
          <w:szCs w:val="24"/>
        </w:rPr>
        <w:t>Berdasarkan uraian tersebut, dapat dipahami bahwa pengembangan keterampilan berbicara mahasiswa tidak dapat dipisahkan dari pengembangan kemampuan metakognitif. Keterampilan berbicara yang berkualitas menuntut mahasiswa untuk tidak hanya mampu berbicara, tetapi juga mampu menyadari, mengelola, dan mengevaluasi proses berpikir dan berbahasa yang terlibat di dalamnya (Manalu et al., 2024). Oleh karena itu, pembelajaran keterampilan berbicara di pendidikan tinggi perlu dipahami sebagai proses kognitif-reflektif yang menempatkan metakognitif sebagai elemen integral, bukan sekadar persoalan kelancaran atau ketepatan berbahasa semata.</w:t>
      </w:r>
    </w:p>
    <w:p>
      <w:pPr>
        <w:pStyle w:val="Normal"/>
        <w:spacing w:lineRule="auto" w:line="480" w:before="0" w:after="0"/>
        <w:ind w:firstLine="720"/>
        <w:jc w:val="both"/>
        <w:rPr/>
      </w:pPr>
      <w:r>
        <w:rPr>
          <w:rFonts w:eastAsia="Times New Roman" w:cs="Times New Roman"/>
          <w:color w:themeColor="text1" w:val="000000"/>
          <w:szCs w:val="24"/>
        </w:rPr>
        <w:t xml:space="preserve">Salah satu teknik yang berpotensi menjawab kebutuhan tersebut adalah Teknik Feynman. Teknik ini menekankan pemahaman melalui proses menjelaskan kembali materi dengan bahasa sendiri, yang memungkinkan mahasiswa memahami materi secara mendalam sekaligus melatih kemampuan komunikasinya (Paterson, 2022). Lebih dari itu, Teknik Feynman mengharuskan mahasiswa memecah konsep menjadi ide-ide sederhana yang dapat dijelaskan kepada orang lain, sehingga mendorong penguasaan mendalam dan refleksi kritis (Goldhawk, 2024; Vera &amp; Maritza, 2016). Yang menjadikan teknik ini relevan bagi penelitian ini adalah keselarasan tahapannya dengan konstruk metakognitif dalam keterampilan berbicara. Tahap memahami konsep menuntut mahasiswa membangun </w:t>
      </w:r>
      <w:r>
        <w:rPr>
          <w:rFonts w:eastAsia="Times New Roman" w:cs="Times New Roman"/>
          <w:i/>
          <w:iCs/>
          <w:color w:themeColor="text1" w:val="000000"/>
          <w:szCs w:val="24"/>
        </w:rPr>
        <w:t>conceptualisation</w:t>
      </w:r>
      <w:r>
        <w:rPr>
          <w:rFonts w:eastAsia="Times New Roman" w:cs="Times New Roman"/>
          <w:color w:themeColor="text1" w:val="000000"/>
          <w:szCs w:val="24"/>
        </w:rPr>
        <w:t xml:space="preserve"> dan </w:t>
      </w:r>
      <w:r>
        <w:rPr>
          <w:rFonts w:eastAsia="Times New Roman" w:cs="Times New Roman"/>
          <w:i/>
          <w:iCs/>
          <w:color w:themeColor="text1" w:val="000000"/>
          <w:szCs w:val="24"/>
        </w:rPr>
        <w:t>formulation</w:t>
      </w:r>
      <w:r>
        <w:rPr>
          <w:rFonts w:eastAsia="Times New Roman" w:cs="Times New Roman"/>
          <w:color w:themeColor="text1" w:val="000000"/>
          <w:szCs w:val="24"/>
        </w:rPr>
        <w:t xml:space="preserve"> sebelum berbicara. Tahap menjelaskan kembali dengan bahasa sendiri mengaktifkan </w:t>
      </w:r>
      <w:r>
        <w:rPr>
          <w:rFonts w:eastAsia="Times New Roman" w:cs="Times New Roman"/>
          <w:i/>
          <w:iCs/>
          <w:color w:themeColor="text1" w:val="000000"/>
          <w:szCs w:val="24"/>
        </w:rPr>
        <w:t>articulation</w:t>
      </w:r>
      <w:r>
        <w:rPr>
          <w:rFonts w:eastAsia="Times New Roman" w:cs="Times New Roman"/>
          <w:color w:themeColor="text1" w:val="000000"/>
          <w:szCs w:val="24"/>
        </w:rPr>
        <w:t xml:space="preserve"> dalam situasi komunikatif yang nyata. Tahap mengidentifikasi bagian yang belum dipahami mendorong </w:t>
      </w:r>
      <w:r>
        <w:rPr>
          <w:rFonts w:eastAsia="Times New Roman" w:cs="Times New Roman"/>
          <w:i/>
          <w:iCs/>
          <w:color w:themeColor="text1" w:val="000000"/>
          <w:szCs w:val="24"/>
        </w:rPr>
        <w:t>self-monitoring</w:t>
      </w:r>
      <w:r>
        <w:rPr>
          <w:rFonts w:eastAsia="Times New Roman" w:cs="Times New Roman"/>
          <w:color w:themeColor="text1" w:val="000000"/>
          <w:szCs w:val="24"/>
        </w:rPr>
        <w:t xml:space="preserve"> terhadap isi dan kejelasan penjelasan. Tahap meninjau dan menyederhanakan penjelasan memperkuat </w:t>
      </w:r>
      <w:r>
        <w:rPr>
          <w:rFonts w:eastAsia="Times New Roman" w:cs="Times New Roman"/>
          <w:i/>
          <w:iCs/>
          <w:color w:themeColor="text1" w:val="000000"/>
          <w:szCs w:val="24"/>
        </w:rPr>
        <w:t>self-evaluation</w:t>
      </w:r>
      <w:r>
        <w:rPr>
          <w:rFonts w:eastAsia="Times New Roman" w:cs="Times New Roman"/>
          <w:color w:themeColor="text1" w:val="000000"/>
          <w:szCs w:val="24"/>
        </w:rPr>
        <w:t xml:space="preserve"> sekaligus perbaikan strategi komunikasi. Dengan keselarasan tersebut, Teknik Feynman bukan sekadar teknik belajar biasa, melainkan kerangka kerja yang secara inheren melatih kemampuan metakognitif melalui aktivitas berbicara. Meskipun demikian, integrasi Teknik Feynman dalam pembelajaran keterampilan berbicara, khususnya di konteks pendidikan tinggi Indonesia, masih sangat terbatas.</w:t>
      </w:r>
    </w:p>
    <w:p>
      <w:pPr>
        <w:pStyle w:val="Normal"/>
        <w:spacing w:lineRule="auto" w:line="480" w:before="0" w:after="0"/>
        <w:ind w:firstLine="720"/>
        <w:jc w:val="both"/>
        <w:rPr/>
      </w:pPr>
      <w:r>
        <w:rPr>
          <w:rFonts w:eastAsia="Times New Roman" w:cs="Times New Roman"/>
          <w:color w:themeColor="text1" w:val="000000"/>
          <w:szCs w:val="24"/>
        </w:rPr>
        <w:t>Di sisi lain, hasil observasi awal menunjukkan bahwa media pembelajaran keterampilan berbicara masih banyak didominasi oleh penyajian teks, penugasan, dan instruksi satu arah. Media semacam ini belum secara konsisten menyediakan alur latihan yang menghubungkan pemahaman konsep, penyusunan penjelasan, performa lisan, pemantauan diri, dan refleksi setelah berbicara. Padahal, pembelajaran berbasis web yang efektif semestinya memanfaatkan kekuatan multimedia, interaksi, dan produksi linguistik secara terpadu sesuai dengan tujuan pembelajaran (Bates, 2015; Chapelle, 2006). Media juga perlu dirancang berdasarkan prinsip segmentasi, koherensi, dan pengelolaan beban kognitif agar unsur multimedia tidak hanya memperindah tampilan, tetapi membantu mahasiswa memproses informasi secara lebih terarah (Mayer, 2012).</w:t>
      </w:r>
    </w:p>
    <w:p>
      <w:pPr>
        <w:pStyle w:val="Normal"/>
        <w:spacing w:lineRule="auto" w:line="480" w:before="0" w:after="0"/>
        <w:ind w:firstLine="720"/>
        <w:jc w:val="both"/>
        <w:rPr/>
      </w:pPr>
      <w:r>
        <w:rPr>
          <w:rFonts w:eastAsia="Times New Roman" w:cs="Times New Roman"/>
          <w:color w:themeColor="text1" w:val="000000"/>
          <w:szCs w:val="24"/>
        </w:rPr>
        <w:t xml:space="preserve">Agar Teknik Feynman dapat diimplementasikan secara efektif dan sesuai dengan karakteristik mahasiswa sebagai pembelajar digital, dibutuhkan wahana yang tepat. Dalam hal ini, pendekatan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yaitu penyajian materi dalam format singkat, fokus, dan mudah diakses kapan saja melalui perangkat berbasis web (Hug et al., 2005), menawarkan format yang sangat sesuai. Pendekatan ini telah terbukti meningkatkan efisiensi pembelajaran dan retensi informasi dengan memecah topik kompleks menjadi bagian-bagian kecil yang lebih terkelola (Barus &amp; Bontisesari, 2023; Halim et al., 2024). Format ini juga sejalan dengan kebiasaan belajar generasi digital yang terbiasa mengakses informasi dalam potongan singkat melalui media sosial seperti TikTok, YouTube Shorts, dan Instagram (Conde-Caballero et al., 2024; Khlaif et al., 2021). Media pembelajaran berbasis web yang mengadopsi konsep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memberikan fleksibilitas bagi mahasiswa untuk berlatih secara mandiri dan kontekstual, sekaligus memperkuat aspek refleksi diri yang penting untuk pengembangan keterampilan metakognitif (Goh &amp; Liu, 2023; Rahmiati &amp; Rasyid, 2024; Susilana et al., 2022a). Pendekatan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web ini juga bersinggungan dengan semangat Pembelajaran Mendalam yang menghendaki pergeseran dari pembelajaran permukaan menuju pembelajaran yang berorientasi pada pemaknaan, keterhubungan konsep, dan refleksi proses belajar (Handayani &amp; Fauzi, 2023).</w:t>
      </w:r>
    </w:p>
    <w:p>
      <w:pPr>
        <w:pStyle w:val="Normal"/>
        <w:spacing w:lineRule="auto" w:line="480"/>
        <w:ind w:firstLine="720"/>
        <w:jc w:val="both"/>
        <w:rPr/>
      </w:pPr>
      <w:r>
        <w:rPr>
          <w:rFonts w:eastAsia="Times New Roman" w:cs="Times New Roman"/>
          <w:color w:themeColor="text1" w:val="000000"/>
          <w:szCs w:val="24"/>
        </w:rPr>
        <w:t xml:space="preserve">Meskipun penelitian tentang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Teknik Feynman, metakognitif, dan keterampilan berbicara telah berkembang masing-masing, keempat komponen tersebut masih diteliti secara terpisah. Berdasarkan analisis bibliometrik yang dipaparkan pada Bab II, belum ditemukan penelitian yang secara khusus mengintegrasikan keempat komponen tersebut dalam satu kerangka penelitian, terlebih dalam konteks mahasiswa Pendidikan Bahasa dan Sastra Indonesia. Secara lebih spesifik, terdapat tiga celah penelitian yang menjadi landasan studi ini. Pertama, celah teoretis: belum terdapat model konseptual yang menjelaskan bagaimana Teknik Feynman dapat meningkatkan kemampuan metakognitif dan keterampilan berbicara secara bersamaan. Kedua, celah desain: belum terdapat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yang secara sistematis mengintegrasikan tahapan Teknik Feynman untuk melatih metakognitif melalui aktivitas berbicara. Ketiga, celah empiris: belum tersedia bukti empiris mengenai efektivitas integrasi tersebut pada mahasiswa Pendidikan Bahasa dan Sastra Indonesia di perguruan tinggi.</w:t>
      </w:r>
    </w:p>
    <w:p>
      <w:pPr>
        <w:pStyle w:val="Normal"/>
        <w:spacing w:lineRule="auto" w:line="480"/>
        <w:ind w:firstLine="720"/>
        <w:jc w:val="both"/>
        <w:rPr/>
      </w:pPr>
      <w:r>
        <w:rPr>
          <w:rFonts w:eastAsia="Times New Roman" w:cs="Times New Roman"/>
          <w:color w:themeColor="text1" w:val="000000"/>
          <w:szCs w:val="24"/>
        </w:rPr>
        <w:t>Berdasarkan celah penelitian tersebut, penelitian ini mengembangkan media pembelajaran berbasis web microlearning yang terintegrasi dengan Teknik Feynman. Kemampuan metakognitif dalam keterampilan berbicara diposisikan sebagai konstruk proses pedagogis yang menjelaskan bagaimana mahasiswa membangun konsep, merumuskan penjelasan, mengartikulasikan gagasan, memantau performa, dan mengevaluasi hasil berbicara selama menggunakan media. Kebaruan penelitian ini terletak pada pengembangan model konseptual yang menghubungkan Teknik Feynman, kemampuan metakognitif, dan keterampilan berbicara; perancangan media web microlearning yang menerapkan tahapan Teknik Feynman dan prinsip CTML; serta evaluasi empiris produk pada mahasiswa Pendidikan Bahasa dan Sastra Indonesia. Model ASSURE dipilih karena tahapannya menghubungkan analisis karakteristik pembelajar, penetapan tujuan, pemilihan metode dan media, pemanfaatan media, pelibatan aktif mahasiswa, serta evaluasi dan revisi produk (Smaldino et al., 2019). Oleh karena itu, peneliti mengangkat judul “Pengembangan Web Microlearning Berbasis Teknik Feynman untuk Meningkatkan Kemampuan Metakognitif dalam Keterampilan Berbicara Mahasiswa.”</w:t>
      </w:r>
    </w:p>
    <w:p>
      <w:pPr>
        <w:pStyle w:val="Normal"/>
        <w:numPr>
          <w:ilvl w:val="0"/>
          <w:numId w:val="24"/>
        </w:numPr>
        <w:pBdr/>
        <w:tabs>
          <w:tab w:val="clear" w:pos="720"/>
          <w:tab w:val="left" w:pos="426" w:leader="none"/>
          <w:tab w:val="left" w:pos="7371" w:leader="none"/>
        </w:tabs>
        <w:spacing w:before="240" w:after="160"/>
        <w:ind w:hanging="0" w:start="0"/>
        <w:outlineLvl w:val="1"/>
        <w:rPr>
          <w:rFonts w:eastAsia="Times New Roman" w:cs="Times New Roman"/>
          <w:b/>
          <w:bCs/>
          <w:color w:val="000000"/>
        </w:rPr>
      </w:pPr>
      <w:bookmarkStart w:id="6" w:name="_Toc233360712"/>
      <w:r>
        <w:rPr>
          <w:rFonts w:eastAsia="Times New Roman" w:cs="Times New Roman"/>
          <w:b/>
          <w:bCs/>
          <w:color w:themeColor="text1" w:val="000000"/>
        </w:rPr>
        <w:t>Masalah Penelitian</w:t>
      </w:r>
      <w:bookmarkEnd w:id="6"/>
    </w:p>
    <w:p>
      <w:pPr>
        <w:pStyle w:val="ListParagraph"/>
        <w:numPr>
          <w:ilvl w:val="0"/>
          <w:numId w:val="22"/>
        </w:numPr>
        <w:tabs>
          <w:tab w:val="clear" w:pos="720"/>
          <w:tab w:val="left" w:pos="426" w:leader="none"/>
          <w:tab w:val="left" w:pos="7371" w:leader="none"/>
        </w:tabs>
        <w:spacing w:lineRule="auto" w:line="480" w:before="0" w:after="0"/>
        <w:contextualSpacing/>
        <w:jc w:val="both"/>
        <w:rPr>
          <w:rFonts w:eastAsia="Times New Roman" w:cs="Times New Roman"/>
          <w:b/>
          <w:bCs/>
        </w:rPr>
      </w:pPr>
      <w:r>
        <w:rPr>
          <w:rFonts w:eastAsia="Times New Roman" w:cs="Times New Roman"/>
          <w:b/>
          <w:bCs/>
        </w:rPr>
        <w:t>Fokus Penelitian</w:t>
      </w:r>
    </w:p>
    <w:p>
      <w:pPr>
        <w:pStyle w:val="Normal"/>
        <w:spacing w:lineRule="auto" w:line="480"/>
        <w:ind w:firstLine="720"/>
        <w:jc w:val="both"/>
        <w:rPr/>
      </w:pPr>
      <w:r>
        <w:rPr>
          <w:rFonts w:eastAsia="Times New Roman" w:cs="Times New Roman"/>
          <w:color w:themeColor="text1" w:val="000000"/>
          <w:szCs w:val="24"/>
        </w:rPr>
        <w:t>Penelitian ini berfokus pada pengembangan dan evaluasi media web microlearning berbasis Teknik Feynman untuk meningkatkan kemampuan metakognitif dalam keterampilan berbicara mahasiswa Pendidikan Bahasa dan Sastra Indonesia. Fokus tersebut dijabarkan ke dalam tiga subfokus penelitian:</w:t>
      </w:r>
    </w:p>
    <w:p>
      <w:pPr>
        <w:pStyle w:val="ListParagraph"/>
        <w:numPr>
          <w:ilvl w:val="0"/>
          <w:numId w:val="21"/>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Pengembangan media web microlearning berbasis Teknik Feynman berdasarkan karakteristik dan kebutuhan belajar mahasiswa dengan menggunakan model ASSURE.</w:t>
      </w:r>
    </w:p>
    <w:p>
      <w:pPr>
        <w:pStyle w:val="ListParagraph"/>
        <w:numPr>
          <w:ilvl w:val="0"/>
          <w:numId w:val="21"/>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Kelayakan media web microlearning berbasis Teknik Feynman berdasarkan penilaian ahli dan respons pengguna.</w:t>
      </w:r>
    </w:p>
    <w:p>
      <w:pPr>
        <w:pStyle w:val="ListParagraph"/>
        <w:numPr>
          <w:ilvl w:val="0"/>
          <w:numId w:val="21"/>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Efektivitas media web microlearning berbasis Teknik Feynman dalam meningkatkan kemampuan metakognitif dan keterampilan berbicara mahasiswa.</w:t>
      </w:r>
    </w:p>
    <w:p>
      <w:pPr>
        <w:pStyle w:val="ListParagraph"/>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ListParagraph"/>
        <w:numPr>
          <w:ilvl w:val="0"/>
          <w:numId w:val="22"/>
        </w:numPr>
        <w:tabs>
          <w:tab w:val="clear" w:pos="720"/>
          <w:tab w:val="left" w:pos="426" w:leader="none"/>
          <w:tab w:val="left" w:pos="7371" w:leader="none"/>
        </w:tabs>
        <w:spacing w:lineRule="auto" w:line="480" w:before="0" w:after="0"/>
        <w:contextualSpacing/>
        <w:jc w:val="both"/>
        <w:rPr>
          <w:rFonts w:eastAsia="Times New Roman" w:cs="Times New Roman"/>
          <w:b/>
          <w:bCs/>
          <w:color w:themeColor="text1" w:val="000000"/>
        </w:rPr>
      </w:pPr>
      <w:r>
        <w:rPr>
          <w:rFonts w:eastAsia="Times New Roman" w:cs="Times New Roman"/>
          <w:b/>
          <w:bCs/>
          <w:color w:themeColor="text1" w:val="000000"/>
        </w:rPr>
        <w:t>Ruang Lingkup Penelitian</w:t>
      </w:r>
    </w:p>
    <w:p>
      <w:pPr>
        <w:pStyle w:val="Normal"/>
        <w:spacing w:lineRule="auto" w:line="480"/>
        <w:ind w:firstLine="720" w:start="720"/>
        <w:jc w:val="both"/>
        <w:rPr/>
      </w:pPr>
      <w:r>
        <w:rPr>
          <w:rFonts w:eastAsia="Times New Roman" w:cs="Times New Roman"/>
          <w:color w:themeColor="text1" w:val="000000"/>
          <w:szCs w:val="24"/>
        </w:rPr>
        <w:t>Penelitian ini dibatasi pada pengembangan dan evaluasi media pembelajaran berbasis web microlearning yang terintegrasi dengan Teknik Feynman. Variabel dalam penelitian ini mencakup:</w:t>
      </w:r>
    </w:p>
    <w:p>
      <w:pPr>
        <w:pStyle w:val="Normal"/>
        <w:spacing w:before="0" w:after="0"/>
        <w:jc w:val="both"/>
        <w:rPr/>
      </w:pPr>
      <w:r>
        <w:rPr/>
      </w:r>
    </w:p>
    <w:p>
      <w:pPr>
        <w:pStyle w:val="ListParagraph"/>
        <w:numPr>
          <w:ilvl w:val="0"/>
          <w:numId w:val="20"/>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Variabel bebas: media pembelajaran berbasis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yang mengintegrasikan tahapan Teknik Feynman sebagai strategi pembelajaran.</w:t>
      </w:r>
    </w:p>
    <w:p>
      <w:pPr>
        <w:pStyle w:val="ListParagraph"/>
        <w:numPr>
          <w:ilvl w:val="0"/>
          <w:numId w:val="20"/>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Variabel proses: kemampuan metakognitif dalam keterampilan berbicara mahasiswa, yang mencakup konseptualisasi, formulasi, artikulasi, pemantauan diri, dan evaluasi diri.</w:t>
      </w:r>
    </w:p>
    <w:p>
      <w:pPr>
        <w:pStyle w:val="ListParagraph"/>
        <w:numPr>
          <w:ilvl w:val="0"/>
          <w:numId w:val="20"/>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Variabel terikat: keterampilan berbicara mahasiswa dalam performa lisan akademik, yang diukur berdasarkan aspek-aspek pada rubrik keterampilan berbicara.</w:t>
      </w:r>
    </w:p>
    <w:p>
      <w:pPr>
        <w:pStyle w:val="ListParagraph"/>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start="720"/>
        <w:jc w:val="both"/>
        <w:rPr/>
      </w:pPr>
      <w:r>
        <w:rPr>
          <w:rFonts w:eastAsia="Times New Roman" w:cs="Times New Roman"/>
          <w:color w:themeColor="text1" w:val="000000"/>
          <w:szCs w:val="24"/>
        </w:rPr>
        <w:t>Model penelitian ini menempatkan kemampuan metakognitif sebagai konstruk proses pedagogis yang menyertai penggunaan media dan mendukung peningkatan keterampilan berbicara. Posisi tersebut tidak dimaknai sebagai mediator statistik karena penelitian ini tidak melakukan analisis mediasi. Konteks penelitian dibatasi pada mahasiswa Program Studi Pendidikan Bahasa dan Sastra Indonesia di salah satu perguruan tinggi di Indonesia.</w:t>
      </w:r>
    </w:p>
    <w:p>
      <w:pPr>
        <w:pStyle w:val="ListParagraph"/>
        <w:numPr>
          <w:ilvl w:val="0"/>
          <w:numId w:val="22"/>
        </w:numPr>
        <w:tabs>
          <w:tab w:val="clear" w:pos="720"/>
          <w:tab w:val="left" w:pos="426" w:leader="none"/>
          <w:tab w:val="left" w:pos="7371" w:leader="none"/>
        </w:tabs>
        <w:spacing w:lineRule="auto" w:line="480" w:before="0" w:after="0"/>
        <w:contextualSpacing/>
        <w:jc w:val="both"/>
        <w:rPr>
          <w:rFonts w:eastAsia="Times New Roman" w:cs="Times New Roman"/>
          <w:b/>
          <w:bCs/>
          <w:color w:themeColor="text1" w:val="000000"/>
        </w:rPr>
      </w:pPr>
      <w:r>
        <w:rPr>
          <w:rFonts w:eastAsia="Times New Roman" w:cs="Times New Roman"/>
          <w:b/>
          <w:bCs/>
          <w:color w:themeColor="text1" w:val="000000"/>
        </w:rPr>
        <w:t>Perumusan Masalah Penelitian</w:t>
      </w:r>
    </w:p>
    <w:p>
      <w:pPr>
        <w:pStyle w:val="Normal"/>
        <w:tabs>
          <w:tab w:val="clear" w:pos="720"/>
          <w:tab w:val="left" w:pos="426" w:leader="none"/>
          <w:tab w:val="left" w:pos="7371" w:leader="none"/>
        </w:tabs>
        <w:spacing w:lineRule="auto" w:line="480" w:before="0" w:after="0"/>
        <w:ind w:firstLine="720" w:start="720"/>
        <w:jc w:val="both"/>
        <w:rPr/>
      </w:pPr>
      <w:r>
        <w:rPr>
          <w:rFonts w:eastAsia="Times New Roman" w:cs="Times New Roman"/>
        </w:rPr>
        <w:t>Berdasarkan identifikasi dan pembatasan masalah, rumusan masalah penelitian ini adalah sebagai berikut:</w:t>
      </w:r>
    </w:p>
    <w:p>
      <w:pPr>
        <w:pStyle w:val="ListParagraph"/>
        <w:numPr>
          <w:ilvl w:val="0"/>
          <w:numId w:val="25"/>
        </w:numPr>
        <w:spacing w:lineRule="auto" w:line="480" w:before="0" w:after="0"/>
        <w:contextualSpacing w:val="false"/>
        <w:jc w:val="both"/>
        <w:rPr>
          <w:rFonts w:eastAsia="Times New Roman" w:cs="Times New Roman"/>
          <w:color w:themeColor="text1" w:val="000000"/>
          <w:szCs w:val="24"/>
        </w:rPr>
      </w:pPr>
      <w:r>
        <w:rPr>
          <w:rFonts w:eastAsia="Times New Roman" w:cs="Times New Roman"/>
          <w:color w:themeColor="text1" w:val="000000"/>
          <w:szCs w:val="24"/>
        </w:rPr>
        <w:t>Bagaimana karakteristik dan kebutuhan belajar mahasiswa Pendidikan Bahasa dan Sastra Indonesia dalam pengembangan keterampilan berbicara berbasis metakognitif?</w:t>
      </w:r>
    </w:p>
    <w:p>
      <w:pPr>
        <w:pStyle w:val="ListParagraph"/>
        <w:numPr>
          <w:ilvl w:val="0"/>
          <w:numId w:val="25"/>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Bagaimana rancangan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yang sesuai untuk meningkatkan kemampuan metakognitif dalam keterampilan berbicara mahasiswa?</w:t>
      </w:r>
    </w:p>
    <w:p>
      <w:pPr>
        <w:pStyle w:val="ListParagraph"/>
        <w:numPr>
          <w:ilvl w:val="0"/>
          <w:numId w:val="25"/>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Bagaimana proses pengembangan dan implementasi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dalam pembelajaran keterampilan berbicara di perguruan tinggi?</w:t>
      </w:r>
    </w:p>
    <w:p>
      <w:pPr>
        <w:pStyle w:val="ListParagraph"/>
        <w:numPr>
          <w:ilvl w:val="0"/>
          <w:numId w:val="25"/>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Bagaimana kelayakan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berdasarkan penilaian ahli dan respons pengguna?</w:t>
      </w:r>
    </w:p>
    <w:p>
      <w:pPr>
        <w:pStyle w:val="ListParagraph"/>
        <w:numPr>
          <w:ilvl w:val="0"/>
          <w:numId w:val="25"/>
        </w:numPr>
        <w:spacing w:lineRule="auto" w:line="480" w:before="0" w:after="0"/>
        <w:contextualSpacing/>
        <w:jc w:val="both"/>
        <w:rPr>
          <w:rFonts w:eastAsia="Times New Roman" w:cs="Times New Roman"/>
          <w:color w:val="000000"/>
          <w:szCs w:val="24"/>
        </w:rPr>
      </w:pPr>
      <w:r>
        <w:rPr>
          <w:rFonts w:eastAsia="Times New Roman" w:cs="Times New Roman"/>
          <w:color w:themeColor="text1" w:val="000000"/>
          <w:szCs w:val="24"/>
        </w:rPr>
        <w:t xml:space="preserve">Bagaimana efektivitas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dalam meningkatkan kemampuan metakognitif dan keterampilan berbicara mahasiswa?</w:t>
      </w:r>
    </w:p>
    <w:p>
      <w:pPr>
        <w:pStyle w:val="Normal"/>
        <w:spacing w:lineRule="auto" w:line="480" w:before="0" w:after="0"/>
        <w:ind w:start="720"/>
        <w:jc w:val="both"/>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jc w:val="both"/>
        <w:rPr/>
      </w:pPr>
      <w:r>
        <w:rPr>
          <w:rFonts w:eastAsia="Times New Roman" w:cs="Times New Roman"/>
          <w:color w:themeColor="text1" w:val="000000"/>
          <w:szCs w:val="24"/>
        </w:rPr>
        <w:t>Rumusan masalah tersebut disusun sejalan dengan tahapan kerangka desain ASSURE yang digunakan dalam penelitian ini, mulai dari analisis karakteristik pembelajar (</w:t>
      </w:r>
      <w:r>
        <w:rPr>
          <w:rFonts w:eastAsia="Times New Roman" w:cs="Times New Roman"/>
          <w:i/>
          <w:iCs/>
          <w:color w:themeColor="text1" w:val="000000"/>
          <w:szCs w:val="24"/>
        </w:rPr>
        <w:t>Analyze Learners</w:t>
      </w:r>
      <w:r>
        <w:rPr>
          <w:rFonts w:eastAsia="Times New Roman" w:cs="Times New Roman"/>
          <w:color w:themeColor="text1" w:val="000000"/>
          <w:szCs w:val="24"/>
        </w:rPr>
        <w:t>), perumusan tujuan dan perancangan media (</w:t>
      </w:r>
      <w:r>
        <w:rPr>
          <w:rFonts w:eastAsia="Times New Roman" w:cs="Times New Roman"/>
          <w:i/>
          <w:iCs/>
          <w:color w:themeColor="text1" w:val="000000"/>
          <w:szCs w:val="24"/>
        </w:rPr>
        <w:t>State Objectives</w:t>
      </w:r>
      <w:r>
        <w:rPr>
          <w:rFonts w:eastAsia="Times New Roman" w:cs="Times New Roman"/>
          <w:color w:themeColor="text1" w:val="000000"/>
          <w:szCs w:val="24"/>
        </w:rPr>
        <w:t xml:space="preserve">; </w:t>
      </w:r>
      <w:r>
        <w:rPr>
          <w:rFonts w:eastAsia="Times New Roman" w:cs="Times New Roman"/>
          <w:i/>
          <w:iCs/>
          <w:color w:themeColor="text1" w:val="000000"/>
          <w:szCs w:val="24"/>
        </w:rPr>
        <w:t>Select Methods, Media, and Materials</w:t>
      </w:r>
      <w:r>
        <w:rPr>
          <w:rFonts w:eastAsia="Times New Roman" w:cs="Times New Roman"/>
          <w:color w:themeColor="text1" w:val="000000"/>
          <w:szCs w:val="24"/>
        </w:rPr>
        <w:t>), pemanfaatan media dan pelibatan aktif mahasiswa (</w:t>
      </w:r>
      <w:r>
        <w:rPr>
          <w:rFonts w:eastAsia="Times New Roman" w:cs="Times New Roman"/>
          <w:i/>
          <w:iCs/>
          <w:color w:themeColor="text1" w:val="000000"/>
          <w:szCs w:val="24"/>
        </w:rPr>
        <w:t>Utilize Media</w:t>
      </w:r>
      <w:r>
        <w:rPr>
          <w:rFonts w:eastAsia="Times New Roman" w:cs="Times New Roman"/>
          <w:color w:themeColor="text1" w:val="000000"/>
          <w:szCs w:val="24"/>
        </w:rPr>
        <w:t xml:space="preserve">; </w:t>
      </w:r>
      <w:r>
        <w:rPr>
          <w:rFonts w:eastAsia="Times New Roman" w:cs="Times New Roman"/>
          <w:i/>
          <w:iCs/>
          <w:color w:themeColor="text1" w:val="000000"/>
          <w:szCs w:val="24"/>
        </w:rPr>
        <w:t>Require Learner Participation</w:t>
      </w:r>
      <w:r>
        <w:rPr>
          <w:rFonts w:eastAsia="Times New Roman" w:cs="Times New Roman"/>
          <w:color w:themeColor="text1" w:val="000000"/>
          <w:szCs w:val="24"/>
        </w:rPr>
        <w:t>), hingga evaluasi dan revisi (</w:t>
      </w:r>
      <w:r>
        <w:rPr>
          <w:rFonts w:eastAsia="Times New Roman" w:cs="Times New Roman"/>
          <w:i/>
          <w:iCs/>
          <w:color w:themeColor="text1" w:val="000000"/>
          <w:szCs w:val="24"/>
        </w:rPr>
        <w:t>Evaluate and Revise</w:t>
      </w:r>
      <w:r>
        <w:rPr>
          <w:rFonts w:eastAsia="Times New Roman" w:cs="Times New Roman"/>
          <w:color w:themeColor="text1" w:val="000000"/>
          <w:szCs w:val="24"/>
        </w:rPr>
        <w:t>).</w:t>
      </w:r>
    </w:p>
    <w:p>
      <w:pPr>
        <w:pStyle w:val="Normal"/>
        <w:spacing w:lineRule="auto" w:line="480"/>
        <w:jc w:val="both"/>
        <w:rPr/>
      </w:pPr>
      <w:r>
        <w:rPr/>
      </w:r>
    </w:p>
    <w:p>
      <w:pPr>
        <w:pStyle w:val="Normal"/>
        <w:numPr>
          <w:ilvl w:val="0"/>
          <w:numId w:val="24"/>
        </w:numPr>
        <w:pBdr/>
        <w:tabs>
          <w:tab w:val="clear" w:pos="720"/>
          <w:tab w:val="left" w:pos="426" w:leader="none"/>
          <w:tab w:val="left" w:pos="7371" w:leader="none"/>
        </w:tabs>
        <w:ind w:hanging="0" w:start="0"/>
        <w:outlineLvl w:val="1"/>
        <w:rPr>
          <w:rFonts w:eastAsia="Times New Roman" w:cs="Times New Roman"/>
          <w:b/>
          <w:color w:val="000000"/>
          <w:szCs w:val="24"/>
        </w:rPr>
      </w:pPr>
      <w:bookmarkStart w:id="7" w:name="_Toc233360713"/>
      <w:r>
        <w:rPr>
          <w:rFonts w:eastAsia="Times New Roman" w:cs="Times New Roman"/>
          <w:b/>
          <w:color w:val="000000"/>
          <w:szCs w:val="24"/>
        </w:rPr>
        <w:t>Tujuan Penelitian</w:t>
      </w:r>
      <w:bookmarkEnd w:id="7"/>
    </w:p>
    <w:p>
      <w:pPr>
        <w:pStyle w:val="Normal"/>
        <w:tabs>
          <w:tab w:val="clear" w:pos="720"/>
          <w:tab w:val="left" w:pos="426" w:leader="none"/>
          <w:tab w:val="left" w:pos="7371" w:leader="none"/>
        </w:tabs>
        <w:spacing w:lineRule="auto" w:line="480" w:before="0" w:after="0"/>
        <w:jc w:val="both"/>
        <w:rPr>
          <w:rFonts w:eastAsia="Times New Roman" w:cs="Times New Roman"/>
        </w:rPr>
      </w:pPr>
      <w:r>
        <w:rPr>
          <w:rFonts w:eastAsia="Times New Roman" w:cs="Times New Roman"/>
        </w:rPr>
        <w:t xml:space="preserve">Sejalan dengan rumusan masalah, penelitian ini bertujuan untuk: </w:t>
      </w:r>
    </w:p>
    <w:p>
      <w:pPr>
        <w:pStyle w:val="Normal"/>
        <w:numPr>
          <w:ilvl w:val="0"/>
          <w:numId w:val="26"/>
        </w:numPr>
        <w:tabs>
          <w:tab w:val="clear" w:pos="720"/>
          <w:tab w:val="left" w:pos="426" w:leader="none"/>
          <w:tab w:val="left" w:pos="7371" w:leader="none"/>
        </w:tabs>
        <w:spacing w:lineRule="auto" w:line="480" w:before="0" w:after="0"/>
        <w:jc w:val="both"/>
        <w:rPr>
          <w:rFonts w:eastAsia="Times New Roman" w:cs="Times New Roman"/>
          <w:color w:themeColor="text1" w:val="000000"/>
          <w:szCs w:val="24"/>
        </w:rPr>
      </w:pPr>
      <w:r>
        <w:rPr>
          <w:rFonts w:eastAsia="Times New Roman" w:cs="Times New Roman"/>
          <w:color w:themeColor="text1" w:val="000000"/>
          <w:szCs w:val="24"/>
        </w:rPr>
        <w:t>Menganalisis karakteristik dan kebutuhan belajar mahasiswa Pendidikan Bahasa dan Sastra Indonesia dalam pengembangan keterampilan berbicara berbasis metakognitif.</w:t>
      </w:r>
    </w:p>
    <w:p>
      <w:pPr>
        <w:pStyle w:val="ListParagraph"/>
        <w:numPr>
          <w:ilvl w:val="0"/>
          <w:numId w:val="2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Merancang media web </w:t>
      </w:r>
      <w:r>
        <w:rPr>
          <w:rFonts w:eastAsia="Times New Roman" w:cs="Times New Roman"/>
          <w:i/>
          <w:iCs/>
          <w:color w:themeColor="text1" w:val="000000"/>
          <w:szCs w:val="24"/>
        </w:rPr>
        <w:t xml:space="preserve">microlearning </w:t>
      </w:r>
      <w:r>
        <w:rPr>
          <w:rFonts w:eastAsia="Times New Roman" w:cs="Times New Roman"/>
          <w:color w:themeColor="text1" w:val="000000"/>
          <w:szCs w:val="24"/>
        </w:rPr>
        <w:t>berbasis Teknik Feynman yang sesuai untuk meningkatkan kemampuan metakognitif dalam keterampilan berbicara mahasiswa.</w:t>
      </w:r>
    </w:p>
    <w:p>
      <w:pPr>
        <w:pStyle w:val="ListParagraph"/>
        <w:numPr>
          <w:ilvl w:val="0"/>
          <w:numId w:val="2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Mengembangkan dan mengimplementasikan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dalam pembelajaran keterampilan berbicara di perguruan tinggi.</w:t>
      </w:r>
    </w:p>
    <w:p>
      <w:pPr>
        <w:pStyle w:val="ListParagraph"/>
        <w:numPr>
          <w:ilvl w:val="0"/>
          <w:numId w:val="2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Mengevaluasi kelayakan media web microlearning berbasis Teknik Feynman berdasarkan penilaian ahli dan respons pengguna.</w:t>
      </w:r>
    </w:p>
    <w:p>
      <w:pPr>
        <w:pStyle w:val="ListParagraph"/>
        <w:numPr>
          <w:ilvl w:val="0"/>
          <w:numId w:val="26"/>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Mengevaluasi efektivitas media web microlearning berbasis Teknik Feynman dalam meningkatkan kemampuan metakognitif dan keterampilan berbicara mahasiswa.</w:t>
      </w:r>
    </w:p>
    <w:p>
      <w:pPr>
        <w:pStyle w:val="ListParagraph"/>
        <w:spacing w:lineRule="auto" w:line="480" w:before="0" w:after="0"/>
        <w:ind w:start="786"/>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Normal"/>
        <w:numPr>
          <w:ilvl w:val="0"/>
          <w:numId w:val="24"/>
        </w:numPr>
        <w:pBdr/>
        <w:tabs>
          <w:tab w:val="clear" w:pos="720"/>
          <w:tab w:val="left" w:pos="426" w:leader="none"/>
          <w:tab w:val="left" w:pos="7371" w:leader="none"/>
        </w:tabs>
        <w:spacing w:lineRule="auto" w:line="480" w:before="0" w:after="0"/>
        <w:ind w:hanging="0" w:start="0"/>
        <w:outlineLvl w:val="1"/>
        <w:rPr>
          <w:rFonts w:eastAsia="Times New Roman" w:cs="Times New Roman"/>
          <w:b/>
          <w:color w:val="000000"/>
          <w:szCs w:val="24"/>
        </w:rPr>
      </w:pPr>
      <w:bookmarkStart w:id="8" w:name="_Toc233360714"/>
      <w:r>
        <w:rPr>
          <w:rFonts w:eastAsia="Times New Roman" w:cs="Times New Roman"/>
          <w:b/>
          <w:color w:val="000000"/>
          <w:szCs w:val="24"/>
        </w:rPr>
        <w:t>Kegunaan Hasil Penelitian</w:t>
      </w:r>
      <w:bookmarkEnd w:id="8"/>
    </w:p>
    <w:p>
      <w:pPr>
        <w:pStyle w:val="Normal"/>
        <w:tabs>
          <w:tab w:val="clear" w:pos="720"/>
          <w:tab w:val="left" w:pos="4395" w:leader="none"/>
          <w:tab w:val="left" w:pos="7371" w:leader="none"/>
        </w:tabs>
        <w:spacing w:lineRule="auto" w:line="480" w:before="0" w:after="0"/>
        <w:rPr>
          <w:rFonts w:eastAsia="Times New Roman" w:cs="Times New Roman"/>
          <w:szCs w:val="24"/>
        </w:rPr>
      </w:pPr>
      <w:r>
        <w:rPr>
          <w:rFonts w:eastAsia="Times New Roman" w:cs="Times New Roman"/>
          <w:szCs w:val="24"/>
        </w:rPr>
        <w:t>Hasil penelitian ini diharapkan memiliki kegunaan baik secara teoretis maupun praktis:</w:t>
      </w:r>
    </w:p>
    <w:p>
      <w:pPr>
        <w:pStyle w:val="Normal"/>
        <w:numPr>
          <w:ilvl w:val="0"/>
          <w:numId w:val="27"/>
        </w:numPr>
        <w:tabs>
          <w:tab w:val="clear" w:pos="720"/>
          <w:tab w:val="left" w:pos="4395" w:leader="none"/>
          <w:tab w:val="left" w:pos="7371" w:leader="none"/>
        </w:tabs>
        <w:spacing w:lineRule="auto" w:line="480" w:before="0" w:after="0"/>
        <w:jc w:val="both"/>
        <w:rPr>
          <w:rFonts w:eastAsia="Times New Roman" w:cs="Times New Roman"/>
          <w:szCs w:val="24"/>
        </w:rPr>
      </w:pPr>
      <w:r>
        <w:rPr>
          <w:rFonts w:eastAsia="Times New Roman" w:cs="Times New Roman"/>
          <w:b/>
          <w:bCs/>
        </w:rPr>
        <w:t>Kegunaan Teoretis</w:t>
      </w:r>
    </w:p>
    <w:p>
      <w:pPr>
        <w:pStyle w:val="Normal"/>
        <w:tabs>
          <w:tab w:val="clear" w:pos="720"/>
          <w:tab w:val="left" w:pos="4395" w:leader="none"/>
          <w:tab w:val="left" w:pos="7371" w:leader="none"/>
        </w:tabs>
        <w:spacing w:lineRule="auto" w:line="480" w:before="0" w:after="0"/>
        <w:ind w:start="720"/>
        <w:jc w:val="both"/>
        <w:rPr/>
      </w:pPr>
      <w:r>
        <w:rPr>
          <w:rFonts w:eastAsia="Times New Roman" w:cs="Times New Roman"/>
        </w:rPr>
        <w:t>Penelitian ini memberikan kontribusi pada pengembangan teori dalam bidang pendidikan bahasa, khususnya dalam tiga aspek. Pertama, pada aspek produk, penelitian ini menghasilkan media web microlearning berbasis Teknik Feynman yang secara sistematis mengintegrasikan tahapan refleksi metakognitif ke dalam latihan keterampilan berbicara. Kedua, pada aspek model konseptual, penelitian ini menawarkan model integratif yang menempatkan kemampuan metakognitif sebagai konstruk proses yang menjelaskan bagaimana mahasiswa membangun keterampilan berbicara melalui aktivitas belajar berbasis teknik Feynman. Ketiga, pada aspek model desain, penelitian ini menghasilkan panduan implementasi pembelajaran berbasis kerangka ASSURE yang dapat menjadi acuan bagi pengembangan media serupa di masa mendatang.</w:t>
      </w:r>
    </w:p>
    <w:p>
      <w:pPr>
        <w:pStyle w:val="Normal"/>
        <w:tabs>
          <w:tab w:val="clear" w:pos="720"/>
          <w:tab w:val="left" w:pos="4395" w:leader="none"/>
          <w:tab w:val="left" w:pos="7371" w:leader="none"/>
        </w:tabs>
        <w:spacing w:lineRule="auto" w:line="480" w:before="0" w:after="0"/>
        <w:ind w:start="720"/>
        <w:jc w:val="both"/>
        <w:rPr>
          <w:rFonts w:eastAsia="Times New Roman" w:cs="Times New Roman"/>
          <w:szCs w:val="24"/>
        </w:rPr>
      </w:pPr>
      <w:r>
        <w:rPr>
          <w:rFonts w:eastAsia="Times New Roman" w:cs="Times New Roman"/>
          <w:szCs w:val="24"/>
        </w:rPr>
      </w:r>
    </w:p>
    <w:p>
      <w:pPr>
        <w:pStyle w:val="Normal"/>
        <w:numPr>
          <w:ilvl w:val="0"/>
          <w:numId w:val="27"/>
        </w:numPr>
        <w:pBdr/>
        <w:tabs>
          <w:tab w:val="clear" w:pos="720"/>
          <w:tab w:val="left" w:pos="4395" w:leader="none"/>
          <w:tab w:val="left" w:pos="7371" w:leader="none"/>
        </w:tabs>
        <w:spacing w:lineRule="auto" w:line="480" w:before="0" w:after="0"/>
        <w:jc w:val="both"/>
        <w:rPr>
          <w:rFonts w:eastAsia="Times New Roman" w:cs="Times New Roman"/>
          <w:color w:val="000000"/>
          <w:szCs w:val="24"/>
        </w:rPr>
      </w:pPr>
      <w:r>
        <w:rPr>
          <w:rFonts w:eastAsia="Times New Roman" w:cs="Times New Roman"/>
          <w:b/>
          <w:bCs/>
          <w:color w:themeColor="text1" w:val="000000"/>
        </w:rPr>
        <w:t>Kegunaan Praktis</w:t>
      </w:r>
    </w:p>
    <w:p>
      <w:pPr>
        <w:pStyle w:val="Normal"/>
        <w:numPr>
          <w:ilvl w:val="1"/>
          <w:numId w:val="27"/>
        </w:numPr>
        <w:pBdr/>
        <w:tabs>
          <w:tab w:val="clear" w:pos="720"/>
          <w:tab w:val="left" w:pos="4395" w:leader="none"/>
          <w:tab w:val="left" w:pos="7371" w:leader="none"/>
        </w:tabs>
        <w:spacing w:lineRule="auto" w:line="480" w:before="0" w:after="0"/>
        <w:jc w:val="both"/>
        <w:rPr>
          <w:rFonts w:eastAsia="Times New Roman" w:cs="Times New Roman"/>
          <w:b/>
          <w:color w:val="000000"/>
          <w:szCs w:val="24"/>
        </w:rPr>
      </w:pPr>
      <w:r>
        <w:rPr>
          <w:rFonts w:eastAsia="Times New Roman" w:cs="Times New Roman"/>
          <w:b/>
          <w:bCs/>
          <w:color w:themeColor="text1" w:val="000000"/>
        </w:rPr>
        <w:t>Bagi Dosen dan Pendidik</w:t>
      </w:r>
    </w:p>
    <w:p>
      <w:pPr>
        <w:pStyle w:val="Normal"/>
        <w:tabs>
          <w:tab w:val="clear" w:pos="720"/>
          <w:tab w:val="left" w:pos="4395" w:leader="none"/>
          <w:tab w:val="left" w:pos="7371" w:leader="none"/>
        </w:tabs>
        <w:spacing w:lineRule="auto" w:line="480" w:before="0" w:after="0"/>
        <w:ind w:start="1080"/>
        <w:jc w:val="both"/>
        <w:rPr/>
      </w:pPr>
      <w:r>
        <w:rPr>
          <w:rFonts w:eastAsia="Times New Roman" w:cs="Times New Roman"/>
        </w:rPr>
        <w:t>Penelitian ini menawarkan alternatif strategi dan media pembelajaran yang dapat digunakan untuk meningkatkan keterampilan berbicara mahasiswa secara lebih terstruktur dan reflektif. Media web microlearning berbasis Teknik Feynman dapat menjadi alat bantu yang efektif dalam memfasilitasi proses pembelajaran yang mengembangkan keterampilan berbicara dan metakognitif secara simultan.</w:t>
      </w:r>
    </w:p>
    <w:p>
      <w:pPr>
        <w:pStyle w:val="Normal"/>
        <w:tabs>
          <w:tab w:val="clear" w:pos="720"/>
          <w:tab w:val="left" w:pos="4395" w:leader="none"/>
          <w:tab w:val="left" w:pos="7371" w:leader="none"/>
        </w:tabs>
        <w:spacing w:lineRule="auto" w:line="480" w:before="0" w:after="0"/>
        <w:ind w:start="1080"/>
        <w:jc w:val="both"/>
        <w:rPr>
          <w:rFonts w:eastAsia="Times New Roman" w:cs="Times New Roman"/>
          <w:szCs w:val="24"/>
        </w:rPr>
      </w:pPr>
      <w:r>
        <w:rPr>
          <w:rFonts w:eastAsia="Times New Roman" w:cs="Times New Roman"/>
          <w:szCs w:val="24"/>
        </w:rPr>
      </w:r>
    </w:p>
    <w:p>
      <w:pPr>
        <w:pStyle w:val="Normal"/>
        <w:numPr>
          <w:ilvl w:val="1"/>
          <w:numId w:val="27"/>
        </w:numPr>
        <w:pBdr/>
        <w:tabs>
          <w:tab w:val="clear" w:pos="720"/>
          <w:tab w:val="left" w:pos="4395" w:leader="none"/>
          <w:tab w:val="left" w:pos="7371" w:leader="none"/>
        </w:tabs>
        <w:spacing w:lineRule="auto" w:line="480" w:before="0" w:after="0"/>
        <w:jc w:val="both"/>
        <w:rPr>
          <w:rFonts w:eastAsia="Times New Roman" w:cs="Times New Roman"/>
          <w:b/>
          <w:color w:val="000000"/>
          <w:szCs w:val="24"/>
        </w:rPr>
      </w:pPr>
      <w:r>
        <w:rPr>
          <w:rFonts w:eastAsia="Times New Roman" w:cs="Times New Roman"/>
          <w:b/>
          <w:bCs/>
          <w:color w:themeColor="text1" w:val="000000"/>
        </w:rPr>
        <w:t>Bagi Mahasiswa</w:t>
      </w:r>
    </w:p>
    <w:p>
      <w:pPr>
        <w:pStyle w:val="Normal"/>
        <w:tabs>
          <w:tab w:val="clear" w:pos="720"/>
          <w:tab w:val="left" w:pos="4395" w:leader="none"/>
          <w:tab w:val="left" w:pos="7371" w:leader="none"/>
        </w:tabs>
        <w:spacing w:lineRule="auto" w:line="480" w:before="0" w:after="0"/>
        <w:ind w:start="1080"/>
        <w:jc w:val="both"/>
        <w:rPr/>
      </w:pPr>
      <w:r>
        <w:rPr>
          <w:rFonts w:eastAsia="Times New Roman" w:cs="Times New Roman"/>
        </w:rPr>
        <w:t>Mahasiswa dapat memanfaatkan media pembelajaran ini untuk melatih kemampuan mengorganisasi ide, menyampaikan argumen dengan jelas, dan menerapkan strategi komunikasi yang efektif. Selain itu, melalui tahapan Teknik Feynman yang terintegrasi, mahasiswa juga terlatih menyusun penjelasan, menyampaikan gagasan dengan bahasa sendiri, memantau respons audiens, dan merefleksikan hasil berbicaranya secara mandiri.</w:t>
      </w:r>
    </w:p>
    <w:p>
      <w:pPr>
        <w:pStyle w:val="Normal"/>
        <w:tabs>
          <w:tab w:val="clear" w:pos="720"/>
          <w:tab w:val="left" w:pos="4395" w:leader="none"/>
          <w:tab w:val="left" w:pos="7371" w:leader="none"/>
        </w:tabs>
        <w:spacing w:lineRule="auto" w:line="480" w:before="0" w:after="0"/>
        <w:ind w:start="1080"/>
        <w:jc w:val="both"/>
        <w:rPr>
          <w:rFonts w:eastAsia="Times New Roman" w:cs="Times New Roman"/>
        </w:rPr>
      </w:pPr>
      <w:r>
        <w:rPr>
          <w:rFonts w:eastAsia="Times New Roman" w:cs="Times New Roman"/>
        </w:rPr>
      </w:r>
    </w:p>
    <w:p>
      <w:pPr>
        <w:pStyle w:val="Normal"/>
        <w:tabs>
          <w:tab w:val="clear" w:pos="720"/>
          <w:tab w:val="left" w:pos="4395" w:leader="none"/>
          <w:tab w:val="left" w:pos="7371" w:leader="none"/>
        </w:tabs>
        <w:spacing w:lineRule="auto" w:line="480" w:before="0" w:after="0"/>
        <w:ind w:start="1080"/>
        <w:jc w:val="both"/>
        <w:rPr>
          <w:rFonts w:eastAsia="Times New Roman" w:cs="Times New Roman"/>
          <w:szCs w:val="24"/>
        </w:rPr>
      </w:pPr>
      <w:r>
        <w:rPr>
          <w:rFonts w:eastAsia="Times New Roman" w:cs="Times New Roman"/>
        </w:rPr>
        <w:t xml:space="preserve">c. </w:t>
      </w:r>
      <w:r>
        <w:rPr>
          <w:rFonts w:eastAsia="Times New Roman" w:cs="Times New Roman"/>
          <w:b/>
          <w:bCs/>
        </w:rPr>
        <w:t>Bagi Institusi Pendidikan</w:t>
      </w:r>
    </w:p>
    <w:p>
      <w:pPr>
        <w:pStyle w:val="Normal"/>
        <w:tabs>
          <w:tab w:val="clear" w:pos="720"/>
          <w:tab w:val="left" w:pos="4395" w:leader="none"/>
          <w:tab w:val="left" w:pos="7371" w:leader="none"/>
        </w:tabs>
        <w:spacing w:lineRule="auto" w:line="480" w:before="0" w:after="0"/>
        <w:ind w:start="1080"/>
        <w:jc w:val="both"/>
        <w:rPr/>
      </w:pPr>
      <w:r>
        <w:rPr>
          <w:rFonts w:eastAsia="Times New Roman" w:cs="Times New Roman"/>
        </w:rPr>
        <w:t>Hasil penelitian ini dapat menjadi rekomendasi bagi institusi pendidikan tinggi dalam mengintegrasikan teknologi pembelajaran berbasis web sebagai bagian dari upaya peningkatan kualitas pembelajaran, khususnya yang sejalan dengan visi Kampus Berdampak dan prinsip Pembelajaran Mendalam.</w:t>
      </w:r>
    </w:p>
    <w:p>
      <w:pPr>
        <w:pStyle w:val="Normal"/>
        <w:tabs>
          <w:tab w:val="clear" w:pos="720"/>
          <w:tab w:val="left" w:pos="4395" w:leader="none"/>
          <w:tab w:val="left" w:pos="7371" w:leader="none"/>
        </w:tabs>
        <w:spacing w:lineRule="auto" w:line="480" w:before="0" w:after="0"/>
        <w:ind w:start="1080"/>
        <w:jc w:val="both"/>
        <w:rPr>
          <w:rFonts w:eastAsia="Times New Roman" w:cs="Times New Roman"/>
          <w:b/>
          <w:bCs/>
        </w:rPr>
      </w:pPr>
      <w:r>
        <w:rPr/>
        <w:br/>
      </w:r>
      <w:r>
        <w:rPr>
          <w:rFonts w:eastAsia="Times New Roman" w:cs="Times New Roman"/>
        </w:rPr>
        <w:t xml:space="preserve">d. </w:t>
      </w:r>
      <w:r>
        <w:rPr>
          <w:rFonts w:eastAsia="Times New Roman" w:cs="Times New Roman"/>
          <w:b/>
          <w:bCs/>
        </w:rPr>
        <w:t>Bagi Peneliti Selanjutnya</w:t>
      </w:r>
    </w:p>
    <w:p>
      <w:pPr>
        <w:pStyle w:val="Normal"/>
        <w:tabs>
          <w:tab w:val="clear" w:pos="720"/>
          <w:tab w:val="left" w:pos="4395" w:leader="none"/>
          <w:tab w:val="left" w:pos="7371" w:leader="none"/>
        </w:tabs>
        <w:spacing w:lineRule="auto" w:line="480" w:before="0" w:after="0"/>
        <w:ind w:start="1080"/>
        <w:jc w:val="both"/>
        <w:rPr/>
      </w:pPr>
      <w:r>
        <w:rPr>
          <w:rFonts w:eastAsia="Times New Roman" w:cs="Times New Roman"/>
        </w:rPr>
        <w:t>Penelitian ini dapat menjadi referensi bagi peneliti lain yang ingin mengembangkan media pembelajaran berbasis teknologi, mengeksplorasi lebih lanjut peran metakognitif sebagai konstruk proses dalam pembelajaran keterampilan berbahasa, atau menerapkan model serupa dalam konteks mata kuliah dan jenjang pendidikan yang berbeda.</w:t>
      </w:r>
    </w:p>
    <w:p>
      <w:pPr>
        <w:pStyle w:val="Normal"/>
        <w:tabs>
          <w:tab w:val="clear" w:pos="720"/>
          <w:tab w:val="left" w:pos="4395" w:leader="none"/>
          <w:tab w:val="left" w:pos="7371" w:leader="none"/>
        </w:tabs>
        <w:spacing w:lineRule="auto" w:line="480" w:before="0" w:after="0"/>
        <w:ind w:start="1080"/>
        <w:jc w:val="both"/>
        <w:rPr>
          <w:rFonts w:eastAsia="Times New Roman" w:cs="Times New Roman"/>
        </w:rPr>
      </w:pPr>
      <w:r>
        <w:rPr>
          <w:rFonts w:eastAsia="Times New Roman" w:cs="Times New Roman"/>
        </w:rPr>
      </w:r>
    </w:p>
    <w:p>
      <w:pPr>
        <w:pStyle w:val="Normal"/>
        <w:tabs>
          <w:tab w:val="clear" w:pos="720"/>
          <w:tab w:val="left" w:pos="4395" w:leader="none"/>
          <w:tab w:val="left" w:pos="7371" w:leader="none"/>
        </w:tabs>
        <w:spacing w:lineRule="auto" w:line="480" w:before="0" w:after="0"/>
        <w:jc w:val="both"/>
        <w:rPr>
          <w:rFonts w:eastAsia="Times New Roman" w:cs="Times New Roman"/>
          <w:szCs w:val="24"/>
        </w:rPr>
      </w:pPr>
      <w:r>
        <w:rPr>
          <w:rFonts w:eastAsia="Times New Roman" w:cs="Times New Roman"/>
          <w:szCs w:val="24"/>
        </w:rPr>
        <w:t>Kegunaan hasil penelitian ini diharapkan mampu memberikan dampak yang signifikan dalam meningkatkan kualitas pembelajaran, khususnya dalam bidang pendidikan bahasa Indonesia.</w:t>
      </w:r>
    </w:p>
    <w:p>
      <w:pPr>
        <w:pStyle w:val="Normal"/>
        <w:spacing w:before="0" w:after="0"/>
        <w:rPr>
          <w:rFonts w:eastAsia="Times New Roman" w:cs="Times New Roman"/>
          <w:szCs w:val="24"/>
        </w:rPr>
      </w:pPr>
      <w:r>
        <w:rPr>
          <w:rFonts w:eastAsia="Times New Roman" w:cs="Times New Roman"/>
          <w:szCs w:val="24"/>
        </w:rPr>
      </w:r>
    </w:p>
    <w:p>
      <w:r>
        <w:br w:type="page"/>
      </w:r>
    </w:p>
    <w:sectPr>
      <w:type w:val="continuous"/>
      <w:pgSz w:w="11906" w:h="16838"/>
      <w:pgMar w:left="2268" w:right="1134" w:gutter="0" w:header="709" w:top="2268" w:footer="709" w:bottom="1701"/>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