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395" w:leader="none"/>
          <w:tab w:val="left" w:pos="7371" w:leader="none"/>
        </w:tabs>
        <w:jc w:val="center"/>
        <w:rPr>
          <w:rFonts w:eastAsia="Times New Roman" w:cs="Times New Roman"/>
        </w:rPr>
      </w:pPr>
      <w:bookmarkStart w:id="305" w:name="_Toc233360819"/>
      <w:r>
        <w:rPr>
          <w:rFonts w:eastAsia="Times New Roman" w:cs="Times New Roman"/>
        </w:rPr>
        <w:t>LAMPIRAN B</w:t>
      </w:r>
      <w:bookmarkEnd w:id="305"/>
    </w:p>
    <w:p>
      <w:pPr>
        <w:pStyle w:val="Normal"/>
        <w:tabs>
          <w:tab w:val="clear" w:pos="720"/>
          <w:tab w:val="left" w:pos="4395" w:leader="none"/>
          <w:tab w:val="left" w:pos="7371" w:leader="none"/>
        </w:tabs>
        <w:spacing w:before="0" w:after="100"/>
        <w:jc w:val="center"/>
        <w:rPr>
          <w:rFonts w:eastAsia="Times New Roman" w:cs="Times New Roman"/>
          <w:b/>
          <w:bCs/>
          <w:szCs w:val="24"/>
        </w:rPr>
      </w:pPr>
      <w:r>
        <w:rPr>
          <w:rFonts w:eastAsia="Times New Roman" w:cs="Times New Roman"/>
          <w:b/>
          <w:bCs/>
          <w:szCs w:val="24"/>
        </w:rPr>
        <w:t>DATA DAN PENGOLAHANNYA</w:t>
      </w:r>
    </w:p>
    <w:p>
      <w:pPr>
        <w:pStyle w:val="Normal"/>
        <w:rPr>
          <w:rFonts w:eastAsia="Times New Roman" w:cs="Times New Roman"/>
          <w:b/>
          <w:bCs/>
          <w:szCs w:val="24"/>
        </w:rPr>
      </w:pPr>
      <w:r>
        <w:rPr>
          <w:rFonts w:eastAsia="Times New Roman" w:cs="Times New Roman"/>
          <w:b/>
          <w:bCs/>
          <w:szCs w:val="24"/>
        </w:rPr>
      </w:r>
      <w:r>
        <w:br w:type="page"/>
      </w: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szCs w:val="24"/>
        </w:rPr>
      </w:pPr>
      <w:bookmarkStart w:id="306" w:name="_Toc233360820"/>
      <w:r>
        <w:rPr>
          <w:rFonts w:eastAsia="Times New Roman" w:cs="Times New Roman"/>
          <w:b/>
          <w:bCs/>
          <w:szCs w:val="24"/>
        </w:rPr>
        <w:t xml:space="preserve">Lampiran B1: </w:t>
      </w:r>
      <w:r>
        <w:rPr>
          <w:rFonts w:eastAsia="Times New Roman" w:cs="Times New Roman"/>
          <w:szCs w:val="24"/>
        </w:rPr>
        <w:t>Data Variabel Terikat</w:t>
      </w:r>
      <w:bookmarkEnd w:id="306"/>
    </w:p>
    <w:p>
      <w:pPr>
        <w:pStyle w:val="Normal"/>
        <w:jc w:val="center"/>
        <w:rPr/>
      </w:pPr>
      <w:r>
        <w:rPr>
          <w:rFonts w:eastAsia="Cambria" w:ascii="Cambria" w:hAnsi="Cambria"/>
          <w:b/>
          <w:sz w:val="28"/>
        </w:rPr>
        <w:t>Rekapitulasi Pelaksanaan Tes Keterampilan Berbicara</w:t>
      </w:r>
    </w:p>
    <w:tbl>
      <w:tblPr>
        <w:tblStyle w:val="TableGrid"/>
        <w:tblW w:w="5000" w:type="pct"/>
        <w:jc w:val="center"/>
        <w:tblInd w:w="0" w:type="dxa"/>
        <w:tblLayout w:type="fixed"/>
        <w:tblCellMar>
          <w:top w:w="50" w:type="dxa"/>
          <w:start w:w="60" w:type="dxa"/>
          <w:bottom w:w="50" w:type="dxa"/>
          <w:end w:w="60" w:type="dxa"/>
        </w:tblCellMar>
        <w:tblLook w:noHBand="0" w:noVBand="1" w:firstColumn="1" w:lastRow="0" w:lastColumn="0" w:firstRow="1" w:val="04a0"/>
      </w:tblPr>
      <w:tblGrid>
        <w:gridCol w:w="4296"/>
        <w:gridCol w:w="4208"/>
      </w:tblGrid>
      <w:tr>
        <w:trPr/>
        <w:tc>
          <w:tcPr>
            <w:tcW w:w="4296"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7"/>
                <w:szCs w:val="22"/>
                <w:lang w:val="id-ID" w:eastAsia="id-ID" w:bidi="ar-SA"/>
              </w:rPr>
              <w:t>Sumber data: field test keterampilan berbicara, pasangan pretes-postes berdasarkan kode subjek.</w:t>
              <w:br/>
              <w:t>Rumus skor akhir: (jumlah lima aspek rubrik / 75) x 100.</w:t>
              <w:br/>
              <w:t>Gain = postes - pretes. N-Gain = (postes - pretes) / (100 - pretes).</w:t>
              <w:br/>
              <w:t>Kategori N-Gain: tinggi &gt;= 0,70; sedang 0,30-0,69; rendah &lt; 0,30.</w:t>
            </w:r>
          </w:p>
        </w:tc>
        <w:tc>
          <w:tcPr>
            <w:tcW w:w="420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7"/>
                <w:szCs w:val="22"/>
                <w:lang w:val="id-ID" w:eastAsia="id-ID" w:bidi="ar-SA"/>
              </w:rPr>
              <w:t>Jumlah subjek: 77 mahasiswa</w:t>
              <w:br/>
              <w:t>Rerata pretes: 71,01</w:t>
              <w:br/>
              <w:t>Rerata postes: 81,14</w:t>
              <w:br/>
              <w:t>Rerata gain: 10,13</w:t>
              <w:br/>
              <w:t>Rerata N-Gain: 0,331 (Sedang)</w:t>
            </w:r>
          </w:p>
        </w:tc>
      </w:tr>
    </w:tbl>
    <w:p>
      <w:pPr>
        <w:pStyle w:val="Normal"/>
        <w:spacing w:before="0" w:after="40"/>
        <w:rPr/>
      </w:pPr>
      <w:r>
        <w:rPr>
          <w:rFonts w:eastAsia="Cambria" w:ascii="Cambria" w:hAnsi="Cambria"/>
          <w:b/>
        </w:rPr>
        <w:t>Ringkasan Per Kelompok</w:t>
      </w:r>
    </w:p>
    <w:tbl>
      <w:tblPr>
        <w:tblStyle w:val="TableGrid"/>
        <w:tblW w:w="5000" w:type="pct"/>
        <w:jc w:val="center"/>
        <w:tblInd w:w="0" w:type="dxa"/>
        <w:tblLayout w:type="fixed"/>
        <w:tblCellMar>
          <w:top w:w="50" w:type="dxa"/>
          <w:start w:w="60" w:type="dxa"/>
          <w:bottom w:w="50" w:type="dxa"/>
          <w:end w:w="60" w:type="dxa"/>
        </w:tblCellMar>
        <w:tblLook w:noHBand="0" w:noVBand="1" w:firstColumn="1" w:lastRow="0" w:lastColumn="0" w:firstRow="1" w:val="04a0"/>
      </w:tblPr>
      <w:tblGrid>
        <w:gridCol w:w="1417"/>
        <w:gridCol w:w="1001"/>
        <w:gridCol w:w="1217"/>
        <w:gridCol w:w="1219"/>
        <w:gridCol w:w="1147"/>
        <w:gridCol w:w="1205"/>
        <w:gridCol w:w="1298"/>
      </w:tblGrid>
      <w:tr>
        <w:trPr/>
        <w:tc>
          <w:tcPr>
            <w:tcW w:w="1417"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Kelompok</w:t>
            </w:r>
          </w:p>
        </w:tc>
        <w:tc>
          <w:tcPr>
            <w:tcW w:w="1001"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n</w:t>
            </w:r>
          </w:p>
        </w:tc>
        <w:tc>
          <w:tcPr>
            <w:tcW w:w="1217"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Pretes, Mean ? SD</w:t>
            </w:r>
          </w:p>
        </w:tc>
        <w:tc>
          <w:tcPr>
            <w:tcW w:w="1219"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Postes, Mean ? SD</w:t>
            </w:r>
          </w:p>
        </w:tc>
        <w:tc>
          <w:tcPr>
            <w:tcW w:w="1147"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Gain, Mean ? SD</w:t>
            </w:r>
          </w:p>
        </w:tc>
        <w:tc>
          <w:tcPr>
            <w:tcW w:w="1205"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Rerata N-Gain</w:t>
            </w:r>
          </w:p>
        </w:tc>
        <w:tc>
          <w:tcPr>
            <w:tcW w:w="1298"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6"/>
                <w:szCs w:val="22"/>
                <w:lang w:val="id-ID" w:eastAsia="id-ID" w:bidi="ar-SA"/>
              </w:rPr>
              <w:t>Kategori</w:t>
            </w:r>
          </w:p>
        </w:tc>
      </w:tr>
      <w:tr>
        <w:trPr/>
        <w:tc>
          <w:tcPr>
            <w:tcW w:w="1417"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Eksperimen</w:t>
            </w:r>
          </w:p>
        </w:tc>
        <w:tc>
          <w:tcPr>
            <w:tcW w:w="1001"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40</w:t>
            </w:r>
          </w:p>
        </w:tc>
        <w:tc>
          <w:tcPr>
            <w:tcW w:w="1217"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70,84 ? 5,55</w:t>
            </w:r>
          </w:p>
        </w:tc>
        <w:tc>
          <w:tcPr>
            <w:tcW w:w="1219"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82,70 ? 5,18</w:t>
            </w:r>
          </w:p>
        </w:tc>
        <w:tc>
          <w:tcPr>
            <w:tcW w:w="1147"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11,86 ? 6,71</w:t>
            </w:r>
          </w:p>
        </w:tc>
        <w:tc>
          <w:tcPr>
            <w:tcW w:w="120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0,375</w:t>
            </w:r>
          </w:p>
        </w:tc>
        <w:tc>
          <w:tcPr>
            <w:tcW w:w="129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Sedang</w:t>
            </w:r>
          </w:p>
        </w:tc>
      </w:tr>
      <w:tr>
        <w:trPr/>
        <w:tc>
          <w:tcPr>
            <w:tcW w:w="1417"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Kontrol</w:t>
            </w:r>
          </w:p>
        </w:tc>
        <w:tc>
          <w:tcPr>
            <w:tcW w:w="1001"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37</w:t>
            </w:r>
          </w:p>
        </w:tc>
        <w:tc>
          <w:tcPr>
            <w:tcW w:w="1217"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71,21 ? 1,84</w:t>
            </w:r>
          </w:p>
        </w:tc>
        <w:tc>
          <w:tcPr>
            <w:tcW w:w="1219"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79,46 ? 3,41</w:t>
            </w:r>
          </w:p>
        </w:tc>
        <w:tc>
          <w:tcPr>
            <w:tcW w:w="1147"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8,25 ? 3,69</w:t>
            </w:r>
          </w:p>
        </w:tc>
        <w:tc>
          <w:tcPr>
            <w:tcW w:w="120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0,284</w:t>
            </w:r>
          </w:p>
        </w:tc>
        <w:tc>
          <w:tcPr>
            <w:tcW w:w="129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Rendah</w:t>
            </w:r>
          </w:p>
        </w:tc>
      </w:tr>
    </w:tbl>
    <w:p>
      <w:pPr>
        <w:pStyle w:val="Normal"/>
        <w:spacing w:before="80" w:after="40"/>
        <w:rPr/>
      </w:pPr>
      <w:r>
        <w:rPr>
          <w:rFonts w:eastAsia="Cambria" w:ascii="Cambria" w:hAnsi="Cambria"/>
          <w:b/>
        </w:rPr>
        <w:t>Data Rinci dan Perhitungan N-Gain</w:t>
      </w:r>
    </w:p>
    <w:tbl>
      <w:tblPr>
        <w:tblW w:w="5000" w:type="pct"/>
        <w:jc w:val="center"/>
        <w:tblInd w:w="0" w:type="dxa"/>
        <w:tblLayout w:type="fixed"/>
        <w:tblCellMar>
          <w:top w:w="0" w:type="dxa"/>
          <w:start w:w="108" w:type="dxa"/>
          <w:bottom w:w="0" w:type="dxa"/>
          <w:end w:w="108" w:type="dxa"/>
        </w:tblCellMar>
        <w:tblLook w:noHBand="0" w:noVBand="1" w:firstColumn="1" w:lastRow="0" w:lastColumn="0" w:firstRow="1" w:val="04a0"/>
      </w:tblPr>
      <w:tblGrid>
        <w:gridCol w:w="658"/>
        <w:gridCol w:w="1573"/>
        <w:gridCol w:w="1429"/>
        <w:gridCol w:w="838"/>
        <w:gridCol w:w="839"/>
        <w:gridCol w:w="918"/>
        <w:gridCol w:w="1053"/>
        <w:gridCol w:w="1196"/>
      </w:tblGrid>
      <w:tr>
        <w:trPr>
          <w:tblHeader w:val="true"/>
        </w:trPr>
        <w:tc>
          <w:tcPr>
            <w:tcW w:w="658"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No.</w:t>
            </w:r>
          </w:p>
        </w:tc>
        <w:tc>
          <w:tcPr>
            <w:tcW w:w="1573"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kode_subjek</w:t>
            </w:r>
          </w:p>
        </w:tc>
        <w:tc>
          <w:tcPr>
            <w:tcW w:w="1429"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Kelompok</w:t>
            </w:r>
          </w:p>
        </w:tc>
        <w:tc>
          <w:tcPr>
            <w:tcW w:w="838"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Pre</w:t>
            </w:r>
          </w:p>
        </w:tc>
        <w:tc>
          <w:tcPr>
            <w:tcW w:w="839"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Post</w:t>
            </w:r>
          </w:p>
        </w:tc>
        <w:tc>
          <w:tcPr>
            <w:tcW w:w="918"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Gain</w:t>
            </w:r>
          </w:p>
        </w:tc>
        <w:tc>
          <w:tcPr>
            <w:tcW w:w="1053"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N-Gain</w:t>
            </w:r>
          </w:p>
        </w:tc>
        <w:tc>
          <w:tcPr>
            <w:tcW w:w="1196" w:type="dxa"/>
            <w:tcBorders>
              <w:top w:val="single" w:sz="6" w:space="0" w:color="000000"/>
              <w:start w:val="single" w:sz="6" w:space="0" w:color="000000"/>
              <w:bottom w:val="single" w:sz="6" w:space="0" w:color="000000"/>
              <w:end w:val="single" w:sz="6" w:space="0" w:color="000000"/>
            </w:tcBorders>
            <w:shd w:color="auto" w:fill="D9EAF7" w:val="clear"/>
            <w:vAlign w:val="center"/>
          </w:tcPr>
          <w:p>
            <w:pPr>
              <w:pStyle w:val="Normal"/>
              <w:spacing w:before="0" w:after="160"/>
              <w:jc w:val="center"/>
              <w:rPr/>
            </w:pPr>
            <w:r>
              <w:rPr>
                <w:b/>
                <w:sz w:val="16"/>
              </w:rPr>
              <w:t>Kategori</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78,67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0,305</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0,546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76,00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0,143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64,00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17,30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0,481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78,67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0,305</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9,33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0,318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68,00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89,30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21,30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0,666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90,70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24,00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0,721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Tinggi</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E09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9,33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0,318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84,00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0,250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90,70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-10,70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-1,151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17,33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0,591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64,00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0,444</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74,70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84,00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0,368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89,30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17,30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0,618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92,00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20,00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0,714</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Tinggi</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14,70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0,551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E19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60,00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20,00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0,500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0,317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92,00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20,00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0,714</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Tinggi</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17,40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0,567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13,40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0,502</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0,571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85,30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0,475</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17,30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0,590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58,67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21,33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0,516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62,67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10,66</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E29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84,00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10,67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0,400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66,70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0,039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65,30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0,461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49,30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-24,03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-0,901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0,250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61,30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12,00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0,310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0,300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74,67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82,70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0,317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E39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74,67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82,70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0,317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E40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Eksperimen</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68,00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13,33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0,417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0,261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38,67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54,67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0,261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0,261</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84,00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14,67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0,478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82,70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13,37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0,436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11,97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0,390</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84,00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14,67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0,478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6,66</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0,227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K09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41,33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54,67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0,227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78,67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56,00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12,00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10,63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0,362</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85,33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89,33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41,33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57,33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78,67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56,00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68,00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12,00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sz w:val="16"/>
              </w:rPr>
            </w:pPr>
            <w:r>
              <w:rPr>
                <w:sz w:val="16"/>
              </w:rPr>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85,33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89,33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41,33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57,33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0,273</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K19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76,00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0,182</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76,00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0,167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16,03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0,547</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0,226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6,63</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0,226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-3,97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-0,135</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84,00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12,00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0,429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78,67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0,238</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68</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K28</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44,00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50,67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6,67</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0,119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K29</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81,33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70</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K30</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62,67</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73,33</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10,66</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71</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K31</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K32</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53,33</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66,67</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13,34</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0,286</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73</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K33</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69,30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80,00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10,70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0,349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74</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K34</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76,00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82,70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6,70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0,279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75</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K35</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0,189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76</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K36</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77,30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5,30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0,189</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Rendah</w:t>
            </w:r>
          </w:p>
        </w:tc>
      </w:tr>
      <w:tr>
        <w:trPr/>
        <w:tc>
          <w:tcPr>
            <w:tcW w:w="65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77</w:t>
            </w:r>
          </w:p>
        </w:tc>
        <w:tc>
          <w:tcPr>
            <w:tcW w:w="157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K37</w:t>
            </w:r>
          </w:p>
        </w:tc>
        <w:tc>
          <w:tcPr>
            <w:tcW w:w="142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Kontrol</w:t>
            </w:r>
          </w:p>
        </w:tc>
        <w:tc>
          <w:tcPr>
            <w:tcW w:w="83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72,00</w:t>
            </w:r>
          </w:p>
        </w:tc>
        <w:tc>
          <w:tcPr>
            <w:tcW w:w="83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86,70</w:t>
            </w:r>
          </w:p>
        </w:tc>
        <w:tc>
          <w:tcPr>
            <w:tcW w:w="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14,70</w:t>
            </w:r>
          </w:p>
        </w:tc>
        <w:tc>
          <w:tcPr>
            <w:tcW w:w="1053"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0,525</w:t>
            </w:r>
          </w:p>
        </w:tc>
        <w:tc>
          <w:tcPr>
            <w:tcW w:w="1196"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60"/>
              <w:jc w:val="center"/>
              <w:rPr/>
            </w:pPr>
            <w:r>
              <w:rPr>
                <w:sz w:val="16"/>
              </w:rPr>
              <w:t>Sedang</w:t>
            </w:r>
          </w:p>
        </w:tc>
      </w:tr>
    </w:tbl>
    <w:p>
      <w:pPr>
        <w:pStyle w:val="Normal"/>
        <w:rPr>
          <w:sz w:val="16"/>
        </w:rPr>
      </w:pPr>
      <w:r>
        <w:rPr>
          <w:sz w:val="16"/>
        </w:rPr>
      </w:r>
    </w:p>
    <w:p>
      <w:pPr>
        <w:pStyle w:val="Normal"/>
        <w:rPr>
          <w:i/>
          <w:iCs/>
        </w:rPr>
      </w:pPr>
      <w:r>
        <w:rPr>
          <w:rFonts w:eastAsia="Cambria" w:ascii="Cambria" w:hAnsi="Cambria"/>
          <w:i/>
          <w:iCs/>
          <w:sz w:val="16"/>
        </w:rPr>
        <w:t>Catatan: skor pre dan post menggunakan skala 0-100; N-Gain dihitung per subjek dari skor akhir masing-masing.</w:t>
      </w:r>
    </w:p>
    <w:p>
      <w:pPr>
        <w:pStyle w:val="Normal"/>
        <w:tabs>
          <w:tab w:val="clear" w:pos="720"/>
          <w:tab w:val="left" w:pos="4395" w:leader="none"/>
          <w:tab w:val="left" w:pos="7371" w:leader="none"/>
        </w:tabs>
        <w:spacing w:before="0" w:after="100"/>
        <w:rPr>
          <w:rFonts w:eastAsia="Times New Roman" w:cs="Times New Roman"/>
          <w:b/>
          <w:bCs/>
          <w:szCs w:val="24"/>
        </w:rPr>
      </w:pPr>
      <w:r>
        <w:rPr>
          <w:rFonts w:eastAsia="Times New Roman" w:cs="Times New Roman"/>
          <w:b/>
          <w:bCs/>
          <w:szCs w:val="24"/>
        </w:rPr>
        <w:t>Data Selengkapnya</w:t>
      </w:r>
    </w:p>
    <w:p>
      <w:pPr>
        <w:sectPr>
          <w:type w:val="continuous"/>
          <w:pgSz w:w="11906" w:h="16838"/>
          <w:pgMar w:left="2268" w:right="1134" w:gutter="0" w:header="709" w:top="2268" w:footer="709" w:bottom="1701"/>
          <w:formProt w:val="false"/>
          <w:textDirection w:val="lrTb"/>
          <w:docGrid w:type="default" w:linePitch="312" w:charSpace="4294961151"/>
        </w:sectPr>
      </w:pPr>
    </w:p>
    <w:p>
      <w:pPr>
        <w:pStyle w:val="Normal"/>
        <w:tabs>
          <w:tab w:val="clear" w:pos="720"/>
          <w:tab w:val="left" w:pos="4395" w:leader="none"/>
          <w:tab w:val="left" w:pos="7371" w:leader="none"/>
        </w:tabs>
        <w:spacing w:before="0" w:after="0"/>
        <w:rPr>
          <w:rFonts w:eastAsia="Times New Roman" w:cs="Times New Roman"/>
          <w:b/>
          <w:bCs/>
          <w:szCs w:val="24"/>
        </w:rPr>
      </w:pPr>
      <w:r>
        <w:rPr/>
        <w:drawing>
          <wp:inline distT="0" distB="0" distL="0" distR="0">
            <wp:extent cx="1247140" cy="1268730"/>
            <wp:effectExtent l="0" t="0" r="0" b="0"/>
            <wp:docPr id="227" name="Image10"/>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27" name="Image10"/>
                    <pic:cNvPicPr>
                      <a:picLocks noChangeAspect="1" noChangeArrowheads="1"/>
                    </pic:cNvPicPr>
                  </pic:nvPicPr>
                  <pic:blipFill>
                    <a:blip r:embed="rId65"/>
                    <a:stretch>
                      <a:fillRect/>
                    </a:stretch>
                  </pic:blipFill>
                  <pic:spPr bwMode="auto">
                    <a:xfrm>
                      <a:off x="0" y="0"/>
                      <a:ext cx="1247140" cy="1268730"/>
                    </a:xfrm>
                    <a:prstGeom prst="rect">
                      <a:avLst/>
                    </a:prstGeom>
                    <a:noFill/>
                  </pic:spPr>
                </pic:pic>
              </a:graphicData>
            </a:graphic>
          </wp:inline>
        </w:drawing>
      </w:r>
    </w:p>
    <w:p>
      <w:pPr>
        <w:pStyle w:val="Normal"/>
        <w:rPr>
          <w:rFonts w:cs="Times New Roman"/>
          <w:i/>
          <w:iCs/>
          <w:sz w:val="16"/>
          <w:szCs w:val="14"/>
        </w:rPr>
      </w:pPr>
      <w:r>
        <w:rPr>
          <w:rFonts w:cs="Times New Roman"/>
          <w:i/>
          <w:iCs/>
          <w:sz w:val="16"/>
          <w:szCs w:val="14"/>
        </w:rPr>
        <w:t>Dataset Tes Keterampilan Berbicara</w:t>
      </w:r>
    </w:p>
    <w:p>
      <w:pPr>
        <w:pStyle w:val="Normal"/>
        <w:rPr>
          <w:rFonts w:cs="Times New Roman"/>
        </w:rPr>
      </w:pPr>
      <w:r>
        <w:rPr>
          <w:rFonts w:cs="Times New Roman"/>
        </w:rPr>
      </w:r>
      <w:r>
        <w:br w:type="page"/>
      </w:r>
    </w:p>
    <w:p>
      <w:pPr>
        <w:pStyle w:val="Normal"/>
        <w:numPr>
          <w:ilvl w:val="0"/>
          <w:numId w:val="0"/>
        </w:numPr>
        <w:spacing w:before="0" w:after="160"/>
        <w:outlineLvl w:val="1"/>
        <w:rPr>
          <w:rFonts w:eastAsia="Times New Roman" w:cs="Times New Roman"/>
          <w:szCs w:val="24"/>
        </w:rPr>
      </w:pPr>
      <w:bookmarkStart w:id="307" w:name="_Toc233360821"/>
      <w:r>
        <w:rPr>
          <w:rFonts w:eastAsia="Times New Roman" w:cs="Times New Roman"/>
          <w:b/>
          <w:bCs/>
          <w:szCs w:val="24"/>
        </w:rPr>
        <w:t xml:space="preserve">Lampiran B2: </w:t>
      </w:r>
      <w:r>
        <w:rPr>
          <w:rFonts w:eastAsia="Times New Roman" w:cs="Times New Roman"/>
          <w:szCs w:val="24"/>
        </w:rPr>
        <w:t>Data Respons Metakognitif</w:t>
      </w:r>
      <w:bookmarkEnd w:id="307"/>
    </w:p>
    <w:p>
      <w:pPr>
        <w:pStyle w:val="Normal"/>
        <w:rPr>
          <w:rFonts w:eastAsia="Times New Roman" w:cs="Times New Roman"/>
          <w:szCs w:val="24"/>
        </w:rPr>
      </w:pPr>
      <w:r>
        <w:rPr>
          <w:rFonts w:eastAsia="Cambria" w:ascii="Cambria" w:hAnsi="Cambria"/>
          <w:b/>
          <w:sz w:val="28"/>
        </w:rPr>
        <w:t>Rekapitulasi Data Respons Metakognitif</w:t>
      </w:r>
    </w:p>
    <w:tbl>
      <w:tblPr>
        <w:tblStyle w:val="TableGrid"/>
        <w:tblW w:w="5000" w:type="pct"/>
        <w:jc w:val="center"/>
        <w:tblInd w:w="0" w:type="dxa"/>
        <w:tblLayout w:type="fixed"/>
        <w:tblCellMar>
          <w:top w:w="45" w:type="dxa"/>
          <w:start w:w="55" w:type="dxa"/>
          <w:bottom w:w="45" w:type="dxa"/>
          <w:end w:w="55" w:type="dxa"/>
        </w:tblCellMar>
        <w:tblLook w:noHBand="0" w:noVBand="1" w:firstColumn="1" w:lastRow="0" w:lastColumn="0" w:firstRow="1" w:val="04a0"/>
      </w:tblPr>
      <w:tblGrid>
        <w:gridCol w:w="4290"/>
        <w:gridCol w:w="4214"/>
      </w:tblGrid>
      <w:tr>
        <w:trPr/>
        <w:tc>
          <w:tcPr>
            <w:tcW w:w="4290"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Sumber data: field test kemampuan metakognitif, angket pre-postes berdasarkan kode subjek.</w:t>
              <w:br/>
              <w:t>Instrumen: 16 butir pernyataan, 4 dimensi x 4 butir, skala 1-4.</w:t>
              <w:br/>
              <w:t>Rentang skor total: 16-64. Gain = postes - pretes.</w:t>
              <w:br/>
              <w:t>N-Gain = (postes - pretes) / (64 - pretes); pretes = 64 dikecualikan dari rerata N-Gain.</w:t>
            </w:r>
          </w:p>
        </w:tc>
        <w:tc>
          <w:tcPr>
            <w:tcW w:w="421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Jumlah subjek: 77 mahasiswa</w:t>
              <w:br/>
              <w:t>Rerata pretes: 29,04</w:t>
              <w:br/>
              <w:t>Rerata postes: 49,70</w:t>
              <w:br/>
              <w:t>Rerata gain: 20,66</w:t>
              <w:br/>
              <w:t>Rerata N-Gain: 0,528 (Sedang)</w:t>
            </w:r>
          </w:p>
        </w:tc>
      </w:tr>
    </w:tbl>
    <w:p>
      <w:pPr>
        <w:pStyle w:val="Normal"/>
        <w:spacing w:before="80" w:after="40"/>
        <w:rPr/>
      </w:pPr>
      <w:r>
        <w:rPr>
          <w:rFonts w:eastAsia="Cambria" w:ascii="Cambria" w:hAnsi="Cambria"/>
          <w:b/>
          <w:sz w:val="21"/>
        </w:rPr>
        <w:t>Ringkasan Per Kelompok</w:t>
      </w:r>
    </w:p>
    <w:tbl>
      <w:tblPr>
        <w:tblStyle w:val="TableGrid"/>
        <w:tblW w:w="5000" w:type="pct"/>
        <w:jc w:val="center"/>
        <w:tblInd w:w="0" w:type="dxa"/>
        <w:tblLayout w:type="fixed"/>
        <w:tblCellMar>
          <w:top w:w="45" w:type="dxa"/>
          <w:start w:w="55" w:type="dxa"/>
          <w:bottom w:w="45" w:type="dxa"/>
          <w:end w:w="55" w:type="dxa"/>
        </w:tblCellMar>
        <w:tblLook w:noHBand="0" w:noVBand="1" w:firstColumn="1" w:lastRow="0" w:lastColumn="0" w:firstRow="1" w:val="04a0"/>
      </w:tblPr>
      <w:tblGrid>
        <w:gridCol w:w="1269"/>
        <w:gridCol w:w="873"/>
        <w:gridCol w:w="970"/>
        <w:gridCol w:w="1077"/>
        <w:gridCol w:w="1081"/>
        <w:gridCol w:w="1012"/>
        <w:gridCol w:w="1067"/>
        <w:gridCol w:w="1155"/>
      </w:tblGrid>
      <w:tr>
        <w:trPr/>
        <w:tc>
          <w:tcPr>
            <w:tcW w:w="1269"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Kelompok</w:t>
            </w:r>
          </w:p>
        </w:tc>
        <w:tc>
          <w:tcPr>
            <w:tcW w:w="873"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n</w:t>
            </w:r>
          </w:p>
        </w:tc>
        <w:tc>
          <w:tcPr>
            <w:tcW w:w="970"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n N-Gain</w:t>
            </w:r>
          </w:p>
        </w:tc>
        <w:tc>
          <w:tcPr>
            <w:tcW w:w="1077"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Pretes, Mean +/- SD</w:t>
            </w:r>
          </w:p>
        </w:tc>
        <w:tc>
          <w:tcPr>
            <w:tcW w:w="1081"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Postes, Mean +/- SD</w:t>
            </w:r>
          </w:p>
        </w:tc>
        <w:tc>
          <w:tcPr>
            <w:tcW w:w="1012"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Gain, Mean +/- SD</w:t>
            </w:r>
          </w:p>
        </w:tc>
        <w:tc>
          <w:tcPr>
            <w:tcW w:w="1067"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Rerata N-Gain</w:t>
            </w:r>
          </w:p>
        </w:tc>
        <w:tc>
          <w:tcPr>
            <w:tcW w:w="1155"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5"/>
                <w:szCs w:val="22"/>
                <w:lang w:val="id-ID" w:eastAsia="id-ID" w:bidi="ar-SA"/>
              </w:rPr>
              <w:t>Kategori</w:t>
            </w:r>
          </w:p>
        </w:tc>
      </w:tr>
      <w:tr>
        <w:trPr/>
        <w:tc>
          <w:tcPr>
            <w:tcW w:w="1269"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5"/>
                <w:szCs w:val="22"/>
                <w:lang w:val="id-ID" w:eastAsia="id-ID" w:bidi="ar-SA"/>
              </w:rPr>
              <w:t>Eksperimen</w:t>
            </w:r>
          </w:p>
        </w:tc>
        <w:tc>
          <w:tcPr>
            <w:tcW w:w="873"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40</w:t>
            </w:r>
          </w:p>
        </w:tc>
        <w:tc>
          <w:tcPr>
            <w:tcW w:w="970"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39</w:t>
            </w:r>
          </w:p>
        </w:tc>
        <w:tc>
          <w:tcPr>
            <w:tcW w:w="1077"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26,40 +/- 8,30</w:t>
            </w:r>
          </w:p>
        </w:tc>
        <w:tc>
          <w:tcPr>
            <w:tcW w:w="1081"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50,95 +/- 9,43</w:t>
            </w:r>
          </w:p>
        </w:tc>
        <w:tc>
          <w:tcPr>
            <w:tcW w:w="1012"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24,55 +/- 11,53</w:t>
            </w:r>
          </w:p>
        </w:tc>
        <w:tc>
          <w:tcPr>
            <w:tcW w:w="1067"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0,648</w:t>
            </w:r>
          </w:p>
        </w:tc>
        <w:tc>
          <w:tcPr>
            <w:tcW w:w="115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Sedang</w:t>
            </w:r>
          </w:p>
        </w:tc>
      </w:tr>
      <w:tr>
        <w:trPr/>
        <w:tc>
          <w:tcPr>
            <w:tcW w:w="1269"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5"/>
                <w:szCs w:val="22"/>
                <w:lang w:val="id-ID" w:eastAsia="id-ID" w:bidi="ar-SA"/>
              </w:rPr>
              <w:t>Kontrol</w:t>
            </w:r>
          </w:p>
        </w:tc>
        <w:tc>
          <w:tcPr>
            <w:tcW w:w="873"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37</w:t>
            </w:r>
          </w:p>
        </w:tc>
        <w:tc>
          <w:tcPr>
            <w:tcW w:w="970"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37</w:t>
            </w:r>
          </w:p>
        </w:tc>
        <w:tc>
          <w:tcPr>
            <w:tcW w:w="1077"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31,89 +/- 11,99</w:t>
            </w:r>
          </w:p>
        </w:tc>
        <w:tc>
          <w:tcPr>
            <w:tcW w:w="1081"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48,35 +/- 7,45</w:t>
            </w:r>
          </w:p>
        </w:tc>
        <w:tc>
          <w:tcPr>
            <w:tcW w:w="1012"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16,46 +/- 10,19</w:t>
            </w:r>
          </w:p>
        </w:tc>
        <w:tc>
          <w:tcPr>
            <w:tcW w:w="1067"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0,400</w:t>
            </w:r>
          </w:p>
        </w:tc>
        <w:tc>
          <w:tcPr>
            <w:tcW w:w="115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5"/>
                <w:szCs w:val="22"/>
                <w:lang w:val="id-ID" w:eastAsia="id-ID" w:bidi="ar-SA"/>
              </w:rPr>
              <w:t>Sedang</w:t>
            </w:r>
          </w:p>
        </w:tc>
      </w:tr>
    </w:tbl>
    <w:p>
      <w:pPr>
        <w:pStyle w:val="Normal"/>
        <w:spacing w:before="80" w:after="40"/>
        <w:rPr/>
      </w:pPr>
      <w:r>
        <w:rPr>
          <w:rFonts w:eastAsia="Cambria" w:ascii="Cambria" w:hAnsi="Cambria"/>
          <w:b/>
          <w:sz w:val="21"/>
        </w:rPr>
        <w:t>Data Rinci dan Perhitungan N-Gain</w:t>
      </w:r>
    </w:p>
    <w:tbl>
      <w:tblPr>
        <w:tblStyle w:val="TableGrid"/>
        <w:tblW w:w="5000" w:type="pct"/>
        <w:jc w:val="center"/>
        <w:tblInd w:w="0" w:type="dxa"/>
        <w:tblLayout w:type="fixed"/>
        <w:tblCellMar>
          <w:top w:w="45" w:type="dxa"/>
          <w:start w:w="55" w:type="dxa"/>
          <w:bottom w:w="45" w:type="dxa"/>
          <w:end w:w="55" w:type="dxa"/>
        </w:tblCellMar>
        <w:tblLook w:noHBand="0" w:noVBand="1" w:firstColumn="1" w:lastRow="0" w:lastColumn="0" w:firstRow="1" w:val="04a0"/>
      </w:tblPr>
      <w:tblGrid>
        <w:gridCol w:w="384"/>
        <w:gridCol w:w="1105"/>
        <w:gridCol w:w="1002"/>
        <w:gridCol w:w="543"/>
        <w:gridCol w:w="1115"/>
        <w:gridCol w:w="543"/>
        <w:gridCol w:w="1184"/>
        <w:gridCol w:w="598"/>
        <w:gridCol w:w="662"/>
        <w:gridCol w:w="1368"/>
      </w:tblGrid>
      <w:tr>
        <w:trPr>
          <w:tblHeader w:val="true"/>
        </w:trPr>
        <w:tc>
          <w:tcPr>
            <w:tcW w:w="384"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No.</w:t>
            </w:r>
          </w:p>
        </w:tc>
        <w:tc>
          <w:tcPr>
            <w:tcW w:w="1105"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kode_subjek</w:t>
            </w:r>
          </w:p>
        </w:tc>
        <w:tc>
          <w:tcPr>
            <w:tcW w:w="1002"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Kelompok</w:t>
            </w:r>
          </w:p>
        </w:tc>
        <w:tc>
          <w:tcPr>
            <w:tcW w:w="543"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Pre</w:t>
            </w:r>
          </w:p>
        </w:tc>
        <w:tc>
          <w:tcPr>
            <w:tcW w:w="1115"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Kategori Pre</w:t>
            </w:r>
          </w:p>
        </w:tc>
        <w:tc>
          <w:tcPr>
            <w:tcW w:w="543"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Post</w:t>
            </w:r>
          </w:p>
        </w:tc>
        <w:tc>
          <w:tcPr>
            <w:tcW w:w="1184"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Kategori Post</w:t>
            </w:r>
          </w:p>
        </w:tc>
        <w:tc>
          <w:tcPr>
            <w:tcW w:w="598"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Gain</w:t>
            </w:r>
          </w:p>
        </w:tc>
        <w:tc>
          <w:tcPr>
            <w:tcW w:w="662"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N-Gain</w:t>
            </w:r>
          </w:p>
        </w:tc>
        <w:tc>
          <w:tcPr>
            <w:tcW w:w="1368" w:type="dxa"/>
            <w:tcBorders/>
            <w:shd w:color="auto" w:fill="EDEDED" w:val="clear"/>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b/>
                <w:kern w:val="0"/>
                <w:sz w:val="14"/>
                <w:szCs w:val="22"/>
                <w:lang w:val="id-ID" w:eastAsia="id-ID" w:bidi="ar-SA"/>
              </w:rPr>
              <w:t>Kategori N-Gain</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-12,00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-0,333</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0,591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0,529</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32,00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0,667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1,000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61,00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0,923</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0,610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51,00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0,698</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E09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0,676</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0,292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1,000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0,811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0,714</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0,561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61,00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0,921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21,00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0,636</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0,619</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0,774</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19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E19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0,130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19,00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0,778</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0,684</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0,676</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0,581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60,00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0,882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39,00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0,812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43,00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0,462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29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E29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0,850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0,829</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0,792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51,00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0,581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29,00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0,514</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0,792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1,000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0,800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0,515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39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E39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E40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Eksperimen</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0,405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0,769</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0,757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0,667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-0,200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59,00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0,000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22,00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0,595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50,00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0,682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9,00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0,562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49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K09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0,757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0,737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52,00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0,714</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54,00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0,706</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0,750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50,00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0,632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0,167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Sangat 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0,250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0,000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59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K19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0,531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53,00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0,607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50,00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0,622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0,152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41,00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0,439</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0,098</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22,00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0,595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27,00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0,270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19,00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0,500</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68</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K28</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0,441</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69</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K29</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45,00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21,00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0,525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70</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K30</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26,00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0,526</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71</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K31</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28,00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43,00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0,417</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72</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K32</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46,00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15,00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0,455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73</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K33</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23,00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40,00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17,00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0,415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74</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K34</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43,00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19,00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0,475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75</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K35</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31,00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37,00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6,00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0,182</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76</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K36</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20,00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38,00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18,00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0,409</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r>
        <w:trPr/>
        <w:tc>
          <w:tcPr>
            <w:tcW w:w="384"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77</w:t>
            </w:r>
          </w:p>
        </w:tc>
        <w:tc>
          <w:tcPr>
            <w:tcW w:w="1105" w:type="dxa"/>
            <w:tcBorders/>
            <w:vAlign w:val="center"/>
          </w:tcPr>
          <w:p>
            <w:pPr>
              <w:pStyle w:val="Normal"/>
              <w:widowControl/>
              <w:spacing w:lineRule="auto" w:line="240" w:before="0" w:after="0"/>
              <w:jc w:val="center"/>
              <w:rPr>
                <w:rFonts w:eastAsia="Calibri" w:cs="Calibri"/>
                <w:kern w:val="0"/>
                <w:szCs w:val="22"/>
                <w:lang w:val="id-ID" w:eastAsia="id-ID" w:bidi="ar-SA"/>
              </w:rPr>
            </w:pPr>
            <w:r>
              <w:rPr>
                <w:rFonts w:eastAsia="Cambria" w:cs="Calibri" w:ascii="Cambria" w:hAnsi="Cambria"/>
                <w:kern w:val="0"/>
                <w:sz w:val="14"/>
                <w:szCs w:val="22"/>
                <w:lang w:val="id-ID" w:eastAsia="id-ID" w:bidi="ar-SA"/>
              </w:rPr>
              <w:t>K37</w:t>
            </w:r>
          </w:p>
        </w:tc>
        <w:tc>
          <w:tcPr>
            <w:tcW w:w="1002"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Kontrol</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25,00</w:t>
            </w:r>
          </w:p>
        </w:tc>
        <w:tc>
          <w:tcPr>
            <w:tcW w:w="1115"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Rendah</w:t>
            </w:r>
          </w:p>
        </w:tc>
        <w:tc>
          <w:tcPr>
            <w:tcW w:w="543"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49,00</w:t>
            </w:r>
          </w:p>
        </w:tc>
        <w:tc>
          <w:tcPr>
            <w:tcW w:w="1184"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Tinggi</w:t>
            </w:r>
          </w:p>
        </w:tc>
        <w:tc>
          <w:tcPr>
            <w:tcW w:w="598"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24,00</w:t>
            </w:r>
          </w:p>
        </w:tc>
        <w:tc>
          <w:tcPr>
            <w:tcW w:w="662" w:type="dxa"/>
            <w:tcBorders/>
            <w:vAlign w:val="center"/>
          </w:tcPr>
          <w:p>
            <w:pPr>
              <w:pStyle w:val="Normal"/>
              <w:widowControl/>
              <w:spacing w:lineRule="auto" w:line="240" w:before="0" w:after="0"/>
              <w:jc w:val="end"/>
              <w:rPr>
                <w:rFonts w:eastAsia="Calibri" w:cs="Calibri"/>
                <w:kern w:val="0"/>
                <w:szCs w:val="22"/>
                <w:lang w:val="id-ID" w:eastAsia="id-ID" w:bidi="ar-SA"/>
              </w:rPr>
            </w:pPr>
            <w:r>
              <w:rPr>
                <w:rFonts w:eastAsia="Cambria" w:cs="Calibri" w:ascii="Cambria" w:hAnsi="Cambria"/>
                <w:kern w:val="0"/>
                <w:sz w:val="14"/>
                <w:szCs w:val="22"/>
                <w:lang w:val="id-ID" w:eastAsia="id-ID" w:bidi="ar-SA"/>
              </w:rPr>
              <w:t>0,615</w:t>
            </w:r>
          </w:p>
        </w:tc>
        <w:tc>
          <w:tcPr>
            <w:tcW w:w="136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4"/>
                <w:szCs w:val="22"/>
                <w:lang w:val="id-ID" w:eastAsia="id-ID" w:bidi="ar-SA"/>
              </w:rPr>
              <w:t>Sedang</w:t>
            </w:r>
          </w:p>
        </w:tc>
      </w:tr>
    </w:tbl>
    <w:p>
      <w:pPr>
        <w:pStyle w:val="Abstract"/>
        <w:spacing w:before="100" w:after="0"/>
        <w:ind w:hanging="0"/>
        <w:rPr>
          <w:b/>
          <w:bCs/>
          <w:sz w:val="24"/>
          <w:szCs w:val="24"/>
        </w:rPr>
      </w:pPr>
      <w:r>
        <w:rPr>
          <w:b/>
          <w:bCs/>
          <w:sz w:val="24"/>
          <w:szCs w:val="24"/>
        </w:rPr>
        <w:t>Data Selengkapnya</w:t>
      </w:r>
    </w:p>
    <w:p>
      <w:pPr>
        <w:pStyle w:val="Normal"/>
        <w:tabs>
          <w:tab w:val="clear" w:pos="720"/>
          <w:tab w:val="left" w:pos="4395" w:leader="none"/>
          <w:tab w:val="left" w:pos="7371" w:leader="none"/>
        </w:tabs>
        <w:spacing w:before="0" w:after="0"/>
        <w:rPr>
          <w:rFonts w:eastAsia="Times New Roman" w:cs="Times New Roman"/>
          <w:b/>
          <w:bCs/>
          <w:szCs w:val="24"/>
        </w:rPr>
      </w:pPr>
      <w:r>
        <w:rPr/>
        <w:drawing>
          <wp:inline distT="0" distB="0" distL="0" distR="0">
            <wp:extent cx="1663065" cy="1674495"/>
            <wp:effectExtent l="0" t="0" r="0" b="0"/>
            <wp:docPr id="228" name="Image1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28" name="Image11"/>
                    <pic:cNvPicPr>
                      <a:picLocks noChangeAspect="1" noChangeArrowheads="1"/>
                    </pic:cNvPicPr>
                  </pic:nvPicPr>
                  <pic:blipFill>
                    <a:blip r:embed="rId66"/>
                    <a:stretch>
                      <a:fillRect/>
                    </a:stretch>
                  </pic:blipFill>
                  <pic:spPr bwMode="auto">
                    <a:xfrm>
                      <a:off x="0" y="0"/>
                      <a:ext cx="1663065" cy="1674495"/>
                    </a:xfrm>
                    <a:prstGeom prst="rect">
                      <a:avLst/>
                    </a:prstGeom>
                    <a:noFill/>
                  </pic:spPr>
                </pic:pic>
              </a:graphicData>
            </a:graphic>
          </wp:inline>
        </w:drawing>
      </w:r>
    </w:p>
    <w:p>
      <w:pPr>
        <w:pStyle w:val="Normal"/>
        <w:rPr>
          <w:rFonts w:cs="Times New Roman"/>
          <w:i/>
          <w:iCs/>
          <w:sz w:val="16"/>
          <w:szCs w:val="14"/>
        </w:rPr>
      </w:pPr>
      <w:r>
        <w:rPr>
          <w:rFonts w:cs="Times New Roman"/>
          <w:i/>
          <w:iCs/>
          <w:sz w:val="16"/>
          <w:szCs w:val="14"/>
        </w:rPr>
        <w:t>Dataset Respons Metakognitif</w:t>
      </w:r>
    </w:p>
    <w:p>
      <w:pPr>
        <w:pStyle w:val="BodyText"/>
        <w:rPr/>
      </w:pPr>
      <w:r>
        <w:rPr/>
      </w:r>
    </w:p>
    <w:p>
      <w:pPr>
        <w:pStyle w:val="Normal"/>
        <w:rPr>
          <w:rFonts w:eastAsia="Times New Roman" w:cs="Times New Roman"/>
          <w:b/>
          <w:bCs/>
          <w:szCs w:val="24"/>
        </w:rPr>
      </w:pPr>
      <w:r>
        <w:rPr>
          <w:rFonts w:eastAsia="Times New Roman" w:cs="Times New Roman"/>
          <w:b/>
          <w:bCs/>
          <w:szCs w:val="24"/>
        </w:rPr>
      </w:r>
      <w:r>
        <w:br w:type="page"/>
      </w:r>
    </w:p>
    <w:p>
      <w:pPr>
        <w:pStyle w:val="Normal"/>
        <w:numPr>
          <w:ilvl w:val="0"/>
          <w:numId w:val="0"/>
        </w:numPr>
        <w:spacing w:before="0" w:after="160"/>
        <w:outlineLvl w:val="1"/>
        <w:rPr>
          <w:rFonts w:eastAsia="Times New Roman" w:cs="Times New Roman"/>
          <w:szCs w:val="24"/>
        </w:rPr>
      </w:pPr>
      <w:r>
        <w:rPr>
          <w:rFonts w:eastAsia="Times New Roman" w:cs="Times New Roman"/>
          <w:b/>
          <w:bCs/>
          <w:szCs w:val="24"/>
        </w:rPr>
        <w:t xml:space="preserve">Lampiran B3: </w:t>
      </w:r>
      <w:r>
        <w:rPr>
          <w:rFonts w:eastAsia="Times New Roman" w:cs="Times New Roman"/>
          <w:szCs w:val="24"/>
        </w:rPr>
        <w:t>Data Validasi Produk</w:t>
      </w:r>
    </w:p>
    <w:p>
      <w:pPr>
        <w:pStyle w:val="Normal"/>
        <w:jc w:val="center"/>
        <w:rPr/>
      </w:pPr>
      <w:r>
        <w:rPr>
          <w:rFonts w:eastAsia="Cambria" w:ascii="Cambria" w:hAnsi="Cambria"/>
          <w:b/>
          <w:sz w:val="28"/>
        </w:rPr>
        <w:t>Rekapitulasi Data Validasi Produk</w:t>
      </w:r>
    </w:p>
    <w:tbl>
      <w:tblPr>
        <w:tblStyle w:val="TableGrid"/>
        <w:tblW w:w="5000" w:type="pct"/>
        <w:jc w:val="center"/>
        <w:tblInd w:w="0" w:type="dxa"/>
        <w:tblLayout w:type="fixed"/>
        <w:tblCellMar>
          <w:top w:w="35" w:type="dxa"/>
          <w:start w:w="45" w:type="dxa"/>
          <w:bottom w:w="35" w:type="dxa"/>
          <w:end w:w="45" w:type="dxa"/>
        </w:tblCellMar>
        <w:tblLook w:noHBand="0" w:noVBand="1" w:firstColumn="1" w:lastRow="0" w:lastColumn="0" w:firstRow="1" w:val="04a0"/>
      </w:tblPr>
      <w:tblGrid>
        <w:gridCol w:w="4691"/>
        <w:gridCol w:w="3813"/>
      </w:tblGrid>
      <w:tr>
        <w:trPr/>
        <w:tc>
          <w:tcPr>
            <w:tcW w:w="469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Sumber data: data/validasi/validasi_materi.csv dan data/validasi/validasi_media.csv.</w:t>
              <w:br/>
              <w:t>Skala penilaian: 1-4 dengan tiga validator pada tiap instrumen.</w:t>
              <w:br/>
              <w:t>Persentase = skor total / skor maksimum x 100%.</w:t>
              <w:br/>
              <w:t>Aiken's V = jumlah(r - lo) / [n(c - lo)], dengan lo = 1 dan c = 4.</w:t>
            </w:r>
          </w:p>
        </w:tc>
        <w:tc>
          <w:tcPr>
            <w:tcW w:w="381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Jumlah butir gabungan: 45 butir</w:t>
              <w:br/>
              <w:t>Jumlah skor terisi: 135 skor</w:t>
              <w:br/>
              <w:t>Skor total/maksimum: 517 / 540</w:t>
              <w:br/>
              <w:t>Persentase validasi produk: 95,74% (Sangat Valid)</w:t>
              <w:br/>
              <w:t>Aiken's V gabungan: 0,943 (Valid)</w:t>
            </w:r>
          </w:p>
        </w:tc>
      </w:tr>
    </w:tbl>
    <w:p>
      <w:pPr>
        <w:pStyle w:val="Normal"/>
        <w:spacing w:before="80" w:after="40"/>
        <w:rPr>
          <w:sz w:val="20"/>
          <w:szCs w:val="20"/>
        </w:rPr>
      </w:pPr>
      <w:r>
        <w:rPr>
          <w:rFonts w:eastAsia="Cambria" w:ascii="Cambria" w:hAnsi="Cambria"/>
          <w:b/>
          <w:sz w:val="20"/>
          <w:szCs w:val="20"/>
        </w:rPr>
        <w:t>Ringkasan Validasi Produk</w:t>
      </w:r>
    </w:p>
    <w:tbl>
      <w:tblPr>
        <w:tblStyle w:val="TableGrid"/>
        <w:tblW w:w="5000" w:type="pct"/>
        <w:jc w:val="center"/>
        <w:tblInd w:w="0" w:type="dxa"/>
        <w:tblLayout w:type="fixed"/>
        <w:tblCellMar>
          <w:top w:w="35" w:type="dxa"/>
          <w:start w:w="45" w:type="dxa"/>
          <w:bottom w:w="35" w:type="dxa"/>
          <w:end w:w="45" w:type="dxa"/>
        </w:tblCellMar>
        <w:tblLook w:noHBand="0" w:noVBand="1" w:firstColumn="1" w:lastRow="0" w:lastColumn="0" w:firstRow="1" w:val="04a0"/>
      </w:tblPr>
      <w:tblGrid>
        <w:gridCol w:w="1090"/>
        <w:gridCol w:w="918"/>
        <w:gridCol w:w="826"/>
        <w:gridCol w:w="775"/>
        <w:gridCol w:w="779"/>
        <w:gridCol w:w="1221"/>
        <w:gridCol w:w="1036"/>
        <w:gridCol w:w="822"/>
        <w:gridCol w:w="1037"/>
      </w:tblGrid>
      <w:tr>
        <w:trPr>
          <w:tblHeader w:val="true"/>
        </w:trPr>
        <w:tc>
          <w:tcPr>
            <w:tcW w:w="109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Jenis Validasi</w:t>
            </w:r>
          </w:p>
        </w:tc>
        <w:tc>
          <w:tcPr>
            <w:tcW w:w="918"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Jumlah Butir</w:t>
            </w:r>
          </w:p>
        </w:tc>
        <w:tc>
          <w:tcPr>
            <w:tcW w:w="82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Terisi</w:t>
            </w:r>
          </w:p>
        </w:tc>
        <w:tc>
          <w:tcPr>
            <w:tcW w:w="77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Total</w:t>
            </w:r>
          </w:p>
        </w:tc>
        <w:tc>
          <w:tcPr>
            <w:tcW w:w="779"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Maks</w:t>
            </w:r>
          </w:p>
        </w:tc>
        <w:tc>
          <w:tcPr>
            <w:tcW w:w="122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Persentase</w:t>
            </w:r>
          </w:p>
        </w:tc>
        <w:tc>
          <w:tcPr>
            <w:tcW w:w="103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w:t>
            </w:r>
          </w:p>
        </w:tc>
        <w:tc>
          <w:tcPr>
            <w:tcW w:w="822"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Aiken V</w:t>
            </w:r>
          </w:p>
        </w:tc>
        <w:tc>
          <w:tcPr>
            <w:tcW w:w="1037"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 Aiken</w:t>
            </w:r>
          </w:p>
        </w:tc>
      </w:tr>
      <w:tr>
        <w:trPr/>
        <w:tc>
          <w:tcPr>
            <w:tcW w:w="10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918"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30</w:t>
            </w:r>
          </w:p>
        </w:tc>
        <w:tc>
          <w:tcPr>
            <w:tcW w:w="826"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90</w:t>
            </w:r>
          </w:p>
        </w:tc>
        <w:tc>
          <w:tcPr>
            <w:tcW w:w="775"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351</w:t>
            </w:r>
          </w:p>
        </w:tc>
        <w:tc>
          <w:tcPr>
            <w:tcW w:w="779"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360</w:t>
            </w:r>
          </w:p>
        </w:tc>
        <w:tc>
          <w:tcPr>
            <w:tcW w:w="122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97,50</w:t>
            </w:r>
          </w:p>
        </w:tc>
        <w:tc>
          <w:tcPr>
            <w:tcW w:w="103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82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0,967</w:t>
            </w:r>
          </w:p>
        </w:tc>
        <w:tc>
          <w:tcPr>
            <w:tcW w:w="1037"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10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918"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15</w:t>
            </w:r>
          </w:p>
        </w:tc>
        <w:tc>
          <w:tcPr>
            <w:tcW w:w="826"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45</w:t>
            </w:r>
          </w:p>
        </w:tc>
        <w:tc>
          <w:tcPr>
            <w:tcW w:w="775"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166</w:t>
            </w:r>
          </w:p>
        </w:tc>
        <w:tc>
          <w:tcPr>
            <w:tcW w:w="779"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180</w:t>
            </w:r>
          </w:p>
        </w:tc>
        <w:tc>
          <w:tcPr>
            <w:tcW w:w="122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92,22</w:t>
            </w:r>
          </w:p>
        </w:tc>
        <w:tc>
          <w:tcPr>
            <w:tcW w:w="103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82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0,896</w:t>
            </w:r>
          </w:p>
        </w:tc>
        <w:tc>
          <w:tcPr>
            <w:tcW w:w="1037"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10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Gabungan Produk</w:t>
            </w:r>
          </w:p>
        </w:tc>
        <w:tc>
          <w:tcPr>
            <w:tcW w:w="918"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45</w:t>
            </w:r>
          </w:p>
        </w:tc>
        <w:tc>
          <w:tcPr>
            <w:tcW w:w="826"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135</w:t>
            </w:r>
          </w:p>
        </w:tc>
        <w:tc>
          <w:tcPr>
            <w:tcW w:w="775"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517</w:t>
            </w:r>
          </w:p>
        </w:tc>
        <w:tc>
          <w:tcPr>
            <w:tcW w:w="779"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540</w:t>
            </w:r>
          </w:p>
        </w:tc>
        <w:tc>
          <w:tcPr>
            <w:tcW w:w="122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95,74</w:t>
            </w:r>
          </w:p>
        </w:tc>
        <w:tc>
          <w:tcPr>
            <w:tcW w:w="103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82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0,943</w:t>
            </w:r>
          </w:p>
        </w:tc>
        <w:tc>
          <w:tcPr>
            <w:tcW w:w="1037"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bl>
    <w:p>
      <w:pPr>
        <w:pStyle w:val="Normal"/>
        <w:spacing w:before="80" w:after="40"/>
        <w:rPr>
          <w:sz w:val="20"/>
          <w:szCs w:val="20"/>
        </w:rPr>
      </w:pPr>
      <w:r>
        <w:rPr>
          <w:rFonts w:eastAsia="Cambria" w:ascii="Cambria" w:hAnsi="Cambria"/>
          <w:b/>
          <w:sz w:val="20"/>
          <w:szCs w:val="20"/>
        </w:rPr>
        <w:t>Ringkasan Per Aspek</w:t>
      </w:r>
    </w:p>
    <w:tbl>
      <w:tblPr>
        <w:tblStyle w:val="TableGrid"/>
        <w:tblW w:w="5000" w:type="pct"/>
        <w:jc w:val="center"/>
        <w:tblInd w:w="0" w:type="dxa"/>
        <w:tblLayout w:type="fixed"/>
        <w:tblCellMar>
          <w:top w:w="35" w:type="dxa"/>
          <w:start w:w="45" w:type="dxa"/>
          <w:bottom w:w="35" w:type="dxa"/>
          <w:end w:w="45" w:type="dxa"/>
        </w:tblCellMar>
        <w:tblLook w:noHBand="0" w:noVBand="1" w:firstColumn="1" w:lastRow="0" w:lastColumn="0" w:firstRow="1" w:val="04a0"/>
      </w:tblPr>
      <w:tblGrid>
        <w:gridCol w:w="790"/>
        <w:gridCol w:w="1450"/>
        <w:gridCol w:w="870"/>
        <w:gridCol w:w="721"/>
        <w:gridCol w:w="723"/>
        <w:gridCol w:w="1190"/>
        <w:gridCol w:w="996"/>
        <w:gridCol w:w="768"/>
        <w:gridCol w:w="996"/>
      </w:tblGrid>
      <w:tr>
        <w:trPr/>
        <w:tc>
          <w:tcPr>
            <w:tcW w:w="79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Jenis</w:t>
            </w:r>
          </w:p>
        </w:tc>
        <w:tc>
          <w:tcPr>
            <w:tcW w:w="145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Aspek</w:t>
            </w:r>
          </w:p>
        </w:tc>
        <w:tc>
          <w:tcPr>
            <w:tcW w:w="87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Jumlah Butir</w:t>
            </w:r>
          </w:p>
        </w:tc>
        <w:tc>
          <w:tcPr>
            <w:tcW w:w="72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Total</w:t>
            </w:r>
          </w:p>
        </w:tc>
        <w:tc>
          <w:tcPr>
            <w:tcW w:w="723"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Maks</w:t>
            </w:r>
          </w:p>
        </w:tc>
        <w:tc>
          <w:tcPr>
            <w:tcW w:w="119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Persentase</w:t>
            </w:r>
          </w:p>
        </w:tc>
        <w:tc>
          <w:tcPr>
            <w:tcW w:w="99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w:t>
            </w:r>
          </w:p>
        </w:tc>
        <w:tc>
          <w:tcPr>
            <w:tcW w:w="768"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Aiken V</w:t>
            </w:r>
          </w:p>
        </w:tc>
        <w:tc>
          <w:tcPr>
            <w:tcW w:w="99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 Aiken</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6</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69</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72</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95,83</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0,944</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6</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71</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72</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98,61</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0,981</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dengan Teknik Feynman</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59</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60</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98,33</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0,978</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Pengembangan Kemampuan Metakognitif</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58</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60</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96,67</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0,956</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Keterampilan Berbicara</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58</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60</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96,67</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0,956</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Motivasi dan Kebahasaan Umum</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36</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36</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Bentuk Media</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47</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48</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97,92</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0,972</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Kualitas Media</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30</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36</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83,33</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0,778</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Perlu Revisi</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Fungsi Media</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44</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48</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79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145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Microlearning</w:t>
            </w:r>
          </w:p>
        </w:tc>
        <w:tc>
          <w:tcPr>
            <w:tcW w:w="870"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72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45</w:t>
            </w:r>
          </w:p>
        </w:tc>
        <w:tc>
          <w:tcPr>
            <w:tcW w:w="723"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48</w:t>
            </w:r>
          </w:p>
        </w:tc>
        <w:tc>
          <w:tcPr>
            <w:tcW w:w="119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93,75</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Valid</w:t>
            </w:r>
          </w:p>
        </w:tc>
        <w:tc>
          <w:tcPr>
            <w:tcW w:w="7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0,917</w:t>
            </w:r>
          </w:p>
        </w:tc>
        <w:tc>
          <w:tcPr>
            <w:tcW w:w="99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bl>
    <w:p>
      <w:pPr>
        <w:pStyle w:val="Normal"/>
        <w:spacing w:before="80" w:after="40"/>
        <w:rPr>
          <w:sz w:val="20"/>
          <w:szCs w:val="20"/>
        </w:rPr>
      </w:pPr>
      <w:r>
        <w:rPr>
          <w:rFonts w:eastAsia="Cambria" w:ascii="Cambria" w:hAnsi="Cambria"/>
          <w:b/>
          <w:sz w:val="20"/>
          <w:szCs w:val="20"/>
        </w:rPr>
        <w:t>Data Rinci dan Perhitungan Per Butir</w:t>
      </w:r>
    </w:p>
    <w:tbl>
      <w:tblPr>
        <w:tblStyle w:val="TableGrid"/>
        <w:tblW w:w="5000" w:type="pct"/>
        <w:jc w:val="center"/>
        <w:tblInd w:w="0" w:type="dxa"/>
        <w:tblLayout w:type="fixed"/>
        <w:tblCellMar>
          <w:top w:w="35" w:type="dxa"/>
          <w:start w:w="45" w:type="dxa"/>
          <w:bottom w:w="35" w:type="dxa"/>
          <w:end w:w="45" w:type="dxa"/>
        </w:tblCellMar>
        <w:tblLook w:noHBand="0" w:noVBand="1" w:firstColumn="1" w:lastRow="0" w:lastColumn="0" w:firstRow="1" w:val="04a0"/>
      </w:tblPr>
      <w:tblGrid>
        <w:gridCol w:w="685"/>
        <w:gridCol w:w="431"/>
        <w:gridCol w:w="1404"/>
        <w:gridCol w:w="1600"/>
        <w:gridCol w:w="381"/>
        <w:gridCol w:w="381"/>
        <w:gridCol w:w="381"/>
        <w:gridCol w:w="609"/>
        <w:gridCol w:w="612"/>
        <w:gridCol w:w="715"/>
        <w:gridCol w:w="662"/>
        <w:gridCol w:w="643"/>
      </w:tblGrid>
      <w:tr>
        <w:trPr>
          <w:tblHeader w:val="true"/>
        </w:trPr>
        <w:tc>
          <w:tcPr>
            <w:tcW w:w="68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Jenis</w:t>
            </w:r>
          </w:p>
        </w:tc>
        <w:tc>
          <w:tcPr>
            <w:tcW w:w="43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No.</w:t>
            </w:r>
          </w:p>
        </w:tc>
        <w:tc>
          <w:tcPr>
            <w:tcW w:w="1404"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Aspek</w:t>
            </w:r>
          </w:p>
        </w:tc>
        <w:tc>
          <w:tcPr>
            <w:tcW w:w="160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Pernyataan</w:t>
            </w:r>
          </w:p>
        </w:tc>
        <w:tc>
          <w:tcPr>
            <w:tcW w:w="38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V1</w:t>
            </w:r>
          </w:p>
        </w:tc>
        <w:tc>
          <w:tcPr>
            <w:tcW w:w="38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V2</w:t>
            </w:r>
          </w:p>
        </w:tc>
        <w:tc>
          <w:tcPr>
            <w:tcW w:w="38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V3</w:t>
            </w:r>
          </w:p>
        </w:tc>
        <w:tc>
          <w:tcPr>
            <w:tcW w:w="609"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Total</w:t>
            </w:r>
          </w:p>
        </w:tc>
        <w:tc>
          <w:tcPr>
            <w:tcW w:w="612"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Maks</w:t>
            </w:r>
          </w:p>
        </w:tc>
        <w:tc>
          <w:tcPr>
            <w:tcW w:w="71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w:t>
            </w:r>
          </w:p>
        </w:tc>
        <w:tc>
          <w:tcPr>
            <w:tcW w:w="662"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Aiken V</w:t>
            </w:r>
          </w:p>
        </w:tc>
        <w:tc>
          <w:tcPr>
            <w:tcW w:w="643"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Ket.</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materi dengan kompetensi keterampilan berbicara mahasiswa Pendidikan Bahasa Indonesia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Keakuratan konsep dan teori keterampilan berbicara yang disajikan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83,33</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0,778</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Perlu Revisi</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Kedalaman dan kelengkapan materi keterampilan berbicara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materi dengan kurikulum Pendidikan Bahasa Indonesia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Relevansi materi dengan kebutuhan pembelajaran mahasiswa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Keaktualan dan kemutakhiran materi yang disajikan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segmentasi materi dalam format microlearning (bite-sized)</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Sistematika penyajian materi yang runtut dan logis</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Kemudahan materi untuk dipahami mahasiswa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Durasi setiap modul pembelajaran yang tepat dan efektif</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Keterpaduan antar modul dalam satu kesatuan pembelajaran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Pembelajaran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Fleksibilitas akses materi sesuai kebutuhan belajar mandiri</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13</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dengan Teknik Feynman</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materi dengan prinsip teknik Feynman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14</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dengan Teknik Feynman</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terhadap kemampuan menjelaskan konsep dengan bahasa sederhana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15</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dengan Teknik Feynman</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Tersedianya contoh dan latihan penerapan teknik Feynman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16</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dengan Teknik Feynman</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aktivitas pembelajaran dengan filosofi learning by teaching</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17</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dengan Teknik Feynman</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untuk identifikasi kesenjangan pemahaman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18</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Pengembangan Kemampuan Metakognitif</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untuk pengembangan kemampuan perencanaan (planning)</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19</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Pengembangan Kemampuan Metakognitif</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untuk pengembangan kemampuan pemantauan (monitoring)</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20</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Pengembangan Kemampuan Metakognitif</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untuk pengembangan kemampuan evaluasi diri (evaluation)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21</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Pengembangan Kemampuan Metakognitif</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Tersedianya panduan refleksi dan self-assessment</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22</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Pengembangan Kemampuan Metakognitif</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Aktivitas yang mendorong kesadaran metakognitif mahasiswa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23</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Keterampilan Berbicara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materi dengan aspek pengorganisasian ide dalam berbicara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24</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Keterampilan Berbicara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untuk pengembangan kejelasan penyampaian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25</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Keterampilan Berbicara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Kesesuaian materi dengan pengembangan ketepatan bahasa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26</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Keterampilan Berbicara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materi untuk pengembangan strategi komunikasi</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27</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Keterampilan Berbicara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Tersedianya contoh dan model keterampilan berbicara yang baik</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28</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Motivasi dan Kebahasaan Umum</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Kemampuan materi memotivasi mahasiswa dalam pembelajaran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29</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Motivasi dan Kebahasaan Umum</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Daya tarik dan engagement materi pembelajaran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30</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Motivasi dan Kebahasaan Umum</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Kontekstualitas materi dengan kehidupan mahasiswa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Bentuk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Desain antarmuka menarik secara visual dan profesional</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Bentuk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Menu dan navigasi media sederhana jelas dan mudah dipahami</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Bentuk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Tata letak dan desain konsisten di seluruh halaman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Bentuk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Jenis font ukuran dan warna teks mudah dibaca dan sesuai</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Kualitas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stabil saat digunakan dengan minim kesalahan teknis (bug)</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0,667</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Perlu Revisi</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Kualitas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mudah digunakan oleh mahasiswa (user-friendly)</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83,33</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0,778</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Perlu Revisi</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Kualitas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Konten relevan dengan tujuan pembelajaran keterampilan berbicara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Fungsi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mendukung pembelajaran aktif dan mandiri mahasiswa</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83,33</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0,778</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Perlu Revisi</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Fungsi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mempermudah mahasiswa memahami konsep dengan lebih cepat</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Fungsi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meningkatkan keterampilan berbicara melalui praktik langsung</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Fungsi Media</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mendukung implementasi teknik Feynman dalam pembelajaran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 tersegmentasi dalam unit-unit kecil yang fokus (bite-sized)</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13</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Durasi modul sesuai prinsip microlearning (5-15 menit)</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100,00</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1,000</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14</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dapat diakses kapan saja dan di mana saja melalui perangkat digital</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91,67</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0,889</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Valid</w:t>
            </w:r>
          </w:p>
        </w:tc>
      </w:tr>
      <w:tr>
        <w:trPr/>
        <w:tc>
          <w:tcPr>
            <w:tcW w:w="68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43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15</w:t>
            </w:r>
          </w:p>
        </w:tc>
        <w:tc>
          <w:tcPr>
            <w:tcW w:w="140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Microlearning</w:t>
            </w:r>
          </w:p>
        </w:tc>
        <w:tc>
          <w:tcPr>
            <w:tcW w:w="160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 menyediakan elemen interaktif yang mendukung keterlibatan</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4</w:t>
            </w:r>
          </w:p>
        </w:tc>
        <w:tc>
          <w:tcPr>
            <w:tcW w:w="381" w:type="dxa"/>
            <w:tcBorders/>
            <w:vAlign w:val="center"/>
          </w:tcPr>
          <w:p>
            <w:pPr>
              <w:pStyle w:val="Normal"/>
              <w:widowControl/>
              <w:spacing w:lineRule="auto" w:line="240" w:before="0" w:after="0"/>
              <w:jc w:val="center"/>
              <w:rPr>
                <w:sz w:val="20"/>
                <w:szCs w:val="20"/>
              </w:rPr>
            </w:pPr>
            <w:r>
              <w:rPr>
                <w:rFonts w:eastAsia="Cambria" w:cs="Calibri" w:ascii="Cambria" w:hAnsi="Cambria"/>
                <w:kern w:val="0"/>
                <w:sz w:val="20"/>
                <w:szCs w:val="20"/>
                <w:lang w:val="id-ID" w:eastAsia="id-ID" w:bidi="ar-SA"/>
              </w:rPr>
              <w:t>3</w:t>
            </w:r>
          </w:p>
        </w:tc>
        <w:tc>
          <w:tcPr>
            <w:tcW w:w="60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61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71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83,33</w:t>
            </w:r>
          </w:p>
        </w:tc>
        <w:tc>
          <w:tcPr>
            <w:tcW w:w="66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0,778</w:t>
            </w:r>
          </w:p>
        </w:tc>
        <w:tc>
          <w:tcPr>
            <w:tcW w:w="64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Perlu Revisi</w:t>
            </w:r>
          </w:p>
        </w:tc>
      </w:tr>
    </w:tbl>
    <w:p>
      <w:pPr>
        <w:pStyle w:val="Normal"/>
        <w:spacing w:before="80" w:after="40"/>
        <w:rPr>
          <w:sz w:val="20"/>
          <w:szCs w:val="20"/>
        </w:rPr>
      </w:pPr>
      <w:r>
        <w:rPr>
          <w:rFonts w:eastAsia="Cambria" w:ascii="Cambria" w:hAnsi="Cambria"/>
          <w:b/>
          <w:sz w:val="20"/>
          <w:szCs w:val="20"/>
        </w:rPr>
        <w:t>Catatan Validator</w:t>
      </w:r>
    </w:p>
    <w:tbl>
      <w:tblPr>
        <w:tblStyle w:val="TableGrid"/>
        <w:tblW w:w="5000" w:type="pct"/>
        <w:jc w:val="center"/>
        <w:tblInd w:w="0" w:type="dxa"/>
        <w:tblLayout w:type="fixed"/>
        <w:tblCellMar>
          <w:top w:w="35" w:type="dxa"/>
          <w:start w:w="45" w:type="dxa"/>
          <w:bottom w:w="35" w:type="dxa"/>
          <w:end w:w="45" w:type="dxa"/>
        </w:tblCellMar>
        <w:tblLook w:noHBand="0" w:noVBand="1" w:firstColumn="1" w:lastRow="0" w:lastColumn="0" w:firstRow="1" w:val="04a0"/>
      </w:tblPr>
      <w:tblGrid>
        <w:gridCol w:w="2506"/>
        <w:gridCol w:w="2958"/>
        <w:gridCol w:w="3040"/>
      </w:tblGrid>
      <w:tr>
        <w:trPr/>
        <w:tc>
          <w:tcPr>
            <w:tcW w:w="250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Jenis</w:t>
            </w:r>
          </w:p>
        </w:tc>
        <w:tc>
          <w:tcPr>
            <w:tcW w:w="2958"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Aspek</w:t>
            </w:r>
          </w:p>
        </w:tc>
        <w:tc>
          <w:tcPr>
            <w:tcW w:w="304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Catatan</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Kelayakan isi materi</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kebahasaan pada beberapa materi, khususnya pada materi hubungan keterampilan bicara dengan keterampilan berbahasa yang lain. Istilah "mendengarkan" baiknya diganti dengan "meyimak dan memirsa"</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Simpulan validator</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Modul ajar web cukup menarik dan memiliki kebaruan. Khususnya dari sisi alur pembelajaran.</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Saran Pengembangan Lebih lanjut</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Sesuaikan istilah teknis menjadi lebih sederhana. Kedalaman materi lebih diperluas lagi.</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Bentuk Media</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&amp; V2: Antarmuka sudah rapi dah terlihat profesional. Navigasi mudah dipahami terutama pada dashboard dan modul uji. Tingkatkan hirarkis visual supaya lebih fokus. V3: Sangat Menarik.</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Kualitas Media</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Secara menyeluruh sudah stabil. Fitur modul uji perlu perbaikan karena beberapa tombol terdapat kekutu (bugs). Alur penggunaan relatif intuitif.</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Fungsi Media</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Konsepnya bisa dipahami dan sangat mendukung pembelajaran aktif (dilihat dari beberapa modul contoh). Ada kuis sebagai bentuk implementasi teknik feynman, juga asesmen mandiri (uji rekam). V2: Manfaatkan gamifikasi tidak hanya sekadar fitur pendukung. V3: Perbaiki fungis login, beberapa otentikasi sering ditemukan error</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Microlearning</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Segmentasi sudah sesuai prinsip microlearning dan CTML. Sangat bisa untuk pembelajaran mandiri. Tombol navigasi bisa dieksplor lebih lanjut fiturnya., V2: Tambahkan fitur suka dan tidak suka pada video agar bisa tahu dan bisa perbaiki kualitas, V3: interaksi lewat pertanyaan sebaiknya dibuat menjadi chat</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Aspek yang Perlu Diperbaiki</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V3: Bugs pada proses auth (login), agar lebih dipermudah.</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Saran Spesifik</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Sesuai saran dari setiap sesi.</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Rekomendasi</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 xml:space="preserve">V3: Ketika sudah jadi, mohon disimpan sebagai open-source repository, agar banyak developer lain yang juga bisa berkontribusi terdap fiturnya </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Alasan rekomendasi</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Kelebihan Media</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UI sudah terstruktur baik, mendukung evaluasi terintegrasi dalam bentuk video. V2 &amp; V3: Terdapat juga sistem gamifikasi (XP, Level dsb.) yang berpotensi meningkatkan motivasi belajar mahasiswa.</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Kelemahan Media</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Sistem gamifikasi terlihat seperti "hiasan" semata, karena memang bukan fokus utama pengembangan. Integrasikan dengan alur penggunaan web ini. V2 &amp; V3: Navigasi masih tidak kompatibel di mobile, pertimbangkan karena banyak pemakai mobile</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Saran Pengembangan Lebih Lanjut</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Di modul uji perlu diperjelas setiap instruksinya agar penilaian menjadi lebih valid. Lebih baiknnya lagi dengan ikon/emoji. Lebih beragam lagi game inovatif di setiap perpindahan sesi, khususnya yang terkait keterampilan bicara/suara dan juga teknik feynman. V2: Integrasi angket harus bisa mode acak baik dari substansi soal dan pola negatif-positifnya, agar memuat pernyataan yang ketika diisi itu valid. V3: Bisa diintegrasikan dengan LMS kampus manapun.</w:t>
            </w:r>
          </w:p>
        </w:tc>
      </w:tr>
      <w:tr>
        <w:trPr/>
        <w:tc>
          <w:tcPr>
            <w:tcW w:w="250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Media</w:t>
            </w:r>
          </w:p>
        </w:tc>
        <w:tc>
          <w:tcPr>
            <w:tcW w:w="295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KETERANGAN</w:t>
            </w:r>
          </w:p>
        </w:tc>
        <w:tc>
          <w:tcPr>
            <w:tcW w:w="304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V1: Validator 1, V2: Validator 2, V3: Validator 3</w:t>
            </w:r>
          </w:p>
        </w:tc>
      </w:tr>
    </w:tbl>
    <w:p>
      <w:pPr>
        <w:pStyle w:val="Normal"/>
        <w:spacing w:before="80" w:after="40"/>
        <w:rPr>
          <w:sz w:val="20"/>
          <w:szCs w:val="20"/>
        </w:rPr>
      </w:pPr>
      <w:r>
        <w:rPr>
          <w:rFonts w:eastAsia="Cambria" w:ascii="Cambria" w:hAnsi="Cambria"/>
          <w:b/>
          <w:sz w:val="20"/>
          <w:szCs w:val="20"/>
        </w:rPr>
        <w:t>Revisi Produk Berdasarkan Masukan</w:t>
      </w:r>
    </w:p>
    <w:tbl>
      <w:tblPr>
        <w:tblStyle w:val="TableGrid"/>
        <w:tblW w:w="5000" w:type="pct"/>
        <w:jc w:val="center"/>
        <w:tblInd w:w="0" w:type="dxa"/>
        <w:tblLayout w:type="fixed"/>
        <w:tblCellMar>
          <w:top w:w="35" w:type="dxa"/>
          <w:start w:w="45" w:type="dxa"/>
          <w:bottom w:w="35" w:type="dxa"/>
          <w:end w:w="45" w:type="dxa"/>
        </w:tblCellMar>
        <w:tblLook w:noHBand="0" w:noVBand="1" w:firstColumn="1" w:lastRow="0" w:lastColumn="0" w:firstRow="1" w:val="04a0"/>
      </w:tblPr>
      <w:tblGrid>
        <w:gridCol w:w="388"/>
        <w:gridCol w:w="1188"/>
        <w:gridCol w:w="3070"/>
        <w:gridCol w:w="2265"/>
        <w:gridCol w:w="1593"/>
      </w:tblGrid>
      <w:tr>
        <w:trPr/>
        <w:tc>
          <w:tcPr>
            <w:tcW w:w="388"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No.</w:t>
            </w:r>
          </w:p>
        </w:tc>
        <w:tc>
          <w:tcPr>
            <w:tcW w:w="1188"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Sumber</w:t>
            </w:r>
          </w:p>
        </w:tc>
        <w:tc>
          <w:tcPr>
            <w:tcW w:w="307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Masukan Validator</w:t>
            </w:r>
          </w:p>
        </w:tc>
        <w:tc>
          <w:tcPr>
            <w:tcW w:w="226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Revisi yang Dilakukan</w:t>
            </w:r>
          </w:p>
        </w:tc>
        <w:tc>
          <w:tcPr>
            <w:tcW w:w="1593"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Keterangan</w:t>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Ahli Materi</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 perlu dipecah menjadi unit yang lebih kecil sesuai prinsip microlearning</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Materi dipecah menjadi 5-7 menit per unit dengan satu topik terfokus</w:t>
            </w:r>
          </w:p>
        </w:tc>
        <w:tc>
          <w:tcPr>
            <w:tcW w:w="159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[Gambar sebelum-sesudah revisi materi]</w:t>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Ahli Materi</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Tambahkan contoh penerapan teknik Feynman yang lebih kontekstual</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Ditambahkan video contoh penerapan teknik Feynman dalam berbagai topik linguistik</w:t>
            </w:r>
          </w:p>
        </w:tc>
        <w:tc>
          <w:tcPr>
            <w:tcW w:w="159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[Gambar penambahan contoh]</w:t>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Ahli Media</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Navigasi antarmodul perlu diperjelas dengan breadcrumb</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Ditambahkan breadcrumb navigation dan progress bar di setiap halaman</w:t>
            </w:r>
          </w:p>
        </w:tc>
        <w:tc>
          <w:tcPr>
            <w:tcW w:w="159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[Gambar sebelum-sesudah navigasi]</w:t>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Ahli Media</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Ukuran tombol perekaman perlu diperbesar untuk kemudahan akses</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Tombol perekaman diperbesar dan diberi label teks yang jelas</w:t>
            </w:r>
          </w:p>
        </w:tc>
        <w:tc>
          <w:tcPr>
            <w:tcW w:w="159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[Gambar revisi tombol rekaman]</w:t>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Ahli Media</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Tampilan mobile belum responsif secara optimal</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Dilakukan penyesuaian CSS untuk tampilan responsif di berbagai ukuran layar</w:t>
            </w:r>
          </w:p>
        </w:tc>
        <w:tc>
          <w:tcPr>
            <w:tcW w:w="1593"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[Gambar tampilan mobile]</w:t>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Penguji Seminar Kemajuan</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Kriteria penilaian agar lebih rinci (tidak ambigu) dan instuksi modul /uji agar lebih jelas, ditambahkan instruksi yang bisa mendeteksi gestur</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Dilakukan sesuai saran, sub poin kriteria dan penambahan instruksi uji.</w:t>
            </w:r>
          </w:p>
        </w:tc>
        <w:tc>
          <w:tcPr>
            <w:tcW w:w="1593" w:type="dxa"/>
            <w:tcBorders/>
            <w:vAlign w:val="center"/>
          </w:tcPr>
          <w:p>
            <w:pPr>
              <w:pStyle w:val="Normal"/>
              <w:widowControl/>
              <w:spacing w:lineRule="auto" w:line="240" w:before="0" w:after="0"/>
              <w:jc w:val="start"/>
              <w:rPr>
                <w:sz w:val="20"/>
                <w:szCs w:val="20"/>
              </w:rPr>
            </w:pPr>
            <w:r>
              <w:rPr>
                <w:rFonts w:eastAsia="Calibri" w:cs="Calibri"/>
                <w:kern w:val="0"/>
                <w:sz w:val="20"/>
                <w:szCs w:val="20"/>
                <w:lang w:val="id-ID" w:eastAsia="id-ID" w:bidi="ar-SA"/>
              </w:rPr>
            </w:r>
          </w:p>
        </w:tc>
      </w:tr>
      <w:tr>
        <w:trPr/>
        <w:tc>
          <w:tcPr>
            <w:tcW w:w="38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1188"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Penguji Seminar Kemajuan</w:t>
            </w:r>
          </w:p>
        </w:tc>
        <w:tc>
          <w:tcPr>
            <w:tcW w:w="3070"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Kriteria harus sesuai konstruk.</w:t>
            </w:r>
          </w:p>
        </w:tc>
        <w:tc>
          <w:tcPr>
            <w:tcW w:w="2265"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Pemetaan (mapping) kriteria eksisting ke konstruk berbicara dan metakognitif.</w:t>
            </w:r>
          </w:p>
        </w:tc>
        <w:tc>
          <w:tcPr>
            <w:tcW w:w="1593" w:type="dxa"/>
            <w:tcBorders/>
            <w:vAlign w:val="center"/>
          </w:tcPr>
          <w:p>
            <w:pPr>
              <w:pStyle w:val="Normal"/>
              <w:widowControl/>
              <w:spacing w:lineRule="auto" w:line="240" w:before="0" w:after="0"/>
              <w:jc w:val="start"/>
              <w:rPr>
                <w:sz w:val="20"/>
                <w:szCs w:val="20"/>
              </w:rPr>
            </w:pPr>
            <w:r>
              <w:rPr>
                <w:rFonts w:eastAsia="Calibri" w:cs="Calibri"/>
                <w:kern w:val="0"/>
                <w:sz w:val="20"/>
                <w:szCs w:val="20"/>
                <w:lang w:val="id-ID" w:eastAsia="id-ID" w:bidi="ar-SA"/>
              </w:rPr>
            </w:r>
          </w:p>
        </w:tc>
      </w:tr>
    </w:tbl>
    <w:p>
      <w:pPr>
        <w:pStyle w:val="Normal"/>
        <w:spacing w:before="60" w:after="160"/>
        <w:rPr>
          <w:sz w:val="20"/>
          <w:szCs w:val="20"/>
        </w:rPr>
      </w:pPr>
      <w:r>
        <w:rPr>
          <w:rFonts w:eastAsia="Cambria" w:ascii="Cambria" w:hAnsi="Cambria"/>
          <w:sz w:val="20"/>
          <w:szCs w:val="20"/>
        </w:rPr>
        <w:t>Catatan: kategori persentase menggunakan batas sangat valid &gt;= 81,25%; kategori Aiken dibaca valid jika V &gt;= 0,80. Perhitungan gabungan produk menjumlahkan validasi materi dan media.</w:t>
      </w:r>
    </w:p>
    <w:p>
      <w:pPr>
        <w:pStyle w:val="Normal"/>
        <w:rPr>
          <w:rFonts w:eastAsia="Times New Roman" w:cs="Times New Roman"/>
          <w:szCs w:val="24"/>
        </w:rPr>
      </w:pPr>
      <w:r>
        <w:rPr>
          <w:rFonts w:eastAsia="Times New Roman" w:cs="Times New Roman"/>
          <w:szCs w:val="24"/>
        </w:rPr>
      </w:r>
    </w:p>
    <w:p>
      <w:pPr>
        <w:pStyle w:val="Normal"/>
        <w:rPr>
          <w:rFonts w:eastAsia="Times New Roman" w:cs="Times New Roman"/>
          <w:szCs w:val="24"/>
        </w:rPr>
      </w:pPr>
      <w:r>
        <w:rPr>
          <w:rFonts w:eastAsia="Times New Roman" w:cs="Times New Roman"/>
          <w:szCs w:val="24"/>
        </w:rPr>
      </w:r>
    </w:p>
    <w:p>
      <w:pPr>
        <w:pStyle w:val="Normal"/>
        <w:rPr>
          <w:rFonts w:eastAsia="Times New Roman" w:cs="Times New Roman"/>
          <w:szCs w:val="24"/>
        </w:rPr>
      </w:pPr>
      <w:r>
        <w:rPr>
          <w:rFonts w:eastAsia="Times New Roman" w:cs="Times New Roman"/>
          <w:szCs w:val="24"/>
        </w:rPr>
      </w:r>
      <w:r>
        <w:br w:type="page"/>
      </w:r>
    </w:p>
    <w:p>
      <w:pPr>
        <w:pStyle w:val="Normal"/>
        <w:numPr>
          <w:ilvl w:val="0"/>
          <w:numId w:val="0"/>
        </w:numPr>
        <w:spacing w:before="0" w:after="160"/>
        <w:outlineLvl w:val="1"/>
        <w:rPr>
          <w:rFonts w:eastAsia="Times New Roman" w:cs="Times New Roman"/>
          <w:szCs w:val="24"/>
        </w:rPr>
      </w:pPr>
      <w:bookmarkStart w:id="308" w:name="_Toc233360823"/>
      <w:r>
        <w:rPr>
          <w:rFonts w:eastAsia="Times New Roman" w:cs="Times New Roman"/>
          <w:b/>
          <w:bCs/>
          <w:szCs w:val="24"/>
        </w:rPr>
        <w:t xml:space="preserve">Lampiran B4: </w:t>
      </w:r>
      <w:r>
        <w:rPr>
          <w:rFonts w:eastAsia="Times New Roman" w:cs="Times New Roman"/>
          <w:szCs w:val="24"/>
        </w:rPr>
        <w:t>Data Respons Pengguna</w:t>
      </w:r>
      <w:bookmarkEnd w:id="308"/>
    </w:p>
    <w:p>
      <w:pPr>
        <w:pStyle w:val="Normal"/>
        <w:jc w:val="center"/>
        <w:rPr/>
      </w:pPr>
      <w:r>
        <w:rPr>
          <w:rFonts w:eastAsia="Cambria" w:ascii="Cambria" w:hAnsi="Cambria"/>
          <w:b/>
          <w:sz w:val="28"/>
        </w:rPr>
        <w:t>Rekapitulasi Data Respons Pengguna</w:t>
      </w:r>
    </w:p>
    <w:tbl>
      <w:tblPr>
        <w:tblStyle w:val="TableGrid"/>
        <w:tblW w:w="5000" w:type="pct"/>
        <w:jc w:val="center"/>
        <w:tblInd w:w="0" w:type="dxa"/>
        <w:tblLayout w:type="fixed"/>
        <w:tblCellMar>
          <w:top w:w="30" w:type="dxa"/>
          <w:start w:w="35" w:type="dxa"/>
          <w:bottom w:w="30" w:type="dxa"/>
          <w:end w:w="35" w:type="dxa"/>
        </w:tblCellMar>
        <w:tblLook w:noHBand="0" w:noVBand="1" w:firstColumn="1" w:lastRow="0" w:lastColumn="0" w:firstRow="1" w:val="04a0"/>
      </w:tblPr>
      <w:tblGrid>
        <w:gridCol w:w="4838"/>
        <w:gridCol w:w="3666"/>
      </w:tblGrid>
      <w:tr>
        <w:trPr/>
        <w:tc>
          <w:tcPr>
            <w:tcW w:w="4838"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Sumber data: data/field_test/respons_mahasiswa.csv.</w:t>
              <w:br/>
              <w:t>Subjek: 40 mahasiswa kelas eksperimen sebagai pengguna media.</w:t>
              <w:br/>
              <w:t>Instrumen: 9 aspek respons pengguna, skor maksimum tiap aspek 8.</w:t>
              <w:br/>
              <w:t>Persentase = total skor / skor maksimum total x 100%.</w:t>
            </w:r>
          </w:p>
        </w:tc>
        <w:tc>
          <w:tcPr>
            <w:tcW w:w="3666" w:type="dxa"/>
            <w:tcBorders/>
            <w:vAlign w:val="center"/>
          </w:tcPr>
          <w:p>
            <w:pPr>
              <w:pStyle w:val="Normal"/>
              <w:widowControl/>
              <w:spacing w:lineRule="auto" w:line="240" w:before="0" w:after="0"/>
              <w:jc w:val="start"/>
              <w:rPr>
                <w:rFonts w:eastAsia="Calibri" w:cs="Calibri"/>
                <w:kern w:val="0"/>
                <w:szCs w:val="22"/>
                <w:lang w:val="id-ID" w:eastAsia="id-ID" w:bidi="ar-SA"/>
              </w:rPr>
            </w:pPr>
            <w:r>
              <w:rPr>
                <w:rFonts w:eastAsia="Cambria" w:cs="Calibri" w:ascii="Cambria" w:hAnsi="Cambria"/>
                <w:kern w:val="0"/>
                <w:sz w:val="16"/>
                <w:szCs w:val="22"/>
                <w:lang w:val="id-ID" w:eastAsia="id-ID" w:bidi="ar-SA"/>
              </w:rPr>
              <w:t>Jumlah responden: 40 mahasiswa</w:t>
              <w:br/>
              <w:t>Skor maksimum per responden: 72</w:t>
              <w:br/>
              <w:t>Rerata total skor: 53,10</w:t>
              <w:br/>
              <w:t>Rerata persentase: 73,75%</w:t>
              <w:br/>
              <w:t>Kategori rerata: Tinggi</w:t>
            </w:r>
          </w:p>
        </w:tc>
      </w:tr>
    </w:tbl>
    <w:p>
      <w:pPr>
        <w:pStyle w:val="Normal"/>
        <w:spacing w:before="80" w:after="40"/>
        <w:rPr/>
      </w:pPr>
      <w:r>
        <w:rPr>
          <w:rFonts w:eastAsia="Cambria" w:ascii="Cambria" w:hAnsi="Cambria"/>
          <w:b/>
          <w:sz w:val="21"/>
        </w:rPr>
        <w:t>Ringkasan Respons Pengguna</w:t>
      </w:r>
    </w:p>
    <w:tbl>
      <w:tblPr>
        <w:tblStyle w:val="TableGrid"/>
        <w:tblW w:w="5000" w:type="pct"/>
        <w:jc w:val="center"/>
        <w:tblInd w:w="0" w:type="dxa"/>
        <w:tblLayout w:type="fixed"/>
        <w:tblCellMar>
          <w:top w:w="30" w:type="dxa"/>
          <w:start w:w="35" w:type="dxa"/>
          <w:bottom w:w="30" w:type="dxa"/>
          <w:end w:w="35" w:type="dxa"/>
        </w:tblCellMar>
        <w:tblLook w:noHBand="0" w:noVBand="1" w:firstColumn="1" w:lastRow="0" w:lastColumn="0" w:firstRow="1" w:val="04a0"/>
      </w:tblPr>
      <w:tblGrid>
        <w:gridCol w:w="706"/>
        <w:gridCol w:w="1766"/>
        <w:gridCol w:w="904"/>
        <w:gridCol w:w="1241"/>
        <w:gridCol w:w="920"/>
        <w:gridCol w:w="905"/>
        <w:gridCol w:w="920"/>
        <w:gridCol w:w="1142"/>
      </w:tblGrid>
      <w:tr>
        <w:trPr>
          <w:tblHeader w:val="true"/>
        </w:trPr>
        <w:tc>
          <w:tcPr>
            <w:tcW w:w="70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n</w:t>
            </w:r>
          </w:p>
        </w:tc>
        <w:tc>
          <w:tcPr>
            <w:tcW w:w="176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Maks/Responden</w:t>
            </w:r>
          </w:p>
        </w:tc>
        <w:tc>
          <w:tcPr>
            <w:tcW w:w="904"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Total</w:t>
            </w:r>
          </w:p>
        </w:tc>
        <w:tc>
          <w:tcPr>
            <w:tcW w:w="124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Maks Gabungan</w:t>
            </w:r>
          </w:p>
        </w:tc>
        <w:tc>
          <w:tcPr>
            <w:tcW w:w="92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Mean Total</w:t>
            </w:r>
          </w:p>
        </w:tc>
        <w:tc>
          <w:tcPr>
            <w:tcW w:w="90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SD Total</w:t>
            </w:r>
          </w:p>
        </w:tc>
        <w:tc>
          <w:tcPr>
            <w:tcW w:w="92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Mean %</w:t>
            </w:r>
          </w:p>
        </w:tc>
        <w:tc>
          <w:tcPr>
            <w:tcW w:w="1142"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w:t>
            </w:r>
          </w:p>
        </w:tc>
      </w:tr>
      <w:tr>
        <w:trPr/>
        <w:tc>
          <w:tcPr>
            <w:tcW w:w="7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40</w:t>
            </w:r>
          </w:p>
        </w:tc>
        <w:tc>
          <w:tcPr>
            <w:tcW w:w="17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w:t>
            </w:r>
          </w:p>
        </w:tc>
        <w:tc>
          <w:tcPr>
            <w:tcW w:w="904"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2124</w:t>
            </w:r>
          </w:p>
        </w:tc>
        <w:tc>
          <w:tcPr>
            <w:tcW w:w="12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2880</w:t>
            </w:r>
          </w:p>
        </w:tc>
        <w:tc>
          <w:tcPr>
            <w:tcW w:w="92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53,10</w:t>
            </w:r>
          </w:p>
        </w:tc>
        <w:tc>
          <w:tcPr>
            <w:tcW w:w="90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1,81</w:t>
            </w:r>
          </w:p>
        </w:tc>
        <w:tc>
          <w:tcPr>
            <w:tcW w:w="92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73,75</w:t>
            </w:r>
          </w:p>
        </w:tc>
        <w:tc>
          <w:tcPr>
            <w:tcW w:w="1142"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bl>
    <w:p>
      <w:pPr>
        <w:pStyle w:val="Normal"/>
        <w:spacing w:before="80" w:after="40"/>
        <w:rPr>
          <w:sz w:val="20"/>
          <w:szCs w:val="20"/>
        </w:rPr>
      </w:pPr>
      <w:r>
        <w:rPr>
          <w:rFonts w:eastAsia="Cambria" w:ascii="Cambria" w:hAnsi="Cambria"/>
          <w:b/>
          <w:sz w:val="20"/>
          <w:szCs w:val="20"/>
        </w:rPr>
        <w:t>Ringkasan Per Aspek</w:t>
      </w:r>
    </w:p>
    <w:tbl>
      <w:tblPr>
        <w:tblStyle w:val="TableGrid"/>
        <w:tblW w:w="5000" w:type="pct"/>
        <w:jc w:val="center"/>
        <w:tblInd w:w="0" w:type="dxa"/>
        <w:tblLayout w:type="fixed"/>
        <w:tblCellMar>
          <w:top w:w="30" w:type="dxa"/>
          <w:start w:w="35" w:type="dxa"/>
          <w:bottom w:w="30" w:type="dxa"/>
          <w:end w:w="35" w:type="dxa"/>
        </w:tblCellMar>
        <w:tblLook w:noHBand="0" w:noVBand="1" w:firstColumn="1" w:lastRow="0" w:lastColumn="0" w:firstRow="1" w:val="04a0"/>
      </w:tblPr>
      <w:tblGrid>
        <w:gridCol w:w="1574"/>
        <w:gridCol w:w="1066"/>
        <w:gridCol w:w="1068"/>
        <w:gridCol w:w="1441"/>
        <w:gridCol w:w="1080"/>
        <w:gridCol w:w="989"/>
        <w:gridCol w:w="1286"/>
      </w:tblGrid>
      <w:tr>
        <w:trPr>
          <w:tblHeader w:val="true"/>
        </w:trPr>
        <w:tc>
          <w:tcPr>
            <w:tcW w:w="1574"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Aspek</w:t>
            </w:r>
          </w:p>
        </w:tc>
        <w:tc>
          <w:tcPr>
            <w:tcW w:w="106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Total</w:t>
            </w:r>
          </w:p>
        </w:tc>
        <w:tc>
          <w:tcPr>
            <w:tcW w:w="1068"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Skor Maks</w:t>
            </w:r>
          </w:p>
        </w:tc>
        <w:tc>
          <w:tcPr>
            <w:tcW w:w="144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Persentase</w:t>
            </w:r>
          </w:p>
        </w:tc>
        <w:tc>
          <w:tcPr>
            <w:tcW w:w="108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Mean</w:t>
            </w:r>
          </w:p>
        </w:tc>
        <w:tc>
          <w:tcPr>
            <w:tcW w:w="989"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SD</w:t>
            </w:r>
          </w:p>
        </w:tc>
        <w:tc>
          <w:tcPr>
            <w:tcW w:w="128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Kualitas Konten</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280</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87,50</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7,00</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0,78</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Kemudahan Penggunaan</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201</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62,81</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5,03</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0,73</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Keterlibatan</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284</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88,75</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7,10</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0,71</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Dampak Berbicara</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199</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62,19</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4,97</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0,66</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Dukungan Metakognisi</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284</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88,75</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7,10</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0,59</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Microlearning</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199</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62,19</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4,97</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0,66</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Aksesibilitas</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198</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61,88</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4,95</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0,68</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Teknik Feynman</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279</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87,19</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6,97</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0,73</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Sangat Tinggi</w:t>
            </w:r>
          </w:p>
        </w:tc>
      </w:tr>
      <w:tr>
        <w:trPr/>
        <w:tc>
          <w:tcPr>
            <w:tcW w:w="157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Refleksi Diri</w:t>
            </w:r>
          </w:p>
        </w:tc>
        <w:tc>
          <w:tcPr>
            <w:tcW w:w="106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200</w:t>
            </w:r>
          </w:p>
        </w:tc>
        <w:tc>
          <w:tcPr>
            <w:tcW w:w="1068"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320</w:t>
            </w:r>
          </w:p>
        </w:tc>
        <w:tc>
          <w:tcPr>
            <w:tcW w:w="14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62,50</w:t>
            </w:r>
          </w:p>
        </w:tc>
        <w:tc>
          <w:tcPr>
            <w:tcW w:w="108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5,00</w:t>
            </w:r>
          </w:p>
        </w:tc>
        <w:tc>
          <w:tcPr>
            <w:tcW w:w="98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0,64</w:t>
            </w:r>
          </w:p>
        </w:tc>
        <w:tc>
          <w:tcPr>
            <w:tcW w:w="1286"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bl>
    <w:p>
      <w:pPr>
        <w:pStyle w:val="Normal"/>
        <w:spacing w:before="80" w:after="40"/>
        <w:rPr>
          <w:sz w:val="20"/>
          <w:szCs w:val="20"/>
        </w:rPr>
      </w:pPr>
      <w:r>
        <w:rPr>
          <w:rFonts w:eastAsia="Cambria" w:ascii="Cambria" w:hAnsi="Cambria"/>
          <w:b/>
          <w:sz w:val="20"/>
          <w:szCs w:val="20"/>
        </w:rPr>
        <w:t>Data Rinci dan Perhitungan Per Responden</w:t>
      </w:r>
    </w:p>
    <w:tbl>
      <w:tblPr>
        <w:tblStyle w:val="TableGrid"/>
        <w:tblW w:w="5000" w:type="pct"/>
        <w:jc w:val="center"/>
        <w:tblInd w:w="0" w:type="dxa"/>
        <w:tblLayout w:type="fixed"/>
        <w:tblCellMar>
          <w:top w:w="30" w:type="dxa"/>
          <w:start w:w="35" w:type="dxa"/>
          <w:bottom w:w="30" w:type="dxa"/>
          <w:end w:w="35" w:type="dxa"/>
        </w:tblCellMar>
        <w:tblLook w:noHBand="0" w:noVBand="1" w:firstColumn="1" w:lastRow="0" w:lastColumn="0" w:firstRow="1" w:val="04a0"/>
      </w:tblPr>
      <w:tblGrid>
        <w:gridCol w:w="276"/>
        <w:gridCol w:w="864"/>
        <w:gridCol w:w="535"/>
        <w:gridCol w:w="841"/>
        <w:gridCol w:w="877"/>
        <w:gridCol w:w="699"/>
        <w:gridCol w:w="852"/>
        <w:gridCol w:w="440"/>
        <w:gridCol w:w="443"/>
        <w:gridCol w:w="659"/>
        <w:gridCol w:w="585"/>
        <w:gridCol w:w="406"/>
        <w:gridCol w:w="406"/>
        <w:gridCol w:w="621"/>
      </w:tblGrid>
      <w:tr>
        <w:trPr>
          <w:tblHeader w:val="true"/>
        </w:trPr>
        <w:tc>
          <w:tcPr>
            <w:tcW w:w="27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No.</w:t>
            </w:r>
          </w:p>
        </w:tc>
        <w:tc>
          <w:tcPr>
            <w:tcW w:w="864"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kode_subjek</w:t>
            </w:r>
          </w:p>
        </w:tc>
        <w:tc>
          <w:tcPr>
            <w:tcW w:w="53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Konten</w:t>
            </w:r>
          </w:p>
        </w:tc>
        <w:tc>
          <w:tcPr>
            <w:tcW w:w="84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Kemudahan</w:t>
            </w:r>
          </w:p>
        </w:tc>
        <w:tc>
          <w:tcPr>
            <w:tcW w:w="877"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Keterlibatan</w:t>
            </w:r>
          </w:p>
        </w:tc>
        <w:tc>
          <w:tcPr>
            <w:tcW w:w="699"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Berbicara</w:t>
            </w:r>
          </w:p>
        </w:tc>
        <w:tc>
          <w:tcPr>
            <w:tcW w:w="852"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Metakognisi</w:t>
            </w:r>
          </w:p>
        </w:tc>
        <w:tc>
          <w:tcPr>
            <w:tcW w:w="440"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Micro</w:t>
            </w:r>
          </w:p>
        </w:tc>
        <w:tc>
          <w:tcPr>
            <w:tcW w:w="443"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Akses</w:t>
            </w:r>
          </w:p>
        </w:tc>
        <w:tc>
          <w:tcPr>
            <w:tcW w:w="659"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Feynman</w:t>
            </w:r>
          </w:p>
        </w:tc>
        <w:tc>
          <w:tcPr>
            <w:tcW w:w="585"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Refleksi</w:t>
            </w:r>
          </w:p>
        </w:tc>
        <w:tc>
          <w:tcPr>
            <w:tcW w:w="40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Total</w:t>
            </w:r>
          </w:p>
        </w:tc>
        <w:tc>
          <w:tcPr>
            <w:tcW w:w="406"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w:t>
            </w:r>
          </w:p>
        </w:tc>
        <w:tc>
          <w:tcPr>
            <w:tcW w:w="621" w:type="dxa"/>
            <w:tcBorders/>
            <w:shd w:color="auto" w:fill="EDEDED" w:val="clear"/>
            <w:vAlign w:val="center"/>
          </w:tcPr>
          <w:p>
            <w:pPr>
              <w:pStyle w:val="Normal"/>
              <w:widowControl/>
              <w:spacing w:lineRule="auto" w:line="240" w:before="0" w:after="0"/>
              <w:jc w:val="center"/>
              <w:rPr>
                <w:sz w:val="20"/>
                <w:szCs w:val="20"/>
              </w:rPr>
            </w:pPr>
            <w:r>
              <w:rPr>
                <w:rFonts w:eastAsia="Cambria" w:cs="Calibri" w:ascii="Cambria" w:hAnsi="Cambria"/>
                <w:b/>
                <w:kern w:val="0"/>
                <w:sz w:val="20"/>
                <w:szCs w:val="20"/>
                <w:lang w:val="id-ID" w:eastAsia="id-ID" w:bidi="ar-SA"/>
              </w:rPr>
              <w:t>Kategori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E01</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77,78</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E02</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E03</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76,39</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E04</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77,78</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E05</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E06</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50</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69,44</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E07</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E08</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9</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E09</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10</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E10</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11</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E11</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12</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E12</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13</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E13</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14</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E14</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15</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E15</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16</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E16</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17</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E17</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57</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79,17</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18</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E18</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19</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E19</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20</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E20</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21</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E21</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49</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68,06</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22</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E22</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23</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E23</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24</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E24</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77,78</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25</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E25</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26</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E26</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27</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E27</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28</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E28</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29</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E29</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49</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68,06</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30</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E30</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76,39</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31</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E31</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32</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E32</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33</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E33</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51</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70,83</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34</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E34</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52</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72,22</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35</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E35</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36</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E36</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76,39</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37</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E37</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50</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69,44</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38</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E38</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53</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73,61</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39</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E39</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8</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r>
        <w:trPr/>
        <w:tc>
          <w:tcPr>
            <w:tcW w:w="27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40</w:t>
            </w:r>
          </w:p>
        </w:tc>
        <w:tc>
          <w:tcPr>
            <w:tcW w:w="864"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E40</w:t>
            </w:r>
          </w:p>
        </w:tc>
        <w:tc>
          <w:tcPr>
            <w:tcW w:w="53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41"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877"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69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852"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440"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43"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6</w:t>
            </w:r>
          </w:p>
        </w:tc>
        <w:tc>
          <w:tcPr>
            <w:tcW w:w="659"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w:t>
            </w:r>
          </w:p>
        </w:tc>
        <w:tc>
          <w:tcPr>
            <w:tcW w:w="585"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54</w:t>
            </w:r>
          </w:p>
        </w:tc>
        <w:tc>
          <w:tcPr>
            <w:tcW w:w="406" w:type="dxa"/>
            <w:tcBorders/>
            <w:vAlign w:val="center"/>
          </w:tcPr>
          <w:p>
            <w:pPr>
              <w:pStyle w:val="Normal"/>
              <w:widowControl/>
              <w:spacing w:lineRule="auto" w:line="240" w:before="0" w:after="0"/>
              <w:jc w:val="end"/>
              <w:rPr>
                <w:sz w:val="20"/>
                <w:szCs w:val="20"/>
              </w:rPr>
            </w:pPr>
            <w:r>
              <w:rPr>
                <w:rFonts w:eastAsia="Cambria" w:cs="Calibri" w:ascii="Cambria" w:hAnsi="Cambria"/>
                <w:kern w:val="0"/>
                <w:sz w:val="20"/>
                <w:szCs w:val="20"/>
                <w:lang w:val="id-ID" w:eastAsia="id-ID" w:bidi="ar-SA"/>
              </w:rPr>
              <w:t>75,00</w:t>
            </w:r>
          </w:p>
        </w:tc>
        <w:tc>
          <w:tcPr>
            <w:tcW w:w="621" w:type="dxa"/>
            <w:tcBorders/>
            <w:vAlign w:val="center"/>
          </w:tcPr>
          <w:p>
            <w:pPr>
              <w:pStyle w:val="Normal"/>
              <w:widowControl/>
              <w:spacing w:lineRule="auto" w:line="240" w:before="0" w:after="0"/>
              <w:jc w:val="start"/>
              <w:rPr>
                <w:sz w:val="20"/>
                <w:szCs w:val="20"/>
              </w:rPr>
            </w:pPr>
            <w:r>
              <w:rPr>
                <w:rFonts w:eastAsia="Cambria" w:cs="Calibri" w:ascii="Cambria" w:hAnsi="Cambria"/>
                <w:kern w:val="0"/>
                <w:sz w:val="20"/>
                <w:szCs w:val="20"/>
                <w:lang w:val="id-ID" w:eastAsia="id-ID" w:bidi="ar-SA"/>
              </w:rPr>
              <w:t>Tinggi</w:t>
            </w:r>
          </w:p>
        </w:tc>
      </w:tr>
    </w:tbl>
    <w:p>
      <w:pPr>
        <w:pStyle w:val="Normal"/>
        <w:spacing w:before="60" w:after="160"/>
        <w:rPr>
          <w:rFonts w:ascii="Cambria" w:hAnsi="Cambria" w:eastAsia="Cambria"/>
          <w:sz w:val="15"/>
        </w:rPr>
      </w:pPr>
      <w:r>
        <w:rPr>
          <w:rFonts w:eastAsia="Cambria" w:ascii="Cambria" w:hAnsi="Cambria"/>
          <w:sz w:val="15"/>
        </w:rPr>
        <w:t>Catatan: kategori respons menggunakan rentang sangat rendah 0-20%, rendah 21-40%, sedang 41-60%, tinggi 61-80%, dan sangat tinggi 81-100%.</w:t>
      </w:r>
    </w:p>
    <w:p>
      <w:pPr>
        <w:pStyle w:val="Abstract"/>
        <w:spacing w:before="100" w:after="0"/>
        <w:ind w:hanging="0"/>
        <w:rPr>
          <w:b/>
          <w:bCs/>
          <w:sz w:val="24"/>
          <w:szCs w:val="24"/>
        </w:rPr>
      </w:pPr>
      <w:r>
        <w:rPr>
          <w:b/>
          <w:bCs/>
          <w:sz w:val="24"/>
          <w:szCs w:val="24"/>
        </w:rPr>
        <w:t>Data Selengkapnya</w:t>
      </w:r>
    </w:p>
    <w:p>
      <w:pPr>
        <w:pStyle w:val="Normal"/>
        <w:tabs>
          <w:tab w:val="clear" w:pos="720"/>
          <w:tab w:val="left" w:pos="4395" w:leader="none"/>
          <w:tab w:val="left" w:pos="7371" w:leader="none"/>
        </w:tabs>
        <w:spacing w:before="0" w:after="0"/>
        <w:rPr>
          <w:rFonts w:eastAsia="Times New Roman" w:cs="Times New Roman"/>
          <w:b/>
          <w:bCs/>
          <w:szCs w:val="24"/>
        </w:rPr>
      </w:pPr>
      <w:r>
        <w:rPr/>
        <w:drawing>
          <wp:inline distT="0" distB="0" distL="0" distR="0">
            <wp:extent cx="1797685" cy="1816735"/>
            <wp:effectExtent l="0" t="0" r="0" b="0"/>
            <wp:docPr id="229" name="Image1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29" name="Image12"/>
                    <pic:cNvPicPr>
                      <a:picLocks noChangeAspect="1" noChangeArrowheads="1"/>
                    </pic:cNvPicPr>
                  </pic:nvPicPr>
                  <pic:blipFill>
                    <a:blip r:embed="rId67"/>
                    <a:stretch>
                      <a:fillRect/>
                    </a:stretch>
                  </pic:blipFill>
                  <pic:spPr bwMode="auto">
                    <a:xfrm>
                      <a:off x="0" y="0"/>
                      <a:ext cx="1797685" cy="1816735"/>
                    </a:xfrm>
                    <a:prstGeom prst="rect">
                      <a:avLst/>
                    </a:prstGeom>
                    <a:noFill/>
                  </pic:spPr>
                </pic:pic>
              </a:graphicData>
            </a:graphic>
          </wp:inline>
        </w:drawing>
      </w:r>
    </w:p>
    <w:p>
      <w:pPr>
        <w:pStyle w:val="Normal"/>
        <w:rPr>
          <w:rFonts w:cs="Times New Roman"/>
          <w:i/>
          <w:iCs/>
          <w:sz w:val="16"/>
          <w:szCs w:val="14"/>
        </w:rPr>
      </w:pPr>
      <w:r>
        <w:rPr>
          <w:rFonts w:cs="Times New Roman"/>
          <w:i/>
          <w:iCs/>
          <w:sz w:val="16"/>
          <w:szCs w:val="14"/>
        </w:rPr>
        <w:t>Dataset Kualitatif Respons Pengguna</w:t>
      </w:r>
    </w:p>
    <w:p>
      <w:pPr>
        <w:pStyle w:val="Normal"/>
        <w:spacing w:before="60" w:after="160"/>
        <w:rPr>
          <w:rFonts w:ascii="Cambria" w:hAnsi="Cambria" w:eastAsia="Cambria"/>
          <w:sz w:val="15"/>
        </w:rPr>
      </w:pPr>
      <w:r>
        <w:rPr>
          <w:rFonts w:eastAsia="Cambria" w:ascii="Cambria" w:hAnsi="Cambria"/>
          <w:sz w:val="15"/>
        </w:rPr>
      </w:r>
    </w:p>
    <w:p>
      <w:pPr>
        <w:pStyle w:val="Abstract"/>
        <w:spacing w:before="100" w:after="0"/>
        <w:ind w:hanging="0"/>
        <w:rPr>
          <w:i/>
          <w:iCs/>
          <w:sz w:val="16"/>
          <w:szCs w:val="14"/>
        </w:rPr>
      </w:pPr>
      <w:r>
        <w:rPr>
          <w:i/>
          <w:iCs/>
          <w:sz w:val="16"/>
          <w:szCs w:val="14"/>
        </w:rPr>
      </w:r>
      <w:r>
        <w:br w:type="page"/>
      </w:r>
    </w:p>
    <w:p>
      <w:pPr>
        <w:pStyle w:val="Normal"/>
        <w:spacing w:before="0" w:after="160"/>
        <w:rPr>
          <w:rFonts w:cs="Times New Roman"/>
        </w:rPr>
      </w:pPr>
      <w:r>
        <w:rPr>
          <w:rFonts w:cs="Times New Roman"/>
        </w:rPr>
      </w:r>
    </w:p>
    <w:p>
      <w:pPr>
        <w:pStyle w:val="Normal"/>
        <w:numPr>
          <w:ilvl w:val="0"/>
          <w:numId w:val="0"/>
        </w:numPr>
        <w:outlineLvl w:val="1"/>
        <w:rPr>
          <w:rFonts w:eastAsia="Times New Roman" w:cs="Times New Roman"/>
          <w:szCs w:val="24"/>
        </w:rPr>
      </w:pPr>
      <w:bookmarkStart w:id="309" w:name="_Toc233360824"/>
      <w:r>
        <w:rPr>
          <w:rFonts w:eastAsia="Times New Roman" w:cs="Times New Roman"/>
          <w:b/>
          <w:bCs/>
          <w:szCs w:val="24"/>
        </w:rPr>
        <w:t xml:space="preserve">Lampiran B5: </w:t>
      </w:r>
      <w:r>
        <w:rPr>
          <w:rFonts w:eastAsia="Times New Roman" w:cs="Times New Roman"/>
          <w:szCs w:val="24"/>
        </w:rPr>
        <w:t>Rekapitulasi</w:t>
      </w:r>
      <w:r>
        <w:rPr>
          <w:rFonts w:eastAsia="Times New Roman" w:cs="Times New Roman"/>
          <w:b/>
          <w:bCs/>
          <w:szCs w:val="24"/>
        </w:rPr>
        <w:t xml:space="preserve"> </w:t>
      </w:r>
      <w:r>
        <w:rPr>
          <w:rFonts w:eastAsia="Times New Roman" w:cs="Times New Roman"/>
          <w:szCs w:val="24"/>
        </w:rPr>
        <w:t>Data Observasi</w:t>
      </w:r>
      <w:bookmarkEnd w:id="309"/>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77"/>
        <w:gridCol w:w="1929"/>
        <w:gridCol w:w="1867"/>
        <w:gridCol w:w="1033"/>
        <w:gridCol w:w="3198"/>
      </w:tblGrid>
      <w:tr>
        <w:trPr>
          <w:trHeight w:val="300" w:hRule="atLeast"/>
        </w:trPr>
        <w:tc>
          <w:tcPr>
            <w:tcW w:w="4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b/>
                <w:bCs/>
                <w:color w:val="000000"/>
                <w:sz w:val="22"/>
                <w:lang w:val="en-GB" w:eastAsia="en-GB"/>
              </w:rPr>
            </w:pPr>
            <w:r>
              <w:rPr>
                <w:rFonts w:eastAsia="Times New Roman" w:cs="Times New Roman" w:ascii="Cambria" w:hAnsi="Cambria"/>
                <w:b/>
                <w:bCs/>
                <w:color w:val="000000"/>
                <w:sz w:val="22"/>
                <w:lang w:val="en-GB" w:eastAsia="en-GB"/>
              </w:rPr>
              <w:t>no</w:t>
            </w:r>
          </w:p>
        </w:tc>
        <w:tc>
          <w:tcPr>
            <w:tcW w:w="1929"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b/>
                <w:bCs/>
                <w:color w:val="000000"/>
                <w:sz w:val="22"/>
                <w:lang w:val="en-GB" w:eastAsia="en-GB"/>
              </w:rPr>
            </w:pPr>
            <w:r>
              <w:rPr>
                <w:rFonts w:eastAsia="Times New Roman" w:cs="Times New Roman" w:ascii="Cambria" w:hAnsi="Cambria"/>
                <w:b/>
                <w:bCs/>
                <w:color w:val="000000"/>
                <w:sz w:val="22"/>
                <w:lang w:val="en-GB" w:eastAsia="en-GB"/>
              </w:rPr>
              <w:t>aspek_observasi</w:t>
            </w:r>
          </w:p>
        </w:tc>
        <w:tc>
          <w:tcPr>
            <w:tcW w:w="1867"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b/>
                <w:bCs/>
                <w:color w:val="000000"/>
                <w:sz w:val="22"/>
                <w:lang w:val="en-GB" w:eastAsia="en-GB"/>
              </w:rPr>
            </w:pPr>
            <w:r>
              <w:rPr>
                <w:rFonts w:eastAsia="Times New Roman" w:cs="Times New Roman" w:ascii="Cambria" w:hAnsi="Cambria"/>
                <w:b/>
                <w:bCs/>
                <w:color w:val="000000"/>
                <w:sz w:val="22"/>
                <w:lang w:val="en-GB" w:eastAsia="en-GB"/>
              </w:rPr>
              <w:t>indikator</w:t>
            </w:r>
          </w:p>
        </w:tc>
        <w:tc>
          <w:tcPr>
            <w:tcW w:w="1033"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b/>
                <w:bCs/>
                <w:color w:val="000000"/>
                <w:sz w:val="22"/>
                <w:lang w:val="en-GB" w:eastAsia="en-GB"/>
              </w:rPr>
            </w:pPr>
            <w:r>
              <w:rPr>
                <w:rFonts w:eastAsia="Times New Roman" w:cs="Times New Roman" w:ascii="Cambria" w:hAnsi="Cambria"/>
                <w:b/>
                <w:bCs/>
                <w:color w:val="000000"/>
                <w:sz w:val="22"/>
                <w:lang w:val="en-GB" w:eastAsia="en-GB"/>
              </w:rPr>
              <w:t>hasil</w:t>
            </w:r>
          </w:p>
        </w:tc>
        <w:tc>
          <w:tcPr>
            <w:tcW w:w="3198"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b/>
                <w:bCs/>
                <w:color w:val="000000"/>
                <w:sz w:val="22"/>
                <w:lang w:val="en-GB" w:eastAsia="en-GB"/>
              </w:rPr>
            </w:pPr>
            <w:r>
              <w:rPr>
                <w:rFonts w:eastAsia="Times New Roman" w:cs="Times New Roman" w:ascii="Cambria" w:hAnsi="Cambria"/>
                <w:b/>
                <w:bCs/>
                <w:color w:val="000000"/>
                <w:sz w:val="22"/>
                <w:lang w:val="en-GB" w:eastAsia="en-GB"/>
              </w:rPr>
              <w:t>catatan_kualitatif</w:t>
            </w:r>
          </w:p>
        </w:tc>
      </w:tr>
      <w:tr>
        <w:trPr>
          <w:trHeight w:val="1425"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1</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Durasi Penggunaan Media</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menggunakan media sesuai waktu</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87%</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menggunakan media sesuai waktu yang ditentukan, namun beberapa mahasiswa mengalami kesulitan dalam mengatur waktu mereka. Beberapa mahasiswa membutuhkan pengingat tambahan untuk tetap fokus pada penggunaan media.</w:t>
            </w:r>
          </w:p>
        </w:tc>
      </w:tr>
      <w:tr>
        <w:trPr>
          <w:trHeight w:val="1710"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2</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Tingkat Partisipasi</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menyelesaikan seluruh modul</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82%</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menyelesaikan seluruh modul dengan baik, namun beberapa mahasiswa membutuhkan bimbingan tambahan untuk memahami beberapa materi yang lebih kompleks. Beberapa mahasiswa juga mengalami kesulitan dalam mengatur waktu mereka untuk menyelesaikan modul tepat waktu.</w:t>
            </w:r>
          </w:p>
        </w:tc>
      </w:tr>
      <w:tr>
        <w:trPr>
          <w:trHeight w:val="2280"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3</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Interaksi dengan Konten</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mengakses fitur interaktif</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78%</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mengakses fitur interaktif dengan baik, namun beberapa mahasiswa mengalami kesulitan dalam memahami beberapa konten yang lebih kompleks. Beberapa mahasiswa membutuhkan bimbingan tambahan untuk memahami materi tertentu. Fitur tanya jawab tidak terlalu digunakan secara optimal, beberapa mahasiswa hanya mengaksesnya ketika benar-benar membutuhkan bantuan.</w:t>
            </w:r>
          </w:p>
        </w:tc>
      </w:tr>
      <w:tr>
        <w:trPr>
          <w:trHeight w:val="1995"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4</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Penerapan Teknik Feynman</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mampu menjelaskan ulang dengan bahasa sendiri</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82%</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mampu menjelaskan ulang materi dengan bahasa mereka sendiri, namun beberapa mahasiswa masih kesulitan dalam menyampaikan konsep yang lebih kompleks. Beberapa mahasiswa membutuhkan bimbingan tambahan untuk memahami materi tertentu dan mengaplikasikan teknik Feynman dengan lebih efektif.</w:t>
            </w:r>
          </w:p>
        </w:tc>
      </w:tr>
      <w:tr>
        <w:trPr>
          <w:trHeight w:val="1425"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5</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Keterlibatan dalam Diskusi</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Frekuensi partisipasi dalam forum diskusi</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6 kali/sesi</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aktif berpartisipasi dalam forum diskusi, namun beberapa mahasiswa hanya berpartisipasi secara pasif. Beberapa mahasiswa membutuhkan dorongan tambahan untuk lebih aktif dalam berdiskusi dan berbagi pemikiran mereka.</w:t>
            </w:r>
          </w:p>
        </w:tc>
      </w:tr>
      <w:tr>
        <w:trPr>
          <w:trHeight w:val="1425"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6</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Penggunaan Fitur Rekaman</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memanfaatkan fitur rekaman</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100%</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mengikuti tes meskipun terlambat namun tetap menyelesaikan tes dengan baik. Beberapa mahasiswa mengalami kendala teknis saat mengunggah rekaman tetapi mereka berhasil menyelesaikannya setelah beberapa percobaan.</w:t>
            </w:r>
          </w:p>
        </w:tc>
      </w:tr>
      <w:tr>
        <w:trPr>
          <w:trHeight w:val="1710"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7</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Penggunaan Fitur Refleksi</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mengisi lembar refleksi</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100%</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menggunakan fitur refleksi, tapi ada beberapa yang sekadar hanya mengisi tanpa memberikan jawaban yang mendalam. Beberapa mahasiswa memberikan jawaban yang sangat reflektif dan menunjukkan pemahaman yang baik terhadap materi.</w:t>
            </w:r>
          </w:p>
        </w:tc>
      </w:tr>
      <w:tr>
        <w:trPr>
          <w:trHeight w:val="1425" w:hRule="atLeast"/>
        </w:trPr>
        <w:tc>
          <w:tcPr>
            <w:tcW w:w="477" w:type="dxa"/>
            <w:tcBorders>
              <w:start w:val="single" w:sz="4" w:space="0" w:color="000000"/>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8</w:t>
            </w:r>
          </w:p>
        </w:tc>
        <w:tc>
          <w:tcPr>
            <w:tcW w:w="1929"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Respons terhadap Umpan Balik</w:t>
            </w:r>
          </w:p>
        </w:tc>
        <w:tc>
          <w:tcPr>
            <w:tcW w:w="1867"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Persentase mahasiswa yang merevisi berdasarkan umpan balik</w:t>
            </w:r>
          </w:p>
        </w:tc>
        <w:tc>
          <w:tcPr>
            <w:tcW w:w="1033" w:type="dxa"/>
            <w:tcBorders>
              <w:bottom w:val="single" w:sz="4" w:space="0" w:color="000000"/>
              <w:end w:val="single" w:sz="4" w:space="0" w:color="000000"/>
            </w:tcBorders>
            <w:vAlign w:val="center"/>
          </w:tcPr>
          <w:p>
            <w:pPr>
              <w:pStyle w:val="Normal"/>
              <w:spacing w:lineRule="auto" w:line="240" w:before="0" w:after="0"/>
              <w:jc w:val="center"/>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100%</w:t>
            </w:r>
          </w:p>
        </w:tc>
        <w:tc>
          <w:tcPr>
            <w:tcW w:w="3198" w:type="dxa"/>
            <w:tcBorders>
              <w:bottom w:val="single" w:sz="4" w:space="0" w:color="000000"/>
              <w:end w:val="single" w:sz="4" w:space="0" w:color="000000"/>
            </w:tcBorders>
            <w:vAlign w:val="center"/>
          </w:tcPr>
          <w:p>
            <w:pPr>
              <w:pStyle w:val="Normal"/>
              <w:spacing w:lineRule="auto" w:line="240" w:before="0" w:after="0"/>
              <w:rPr>
                <w:rFonts w:ascii="Cambria" w:hAnsi="Cambria" w:eastAsia="Times New Roman" w:cs="Times New Roman"/>
                <w:color w:val="000000"/>
                <w:sz w:val="22"/>
                <w:lang w:val="en-GB" w:eastAsia="en-GB"/>
              </w:rPr>
            </w:pPr>
            <w:r>
              <w:rPr>
                <w:rFonts w:eastAsia="Times New Roman" w:cs="Times New Roman" w:ascii="Cambria" w:hAnsi="Cambria"/>
                <w:color w:val="000000"/>
                <w:sz w:val="22"/>
                <w:lang w:val="en-GB" w:eastAsia="en-GB"/>
              </w:rPr>
              <w:t>Mahasiswa merespons umpan balik dengan baik dan melakukan revisi sesuai saran yang diberikan. Mereka menunjukkan komitmen yang tinggi dalam proses pembelajaran.</w:t>
            </w:r>
          </w:p>
        </w:tc>
      </w:tr>
    </w:tbl>
    <w:p>
      <w:pPr>
        <w:pStyle w:val="Normal"/>
        <w:rPr>
          <w:rFonts w:eastAsia="Times New Roman" w:cs="Times New Roman"/>
          <w:szCs w:val="24"/>
        </w:rPr>
      </w:pPr>
      <w:r>
        <w:rPr>
          <w:rFonts w:eastAsia="Times New Roman" w:cs="Times New Roman"/>
          <w:szCs w:val="24"/>
        </w:rPr>
      </w:r>
    </w:p>
    <w:p>
      <w:pPr>
        <w:pStyle w:val="Abstract"/>
        <w:spacing w:before="100" w:after="0"/>
        <w:ind w:hanging="0"/>
        <w:rPr>
          <w:b/>
          <w:bCs/>
          <w:sz w:val="24"/>
          <w:szCs w:val="24"/>
        </w:rPr>
      </w:pPr>
      <w:r>
        <w:rPr>
          <w:b/>
          <w:bCs/>
          <w:sz w:val="24"/>
          <w:szCs w:val="24"/>
        </w:rPr>
        <w:t>Data Selengkapnya</w:t>
      </w:r>
    </w:p>
    <w:p>
      <w:pPr>
        <w:pStyle w:val="Normal"/>
        <w:tabs>
          <w:tab w:val="clear" w:pos="720"/>
          <w:tab w:val="left" w:pos="4395" w:leader="none"/>
          <w:tab w:val="left" w:pos="7371" w:leader="none"/>
        </w:tabs>
        <w:spacing w:before="0" w:after="0"/>
        <w:rPr>
          <w:rFonts w:eastAsia="Times New Roman" w:cs="Times New Roman"/>
          <w:b/>
          <w:bCs/>
          <w:szCs w:val="24"/>
        </w:rPr>
      </w:pPr>
      <w:r>
        <w:rPr/>
        <w:drawing>
          <wp:inline distT="0" distB="0" distL="0" distR="0">
            <wp:extent cx="1797685" cy="1816735"/>
            <wp:effectExtent l="0" t="0" r="0" b="0"/>
            <wp:docPr id="230" name="Image1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30" name="Image13"/>
                    <pic:cNvPicPr>
                      <a:picLocks noChangeAspect="1" noChangeArrowheads="1"/>
                    </pic:cNvPicPr>
                  </pic:nvPicPr>
                  <pic:blipFill>
                    <a:blip r:embed="rId68"/>
                    <a:stretch>
                      <a:fillRect/>
                    </a:stretch>
                  </pic:blipFill>
                  <pic:spPr bwMode="auto">
                    <a:xfrm>
                      <a:off x="0" y="0"/>
                      <a:ext cx="1797685" cy="1816735"/>
                    </a:xfrm>
                    <a:prstGeom prst="rect">
                      <a:avLst/>
                    </a:prstGeom>
                    <a:noFill/>
                  </pic:spPr>
                </pic:pic>
              </a:graphicData>
            </a:graphic>
          </wp:inline>
        </w:drawing>
      </w:r>
    </w:p>
    <w:p>
      <w:pPr>
        <w:pStyle w:val="Normal"/>
        <w:rPr>
          <w:rFonts w:cs="Times New Roman"/>
          <w:i/>
          <w:iCs/>
          <w:sz w:val="16"/>
          <w:szCs w:val="14"/>
        </w:rPr>
      </w:pPr>
      <w:r>
        <w:rPr>
          <w:rFonts w:cs="Times New Roman"/>
          <w:i/>
          <w:iCs/>
          <w:sz w:val="16"/>
          <w:szCs w:val="14"/>
        </w:rPr>
        <w:t>Dataset Kualitatif Respons Pengguna</w:t>
      </w:r>
    </w:p>
    <w:p>
      <w:pPr>
        <w:pStyle w:val="Normal"/>
        <w:rPr>
          <w:rFonts w:eastAsia="Times New Roman" w:cs="Times New Roman"/>
          <w:szCs w:val="24"/>
        </w:rPr>
      </w:pPr>
      <w:r>
        <w:rPr>
          <w:rFonts w:eastAsia="Times New Roman" w:cs="Times New Roman"/>
          <w:szCs w:val="24"/>
        </w:rPr>
      </w:r>
    </w:p>
    <w:p>
      <w:pPr>
        <w:pStyle w:val="Normal"/>
        <w:rPr>
          <w:rFonts w:eastAsia="Times New Roman" w:cs="Times New Roman"/>
          <w:szCs w:val="24"/>
        </w:rPr>
      </w:pPr>
      <w:r>
        <w:rPr>
          <w:rFonts w:eastAsia="Times New Roman" w:cs="Times New Roman"/>
          <w:szCs w:val="24"/>
        </w:rPr>
      </w:r>
      <w:r>
        <w:br w:type="page"/>
      </w:r>
    </w:p>
    <w:p>
      <w:pPr>
        <w:pStyle w:val="Normal"/>
        <w:numPr>
          <w:ilvl w:val="0"/>
          <w:numId w:val="0"/>
        </w:numPr>
        <w:spacing w:before="0" w:after="160"/>
        <w:outlineLvl w:val="1"/>
        <w:rPr>
          <w:rFonts w:eastAsia="Times New Roman" w:cs="Times New Roman"/>
          <w:szCs w:val="24"/>
        </w:rPr>
      </w:pPr>
      <w:bookmarkStart w:id="310" w:name="_Toc233360825"/>
      <w:r>
        <w:rPr>
          <w:rFonts w:eastAsia="Times New Roman" w:cs="Times New Roman"/>
          <w:b/>
          <w:bCs/>
          <w:szCs w:val="24"/>
        </w:rPr>
        <w:t xml:space="preserve">Lampiran B6: </w:t>
      </w:r>
      <w:r>
        <w:rPr>
          <w:rFonts w:eastAsia="Times New Roman" w:cs="Times New Roman"/>
          <w:szCs w:val="24"/>
        </w:rPr>
        <w:t>Data Wawancara dan Analisisnya</w:t>
      </w:r>
      <w:bookmarkEnd w:id="310"/>
    </w:p>
    <w:p>
      <w:pPr>
        <w:pStyle w:val="Normal"/>
        <w:jc w:val="center"/>
        <w:rPr>
          <w:rFonts w:ascii="Cambria" w:hAnsi="Cambria" w:cs="Times New Roman"/>
          <w:sz w:val="18"/>
          <w:szCs w:val="18"/>
        </w:rPr>
      </w:pPr>
      <w:r>
        <w:rPr>
          <w:rFonts w:cs="Times New Roman" w:ascii="Cambria" w:hAnsi="Cambria"/>
          <w:b/>
          <w:sz w:val="18"/>
          <w:szCs w:val="18"/>
        </w:rPr>
        <w:t>RINGKASAN HASIL WAWANCARA</w:t>
      </w:r>
    </w:p>
    <w:p>
      <w:pPr>
        <w:pStyle w:val="Normal"/>
        <w:spacing w:before="0" w:after="80"/>
        <w:jc w:val="both"/>
        <w:rPr>
          <w:rFonts w:ascii="Cambria" w:hAnsi="Cambria" w:cs="Times New Roman"/>
          <w:sz w:val="18"/>
          <w:szCs w:val="18"/>
        </w:rPr>
      </w:pPr>
      <w:r>
        <w:rPr>
          <w:rFonts w:cs="Times New Roman" w:ascii="Cambria" w:hAnsi="Cambria"/>
          <w:sz w:val="18"/>
          <w:szCs w:val="18"/>
        </w:rPr>
        <w:t>Ringkasan ini disusun dari data wawancara mahasiswa dan dosen pada tahap implementasi media Bicaranta. Data mencakup 29 satuan kutipan/temuan, terdiri atas 12 mahasiswa dan 2 dosen. Tanggal wawancara yang tercatat: 2026-03-18; 2026-03-20; 2026-03-21; 2026-03-25; 2026-03-26; 2026-03-27; 2026-02-25; tidak disebutkan.</w:t>
      </w:r>
    </w:p>
    <w:p>
      <w:pPr>
        <w:pStyle w:val="Normal"/>
        <w:spacing w:before="0" w:after="80"/>
        <w:jc w:val="both"/>
        <w:rPr>
          <w:rFonts w:ascii="Cambria" w:hAnsi="Cambria" w:cs="Times New Roman"/>
          <w:sz w:val="18"/>
          <w:szCs w:val="18"/>
        </w:rPr>
      </w:pPr>
      <w:r>
        <w:rPr>
          <w:rFonts w:cs="Times New Roman" w:ascii="Cambria" w:hAnsi="Cambria"/>
          <w:sz w:val="18"/>
          <w:szCs w:val="18"/>
        </w:rPr>
        <w:t>A. Rekapitulasi Tematik</w:t>
      </w:r>
    </w:p>
    <w:tbl>
      <w:tblPr>
        <w:tblStyle w:val="TableGrid"/>
        <w:tblW w:w="84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40"/>
        <w:gridCol w:w="1669"/>
        <w:gridCol w:w="535"/>
        <w:gridCol w:w="1836"/>
        <w:gridCol w:w="1142"/>
        <w:gridCol w:w="2872"/>
      </w:tblGrid>
      <w:tr>
        <w:trPr/>
        <w:tc>
          <w:tcPr>
            <w:tcW w:w="440"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No</w:t>
            </w:r>
          </w:p>
        </w:tc>
        <w:tc>
          <w:tcPr>
            <w:tcW w:w="1669"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Tema</w:t>
            </w:r>
          </w:p>
        </w:tc>
        <w:tc>
          <w:tcPr>
            <w:tcW w:w="535"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Jml.</w:t>
            </w:r>
          </w:p>
        </w:tc>
        <w:tc>
          <w:tcPr>
            <w:tcW w:w="1836"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Subtema</w:t>
            </w:r>
          </w:p>
        </w:tc>
        <w:tc>
          <w:tcPr>
            <w:tcW w:w="1142"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Sumber Data</w:t>
            </w:r>
          </w:p>
        </w:tc>
        <w:tc>
          <w:tcPr>
            <w:tcW w:w="2872"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Ringkasan Temuan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Kesadaran Metakognitif</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4</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Kesadaran strategi berbicara; Self-monitoring; Identifikasi kelemahan; Perencanaan berbicara</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(1), Mahasiswa (3)</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Wawancara menunjukkan bahwa media membantu mahasiswa menyadari perlunya strategi, perencanaan, pemantauan tempo/intonasi, dan identifikasi kelemahan sebelum atau selama berbicara. Dosen juga melihat sebagian mahasiswa mulai memahami bahwa kegiatan berbicara memerlukan persiapan.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Kemudahan Akses dan Fleksibilitas</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Belajar mandiri; Durasi konten</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(2)</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menilai media mudah diakses secara mandiri, dapat diputar ulang, dan memiliki durasi konten yang relatif sesuai. Fleksibilitas ini mendorong keterlibatan belajar di luar jadwal kelas.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3</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Kepercayaan Diri</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Pengurangan kecemasan; Penguasaan materi</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(2)</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Latihan berulang dan penguasaan materi melalui media berkontribusi pada rasa lebih tenang, berkurangnya kecemasan berbicara, dan meningkatnya keyakinan ketika menyampaikan materi.</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4</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Pengorganisasian Ide Terstruktur</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Kerangka berpikir; Urutan penyampaian</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(2)</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Media membantu mahasiswa menyusun kerangka sebelum berbicara, terutama pada pembukaan, isi, dan penutup. Namun, terdapat mahasiswa yang masih kesulitan mentransfer konsep urutan penyampaian ke praktik nyata.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5</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Refleksi dan Evaluasi Diri</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3</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playback; Perbaikan iteratif; Kesadaran kesalahan</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(3)</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playback, rekaman, umpan balik, dan latihan berulang mendorong mahasiswa menilai kembali performa berbicaranya. Proses ini tampak pada kesadaran kesalahan, revisi bertahap, dan perbaikan cara menyampaikan pesan.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6</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Keterlibatan Mahasiswa</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3</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Pemanfaatan media; Kendala login dan progres; Penggunaan media pada kelas kontrol</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(3)</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melihat keterlibatan mahasiswa kelas eksperimen cukup baik, meskipun kendala perangkat dan login membuat sebagian progres tidak tercatat. Pada kelas kontrol, penggunaan media bersifat sukarela dan hanya dilakukan oleh sebagian kecil mahasiswa.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7</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Efektivitas Media</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3</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Akses rutin dan kebaruan materi; Latihan dan poin; Dampak terbatas pada pengguna sukarela</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(3)</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Media dipandang efektif sebagai pendamping pembelajaran karena menyediakan akses rutin, latihan antarseksi, dan dorongan penyelesaian melalui poin. Efeknya paling terlihat pada mahasiswa yang menggunakan media secara konsisten.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8</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Fleksibilitas Penggunaan</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Kebutuhan tempat rekaman</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(1)</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rekaman memberi ruang latihan, tetapi menuntut kondisi lingkungan yang sepi agar hasil rekaman jelas. Sebagian mahasiswa kemudian melanjutkan penggunaan media dari rumah.</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9</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Tantangan Penerapan</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3</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Kesiapan dosen menggunakan fitur penilaian; Beban umpan balik; Akses fitur dari ponsel</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(3)</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Kendala penerapan mencakup adaptasi dosen terhadap fitur penilaian digital, beban menjawab pertanyaan mahasiswa, akses fitur dari ponsel, serta kebutuhan alur kerja yang lebih ringkas.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10</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Saran Pengembangan</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Otomatisasi penilaian dan mode offline; Simpan otomatis penilaian</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(2)</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Saran utama dosen mengarah pada penilaian otomatis berbantuan AI, mode offline, kemudahan akses mobile, dan fitur simpan otomatis untuk mengurangi beban teknis.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11</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Karakteristik Belajar Mahasiswa</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Ketergantungan pada gawai dan rendahnya minat baca; Pemanfaatan sumber bebas dan AI</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(2)</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Kelas kontrol cenderung menggunakan sumber bebas, bergantung pada gawai, dan memiliki minat baca yang rendah. Kondisi ini membuat kualitas persiapan belajar tidak seragam.</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12</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Perbandingan Pembelajaran</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Kontrol dengan PBL reguler</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(1)</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Pembelajaran kelas kontrol berlangsung dengan PBL reguler dan sumber belajar yang lebih bebas, sedangkan kelas eksperimen memiliki tuntutan penyelesaian modul yang lebih terarah.</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13</w:t>
            </w:r>
          </w:p>
        </w:tc>
        <w:tc>
          <w:tcPr>
            <w:tcW w:w="1669"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Keterampilan Berbicara</w:t>
            </w:r>
          </w:p>
        </w:tc>
        <w:tc>
          <w:tcPr>
            <w:tcW w:w="535"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w:t>
            </w:r>
          </w:p>
        </w:tc>
        <w:tc>
          <w:tcPr>
            <w:tcW w:w="1836"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Kebahasaan dan kesantunan</w:t>
            </w:r>
          </w:p>
        </w:tc>
        <w:tc>
          <w:tcPr>
            <w:tcW w:w="114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(1)</w:t>
            </w:r>
          </w:p>
        </w:tc>
        <w:tc>
          <w:tcPr>
            <w:tcW w:w="287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menyoroti aspek kebahasaan dan kesantunan sebagai bagian yang masih perlu dibenahi, terutama penggunaan ragam bahasa formal dalam situasi akademik.</w:t>
            </w:r>
          </w:p>
        </w:tc>
      </w:tr>
    </w:tbl>
    <w:p>
      <w:pPr>
        <w:pStyle w:val="Normal"/>
        <w:rPr>
          <w:rFonts w:ascii="Cambria" w:hAnsi="Cambria" w:cs="Times New Roman"/>
          <w:sz w:val="18"/>
          <w:szCs w:val="18"/>
        </w:rPr>
      </w:pPr>
      <w:r>
        <w:rPr>
          <w:rFonts w:cs="Times New Roman" w:ascii="Cambria" w:hAnsi="Cambria"/>
          <w:sz w:val="18"/>
          <w:szCs w:val="18"/>
        </w:rPr>
      </w:r>
    </w:p>
    <w:p>
      <w:pPr>
        <w:pStyle w:val="Normal"/>
        <w:spacing w:before="0" w:after="80"/>
        <w:jc w:val="both"/>
        <w:rPr>
          <w:rFonts w:ascii="Cambria" w:hAnsi="Cambria" w:cs="Times New Roman"/>
          <w:sz w:val="18"/>
          <w:szCs w:val="18"/>
        </w:rPr>
      </w:pPr>
      <w:r>
        <w:rPr>
          <w:rFonts w:cs="Times New Roman" w:ascii="Cambria" w:hAnsi="Cambria"/>
          <w:sz w:val="18"/>
          <w:szCs w:val="18"/>
        </w:rPr>
        <w:t>B. Matriks Kutipan Kunci dan Makna Analisis</w:t>
      </w:r>
    </w:p>
    <w:tbl>
      <w:tblPr>
        <w:tblStyle w:val="TableGrid"/>
        <w:tblW w:w="849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40"/>
        <w:gridCol w:w="1071"/>
        <w:gridCol w:w="644"/>
        <w:gridCol w:w="1732"/>
        <w:gridCol w:w="2447"/>
        <w:gridCol w:w="2160"/>
      </w:tblGrid>
      <w:tr>
        <w:trPr/>
        <w:tc>
          <w:tcPr>
            <w:tcW w:w="440"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No</w:t>
            </w:r>
          </w:p>
        </w:tc>
        <w:tc>
          <w:tcPr>
            <w:tcW w:w="1071"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Sumber</w:t>
            </w:r>
          </w:p>
        </w:tc>
        <w:tc>
          <w:tcPr>
            <w:tcW w:w="644"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Kode</w:t>
            </w:r>
          </w:p>
        </w:tc>
        <w:tc>
          <w:tcPr>
            <w:tcW w:w="1732"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Tema/Subtema</w:t>
            </w:r>
          </w:p>
        </w:tc>
        <w:tc>
          <w:tcPr>
            <w:tcW w:w="2447"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Kutipan Kunci</w:t>
            </w:r>
          </w:p>
        </w:tc>
        <w:tc>
          <w:tcPr>
            <w:tcW w:w="2160" w:type="dxa"/>
            <w:tcBorders/>
          </w:tcPr>
          <w:p>
            <w:pPr>
              <w:pStyle w:val="Normal"/>
              <w:widowControl/>
              <w:spacing w:lineRule="auto" w:line="240" w:before="0" w:after="0"/>
              <w:jc w:val="center"/>
              <w:rPr>
                <w:rFonts w:ascii="Cambria" w:hAnsi="Cambria" w:cs="Times New Roman"/>
                <w:sz w:val="18"/>
                <w:szCs w:val="18"/>
              </w:rPr>
            </w:pPr>
            <w:r>
              <w:rPr>
                <w:rFonts w:eastAsia="Calibri" w:cs="Times New Roman" w:ascii="Cambria" w:hAnsi="Cambria"/>
                <w:b/>
                <w:kern w:val="0"/>
                <w:sz w:val="18"/>
                <w:szCs w:val="18"/>
                <w:lang w:val="id-ID" w:eastAsia="id-ID" w:bidi="ar-SA"/>
              </w:rPr>
              <w:t>Makna Analisis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E03</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Kesadaran Metakognitif / Kesadaran strategi berbicara</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Setelah pakai Bicaranta, saya jadi lebih sadar kalau ternyata kita perlu strategi buat ngomong di depan, bukan cuma asal ngomong aja. Dulu saya langsung mulai tanpa persiapan, sekarang sudah mulai bikin kerangka dulu sebelum bicara.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menunjukkan peningkatan kesadaran strategi berbicara, meski ekspresinya belum sepenuhnya terstruktur. Nilai berbicara yang relatif rendah (76) konsisten dengan tahap awal internalisasi strategi.</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E09</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Kesadaran Metakognitif / Self-monitoring</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Saya mulai bisa menyadari sendiri ketika ada yang salah waktu saya berbicara, misalnya tempo yang terlalu cepat atau intonasi yang datar. Sebelumnya saya tidak terlalu memperhatikan hal itu. Media ini membantu saya lebih peka terhadap cara saya sendiri berbicara.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Kutipan mencerminkan perkembangan self-monitoring yang konkret — mahasiswa mampu mengidentifikasi indikator spesifik seperti tempo dan intonasi sebagai objek pemantauan diri.</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3</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E14</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Kesadaran Metakognitif / Identifikasi kelemahan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Jujur, saya tahu kelemahan saya itu di struktur penyampaian. Lewat Bicaranta saya bisa lihat rekaman saya sendiri dan saya kaget, ternyata sering lompat-lompat topiknya. Itu jadi titik awal saya untuk benahi cara berbicara.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Menarik: nilai berbicara E14 cukup tinggi (84) meskipun nilai metakognitif relatif rendah (46). Identifikasi kelemahan terjadi namun belum sepenuhnya terinternalisasi ke dalam skor angket metakognitif.</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4</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E07</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Kemudahan Akses dan Fleksibilitas / Belajar mandiri</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Yang saya suka dari media ini adalah saya bisa belajar kapan pun saya mau. Tidak harus menunggu jadwal kelas. Kalau ada materi yang belum paham, saya bisa putar ulang berkali-kali sampai benar-benar mengerti.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Pernyataan E07 menonjolkan aspek otonomi belajar. Nilai berbicara yang tinggi (89.3) mengindikasikan bahwa fleksibilitas akses berkorelasi positif dengan performa meskipun nilai metakognitif tidak terlalu tinggi (48).</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5</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Kemudahan Akses dan Fleksibilitas / Durasi konten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Menurut saya durasi setiap sesi di Bicaranta sudah pas banget — tidak terlalu panjang sehingga tidak membosankan, tapi cukup padat isinya. Saya sampai menyelesaikan semua modul lebih awal karena rasanya sayang kalau dilewatkan. Setiap bagian selalu ada sesuatu yang baru untuk dipelajari.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E11 memiliki skor metakognitif tertinggi dalam kelompok (64/64). Antusiasme dan keterlibatan penuh tercermin dari caranya memaknai durasi konten sebagai aset, bukan beban.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6</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E05</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Kepercayaan Diri / Pengurangan kecemasan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Sebelumnya saya tuh grogi banget kalau disuruh ngomong di depan. Tapi setelah latihan lewat media, saya jadi lebih tenang... entah kenapa. Mungkin krna udah sering latihan jadi udah ga kaget lagi sama situasinya.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Pengurangan kecemasan berbicara muncul melalui mekanisme pembiasaan (desensitisasi). Meski skor berbicara tidak terlalu tinggi (78.67), mahasiswa menunjukkan perubahan afektif yang bermakna.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7</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E22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Kepercayaan Diri / Penguasaan materi</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Setelah menggunakan media, saya merasa lebih percaya diri karena sudah paham materinya lebih mendalam. Kalau materi sudah dikuasai, lebih mudah untuk menyampaikannya dengan lancar tanpa harus khawatir lupa atau salah.</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Penguasaan konten dipersepsi sebagai fondasi kepercayaan diri berbicara. Nilai berbicara E22 yang baik (86.7) mendukung klaim ini secara empiris.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8</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E08</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Pengorganisasian Ide Terstruktur / Kerangka berpikir</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Media ini mengajarkan saya untuk memikirkan kerangka sebelum berbicara. Dulu saya langsung bicara tanpa rencana jelas. Sekarang saya sudah terbiasa menyusun poin utama dulu di kepala — pembukaan, isi, penutup — baru mulai menyampaikan. Hasilnya jauh lebih terstruktur.</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E08 memperoleh nilai berbicara tertinggi di kelompok wawancara (90.7). Internalisasi kerangka berpikir yang eksplisit ini tampaknya menjadi faktor utama peningkatan performa.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9</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E19</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Pengorganisasian Ide Terstruktur / Urutan penyampaian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Saya sebenarnya kurang terlalu ngerti maksudnya urutan penyampaian itu gimana yang benar. Kadang saya coba ikutin yang di media tapi waktu giliran berbicara ya... entah, rasanya beda aja. Mungkin saya perlu belajar lebih lagi.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Pernyataan E19 mencerminkan kesulitan mentransfer pemahaman konseptual ke praktik nyata. Konsisten dengan skor metakognitif yang sangat rendah (24) — kesadaran metakognitif belum berkembang secara fungsional.</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10</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Refleksi dan Evaluasi Diri / Fitur playback</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playback di Bicaranta sangat membantu saya. Saya bisa mendengar kembali cara berbicara saya dan membandingkannya dengan contoh yang ada di media. Dari situ saya jadi tahu bagian mana yang perlu diperbaiki, misalnya penekanan pada kata-kata kunci.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Pemanfaatan fitur playback sebagai alat evaluasi diri menunjukkan proses metakognisi evaluatif yang aktif. Nilai metakognitif (57) dan berbicara (88) yang baik mendukung temuan ini.</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11</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E25</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Refleksi dan Evaluasi Diri / Perbaikan iteratif</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Saya tidak langsung puas setelah rekaman pertama. Saya coba lagi, dengar lagi, terus perbaiki bagian yang kurang. Prosesnya berulang sampai rasanya lebih baik. Mungkin itu yang membuat saya pelan-pelan bisa bicara lebih lancar.</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Pola perbaikan iteratif yang dideskripsikan E25 menunjukkan orientasi penguasaan (mastery orientation) yang kuat. Menarik bahwa skor metakognitif relatif rendah (46) meski perilaku nyatanya sangat reflektif.</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12</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E16</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Refleksi dan Evaluasi Diri / Kesadaran kesalahan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Saya menyadari bahwa kesalahan saya dulu adalah bicara terlalu cepat dan tidak memberi jeda kepada pendengar. Bicaranta membantu saya menyadari itu karena ada umpan balik langsung setelah rekaman. Sekarang saya sengaja memberi jeda sebelum berpindah poin supaya pendengar bisa menyerap informasinya.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E16 memperoleh nilai berbicara tertinggi secara keseluruhan (92.0). Kutipan menunjukkan kesadaran kesalahan yang sangat spesifif dan terukur — tanda metakognisi evaluatif yang matang.</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13</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Keterlibatan Mahasiswa / Pemanfaatan media</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Sekitar 85% mahasiswa selama proses pembelajaran dapat memanfaatkan media Bicaranta dengan baik, membaca materi, dan memperhatikan video dengan saksama. Sebagian mahasiswa menggunakan satu perangkat berdua.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pengampu kelas eksperimen menilai keterlibatan umum baik, tetapi akses perangkat dan akun memengaruhi keterlacakan progres.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14</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Keterlibatan Mahasiswa / Kendala login dan progres</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Ada mahasiswa yang tidak menggunakan media karena lupa password login, lalu ikut ke temannya. Pada kondisi itu ada kecenderungan mahasiswa ngobrol dan bercanda sehingga progresnya tidak terekam.</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Kendala autentikasi berdampak langsung pada data progres dan kedisiplinan penggunaan media.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15</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Efektivitas Media / Akses rutin dan kebaruan materi</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dapat rutin mengakses media dan selalu ada hal baru yang dipelajari, tetapi pada beberapa fase terakhir materi kadang kurang terserap karena mahasiswa mulai jenuh.</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Media mendukung pembelajaran berulang, tetapi durasi/rentang aktivitas perlu dikelola agar kejenuhan tidak menurunkan serapan materi.</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16</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Efektivitas Media / Latihan dan poin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Latihan pada perpindahan setiap section membuat banyak mahasiswa mencoba karena terdorong menyelesaikan latihan dan mendapat poin.</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Gamifikasi ringan memperkuat keterlibatan dan mendorong mahasiswa menyelesaikan aktivitas.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17</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Fleksibilitas Penggunaan / Kebutuhan tempat rekaman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Beberapa mahasiswa merasa kurang praktis karena harus mencari tempat sepi agar rekamannya jelas, sehingga sebagian mengakses kembali media dari rumah.</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rekaman berguna tetapi membutuhkan kondisi lingkungan yang mendukung.</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18</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Peningkatan Kesadaran Metakognitif / Perencanaan berbicara</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Karena media tidak hanya berisi bacaan tetapi juga latihan, beberapa mahasiswa mulai melakukan persiapan agar latihan modul terisi sempurna. Mereka perlahan mengerti bahwa setiap kegiatan berbicara perlu perencanaan lebih dulu.</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Media mulai membentuk kesadaran planning dalam keterampilan berbicara, meskipun belum merata pada semua mahasiswa.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19</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Tantangan Penerapan / Kesiapan dosen menggunakan fitur penilaian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terbantu karena media memandu alur sesuai capaian RPS, tetapi dosen yang biasa menilai melalui lembar atau Excel perlu mempelajari terlebih dahulu fitur penilaian di media.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Integrasi media memerlukan adaptasi alur kerja dosen, terutama pada fitur penilaian digital.</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20</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Tantangan Penerapan / Beban umpan balik</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tanya jawab di media sebenarnya bagus, tetapi membuat semakin banyak hal yang perlu dijelaskan oleh dosen.</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interaksi memperkaya pembelajaran, tetapi dapat menambah beban respons dosen.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21</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D01</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Saran Pengembangan / Otomatisasi penilaian dan mode offline</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menyarankan adanya penilaian otomatis, mungkin menggunakan AI, agar beban penggunaan media lebih ringan. Jika memungkinkan, media juga perlu memiliki mode offline.</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Rekomendasi pengembangan diarahkan pada automasi penilaian dan dukungan akses pada kondisi internet/perangkat yang terbatas.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22</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Keterlibatan Mahasiswa / Penggunaan media pada kelas kontrol</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di kelas kontrol tidak diwajibkan menggunakan media. Namun, karena sejak awal dijelaskan bahwa pre-tes dan pos-tes menggunakan modul uji pada media, sebagian kecil mahasiswa tetap memanfaatkan Bicaranta untuk bersiap.</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Penggunaan media pada kelas kontrol bersifat tidak wajib dan muncul sebagai inisiatif sebagian mahasiswa untuk persiapan tes.</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23</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Karakteristik Belajar Mahasiswa / Ketergantungan pada gawai dan rendahnya minat baca</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di kelas kontrol cenderung bergantung pada gadget ketika belajar dan kurang berminat membaca buku sumber.</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Temuan ini menjelaskan konteks pembelajaran kontrol yang lebih bebas tetapi tidak selalu mendorong pendalaman sumber akademik.</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24</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Karakteristik Belajar Mahasiswa / Pemanfaatan sumber bebas dan AI</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bebas memilih sumber pembelajaran, tetapi ketika menghadapi tes berbicara sebagian cenderung mengandalkan hasil generate AI.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Kebebasan sumber belajar berisiko membuat kualitas persiapan tidak seragam dan sebagian bergantung pada bantuan generatif.</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25</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Efektivitas Media / Dampak terbatas pada pengguna sukarela</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Dari sekitar 4-5 mahasiswa yang mencoba media, 1 mahasiswa menunjukkan progres cukup baik dan menjadi lebih siap ketika tes. Mahasiswa tersebut menyampaikan bahwa kalau memakai Bicaranta, banyak yang diuji.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Walaupun penggunaan di kelas kontrol terbatas, media tampak membantu kesiapan pada mahasiswa yang benar-benar mencoba.</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26</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Perbandingan Pembelajaran / Kontrol dengan PBL reguler</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menjalankan pembelajaran biasa dengan PBL karena kelas ini berfungsi sebagai kelas kontrol. Sumber belajar mahasiswa menjadi lebih bebas dan hasil persiapan kurang seragam dibanding kelas eksperimen yang memiliki tuntutan menyelesaikan modul setiap minggu.</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Perbedaan perlakuan antara kelas kontrol dan eksperimen tercermin pada keteraturan sumber, aktivitas, dan tuntutan belajar.</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27</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Keterampilan Berbicara / Kebahasaan dan kesantunan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Mahasiswa di kelas kontrol masih perlu pembenahan kebahasaan, terutama kesantunan. Masih ada mahasiswa yang memakai kata ganti aku alih-alih saya dalam situasi formal sehingga kurang memahami konteks berbahasa.</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Masalah kesantunan dan pilihan ragam bahasa menjadi temuan penting dalam performa berbicara kelas kontrol.</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28</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Tantangan Penerapan / Akses fitur dari ponsel</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hanya menggunakan fitur pemeriksaan dan menilai fitur tersebut sudah cukup detail. Namun, akses dari ponsel masih terasa agak repot.</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Fitur pemeriksaan dinilai bermanfaat, tetapi antarmuka mobile masih perlu penyederhanaan.</w:t>
            </w:r>
          </w:p>
        </w:tc>
      </w:tr>
      <w:tr>
        <w:trPr/>
        <w:tc>
          <w:tcPr>
            <w:tcW w:w="44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29</w:t>
            </w:r>
          </w:p>
        </w:tc>
        <w:tc>
          <w:tcPr>
            <w:tcW w:w="1071"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w:t>
            </w:r>
          </w:p>
        </w:tc>
        <w:tc>
          <w:tcPr>
            <w:tcW w:w="644"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D02</w:t>
            </w:r>
          </w:p>
        </w:tc>
        <w:tc>
          <w:tcPr>
            <w:tcW w:w="1732"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Saran Pengembangan / Simpan otomatis penilaian</w:t>
            </w:r>
          </w:p>
        </w:tc>
        <w:tc>
          <w:tcPr>
            <w:tcW w:w="2447"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Dosen menyarankan adanya fitur simpan otomatis setelah pengisian nilai.</w:t>
            </w:r>
          </w:p>
        </w:tc>
        <w:tc>
          <w:tcPr>
            <w:tcW w:w="2160" w:type="dxa"/>
            <w:tcBorders/>
          </w:tcPr>
          <w:p>
            <w:pPr>
              <w:pStyle w:val="Normal"/>
              <w:widowControl/>
              <w:spacing w:lineRule="auto" w:line="240" w:before="0" w:after="0"/>
              <w:jc w:val="start"/>
              <w:rPr>
                <w:rFonts w:ascii="Cambria" w:hAnsi="Cambria" w:cs="Times New Roman"/>
                <w:sz w:val="18"/>
                <w:szCs w:val="18"/>
              </w:rPr>
            </w:pPr>
            <w:r>
              <w:rPr>
                <w:rFonts w:eastAsia="Calibri" w:cs="Times New Roman" w:ascii="Cambria" w:hAnsi="Cambria"/>
                <w:kern w:val="0"/>
                <w:sz w:val="18"/>
                <w:szCs w:val="18"/>
                <w:lang w:val="id-ID" w:eastAsia="id-ID" w:bidi="ar-SA"/>
              </w:rPr>
              <w:t>Autosave diperlukan untuk mengurangi risiko kehilangan data penilaian dan memperlancar kerja dosen.</w:t>
            </w:r>
          </w:p>
        </w:tc>
      </w:tr>
    </w:tbl>
    <w:p>
      <w:pPr>
        <w:pStyle w:val="Abstract"/>
        <w:ind w:hanging="0"/>
        <w:jc w:val="start"/>
        <w:rPr>
          <w:rFonts w:eastAsia="Calibri"/>
          <w:szCs w:val="22"/>
        </w:rPr>
      </w:pPr>
      <w:r>
        <w:rPr>
          <w:rFonts w:eastAsia="Calibri"/>
          <w:szCs w:val="22"/>
        </w:rPr>
      </w:r>
    </w:p>
    <w:p>
      <w:pPr>
        <w:pStyle w:val="Abstract"/>
        <w:spacing w:before="100" w:after="0"/>
        <w:ind w:hanging="0"/>
        <w:rPr>
          <w:b/>
          <w:bCs/>
          <w:sz w:val="24"/>
          <w:szCs w:val="24"/>
        </w:rPr>
      </w:pPr>
      <w:r>
        <w:drawing>
          <wp:anchor distT="0" distB="0" distL="0" distR="0" simplePos="0" relativeHeight="56" behindDoc="0" locked="0" layoutInCell="0" allowOverlap="1">
            <wp:simplePos x="0" y="0"/>
            <wp:positionH relativeFrom="margin">
              <wp:align>left</wp:align>
            </wp:positionH>
            <wp:positionV relativeFrom="paragraph">
              <wp:posOffset>279400</wp:posOffset>
            </wp:positionV>
            <wp:extent cx="1716405" cy="1722120"/>
            <wp:effectExtent l="0" t="0" r="0" b="0"/>
            <wp:wrapNone/>
            <wp:docPr id="231" name="Image1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31" name="Image14"/>
                    <pic:cNvPicPr>
                      <a:picLocks noChangeAspect="1" noChangeArrowheads="1"/>
                    </pic:cNvPicPr>
                  </pic:nvPicPr>
                  <pic:blipFill>
                    <a:blip r:embed="rId69"/>
                    <a:stretch>
                      <a:fillRect/>
                    </a:stretch>
                  </pic:blipFill>
                  <pic:spPr bwMode="auto">
                    <a:xfrm>
                      <a:off x="0" y="0"/>
                      <a:ext cx="1716405" cy="1722120"/>
                    </a:xfrm>
                    <a:prstGeom prst="rect">
                      <a:avLst/>
                    </a:prstGeom>
                    <a:noFill/>
                  </pic:spPr>
                </pic:pic>
              </a:graphicData>
            </a:graphic>
          </wp:anchor>
        </w:drawing>
      </w:r>
      <w:r>
        <w:rPr>
          <w:b/>
          <w:bCs/>
          <w:sz w:val="24"/>
          <w:szCs w:val="24"/>
        </w:rPr>
        <w:t>Data Selengkapnya</w:t>
      </w:r>
    </w:p>
    <w:p>
      <w:pPr>
        <w:pStyle w:val="Abstract"/>
        <w:jc w:val="start"/>
        <w:rPr>
          <w:rFonts w:eastAsia="Calibri"/>
          <w:szCs w:val="22"/>
        </w:rPr>
      </w:pPr>
      <w:r>
        <w:rPr>
          <w:rFonts w:eastAsia="Calibri"/>
          <w:szCs w:val="22"/>
        </w:rPr>
      </w:r>
    </w:p>
    <w:p>
      <w:pPr>
        <w:pStyle w:val="Abstract"/>
        <w:rPr/>
      </w:pPr>
      <w:r>
        <w:rPr/>
      </w:r>
    </w:p>
    <w:p>
      <w:pPr>
        <w:pStyle w:val="Abstract"/>
        <w:rPr/>
      </w:pPr>
      <w:r>
        <w:rPr/>
      </w:r>
    </w:p>
    <w:p>
      <w:pPr>
        <w:pStyle w:val="BodyText"/>
        <w:ind w:hanging="0"/>
        <w:rPr/>
      </w:pPr>
      <w:r>
        <w:rPr/>
      </w:r>
    </w:p>
    <w:p>
      <w:pPr>
        <w:pStyle w:val="Normal"/>
        <w:rPr>
          <w:rFonts w:cs="Times New Roman"/>
          <w:i/>
          <w:iCs/>
          <w:sz w:val="16"/>
          <w:szCs w:val="14"/>
        </w:rPr>
      </w:pPr>
      <w:r>
        <w:rPr>
          <w:rFonts w:cs="Times New Roman"/>
          <w:i/>
          <w:iCs/>
          <w:sz w:val="16"/>
          <w:szCs w:val="14"/>
        </w:rPr>
        <w:t>Rekaman suara dan transkripsi</w:t>
      </w:r>
    </w:p>
    <w:p>
      <w:pPr>
        <w:pStyle w:val="Normal"/>
        <w:rPr>
          <w:rFonts w:cs="Times New Roman"/>
        </w:rPr>
      </w:pPr>
      <w:r>
        <w:rPr>
          <w:rFonts w:cs="Times New Roman"/>
        </w:rPr>
      </w:r>
      <w:r>
        <w:br w:type="page"/>
      </w:r>
    </w:p>
    <w:p>
      <w:pPr>
        <w:pStyle w:val="Normal"/>
        <w:spacing w:before="0" w:after="160"/>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sectPr>
      <w:type w:val="continuous"/>
      <w:pgSz w:w="11906" w:h="16838"/>
      <w:pgMar w:left="2268" w:right="1134" w:gutter="0" w:header="709" w:top="2268" w:footer="709" w:bottom="1701"/>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65" Type="http://schemas.openxmlformats.org/officeDocument/2006/relationships/image" Target="media/image12.png"/><Relationship Id="rId66" Type="http://schemas.openxmlformats.org/officeDocument/2006/relationships/image" Target="media/image13.png"/><Relationship Id="rId67" Type="http://schemas.openxmlformats.org/officeDocument/2006/relationships/image" Target="media/image14.png"/><Relationship Id="rId68" Type="http://schemas.openxmlformats.org/officeDocument/2006/relationships/image" Target="media/image14.png"/><Relationship Id="rId69" Type="http://schemas.openxmlformats.org/officeDocument/2006/relationships/image" Target="media/image15.png"/><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