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38CE" w14:textId="77777777" w:rsidR="0041777C" w:rsidRDefault="00000000">
      <w:pPr>
        <w:pStyle w:val="Title"/>
        <w:rPr>
          <w:lang w:val="en-GB"/>
        </w:rPr>
      </w:pPr>
      <w:r>
        <w:rPr>
          <w:lang w:val="en-GB"/>
        </w:rPr>
        <w:t>Explain-to-Learn Microlearning for Metacognitive Regulation in Academic Speaking</w:t>
      </w:r>
    </w:p>
    <w:p w14:paraId="73F023DB" w14:textId="77777777" w:rsidR="0041777C" w:rsidRDefault="0041777C">
      <w:pPr>
        <w:jc w:val="center"/>
        <w:rPr>
          <w:b/>
          <w:bCs/>
          <w:lang w:val="en-GB"/>
        </w:rPr>
      </w:pPr>
    </w:p>
    <w:p w14:paraId="5E9C6D69" w14:textId="77777777" w:rsidR="0041777C" w:rsidRDefault="00000000">
      <w:pPr>
        <w:jc w:val="center"/>
        <w:rPr>
          <w:lang w:val="en-GB"/>
        </w:rPr>
      </w:pPr>
      <w:r>
        <w:rPr>
          <w:b/>
          <w:bCs/>
          <w:lang w:val="en-GB"/>
        </w:rPr>
        <w:t>Restu Bias Primandhika</w:t>
      </w:r>
      <w:bookmarkStart w:id="0" w:name="_Hlk78440884"/>
      <w:r>
        <w:rPr>
          <w:b/>
          <w:bCs/>
          <w:vertAlign w:val="superscript"/>
          <w:lang w:val="en-GB"/>
        </w:rPr>
        <w:t>1</w:t>
      </w:r>
      <w:r>
        <w:rPr>
          <w:b/>
          <w:bCs/>
          <w:lang w:val="en-GB"/>
        </w:rPr>
        <w:t>, Nani Solihati</w:t>
      </w:r>
      <w:r>
        <w:rPr>
          <w:b/>
          <w:bCs/>
          <w:vertAlign w:val="superscript"/>
          <w:lang w:val="en-GB"/>
        </w:rPr>
        <w:t>2</w:t>
      </w:r>
      <w:r>
        <w:rPr>
          <w:b/>
          <w:bCs/>
          <w:lang w:val="en-GB"/>
        </w:rPr>
        <w:t>, Siti Zulaiha</w:t>
      </w:r>
      <w:r>
        <w:rPr>
          <w:b/>
          <w:bCs/>
          <w:vertAlign w:val="superscript"/>
          <w:lang w:val="en-GB"/>
        </w:rPr>
        <w:t>3</w:t>
      </w:r>
      <w:r>
        <w:rPr>
          <w:b/>
          <w:bCs/>
          <w:lang w:val="en-GB"/>
        </w:rPr>
        <w:t>, Aurelia Sakti Yani</w:t>
      </w:r>
      <w:r>
        <w:rPr>
          <w:b/>
          <w:bCs/>
          <w:vertAlign w:val="superscript"/>
          <w:lang w:val="en-GB"/>
        </w:rPr>
        <w:t>4</w:t>
      </w:r>
    </w:p>
    <w:p w14:paraId="321E41DE" w14:textId="77777777" w:rsidR="0041777C" w:rsidRDefault="00000000">
      <w:pPr>
        <w:jc w:val="center"/>
        <w:rPr>
          <w:lang w:val="en-GB"/>
        </w:rPr>
      </w:pPr>
      <w:r>
        <w:rPr>
          <w:sz w:val="16"/>
          <w:szCs w:val="16"/>
          <w:vertAlign w:val="superscript"/>
          <w:lang w:val="en-GB"/>
        </w:rPr>
        <w:t>1</w:t>
      </w:r>
      <w:bookmarkEnd w:id="0"/>
      <w:r>
        <w:rPr>
          <w:sz w:val="16"/>
          <w:szCs w:val="16"/>
          <w:vertAlign w:val="superscript"/>
          <w:lang w:val="en-GB"/>
        </w:rPr>
        <w:t>-3</w:t>
      </w:r>
      <w:r>
        <w:rPr>
          <w:sz w:val="16"/>
          <w:szCs w:val="16"/>
          <w:lang w:val="en-GB"/>
        </w:rPr>
        <w:t>Post-Graduate School, Universitas Muhammadiyah Prof. Dr. Hamka, Jakarta, Indonesia</w:t>
      </w:r>
    </w:p>
    <w:p w14:paraId="4DD1AAA1" w14:textId="77777777" w:rsidR="0041777C" w:rsidRDefault="00000000">
      <w:pPr>
        <w:jc w:val="center"/>
        <w:rPr>
          <w:lang w:val="en-GB"/>
        </w:rPr>
      </w:pPr>
      <w:r>
        <w:rPr>
          <w:sz w:val="16"/>
          <w:szCs w:val="16"/>
          <w:vertAlign w:val="superscript"/>
          <w:lang w:val="en-GB"/>
        </w:rPr>
        <w:t>1-3</w:t>
      </w:r>
      <w:r>
        <w:rPr>
          <w:sz w:val="16"/>
          <w:szCs w:val="16"/>
          <w:lang w:val="en-GB"/>
        </w:rPr>
        <w:t xml:space="preserve">Indonesian Language Education Study Programme, Faculty of Language Education, </w:t>
      </w:r>
      <w:proofErr w:type="spellStart"/>
      <w:r>
        <w:rPr>
          <w:sz w:val="16"/>
          <w:szCs w:val="16"/>
          <w:lang w:val="en-GB"/>
        </w:rPr>
        <w:t>Institut</w:t>
      </w:r>
      <w:proofErr w:type="spellEnd"/>
      <w:r>
        <w:rPr>
          <w:sz w:val="16"/>
          <w:szCs w:val="16"/>
          <w:lang w:val="en-GB"/>
        </w:rPr>
        <w:t xml:space="preserve"> </w:t>
      </w:r>
      <w:proofErr w:type="spellStart"/>
      <w:r>
        <w:rPr>
          <w:sz w:val="16"/>
          <w:szCs w:val="16"/>
          <w:lang w:val="en-GB"/>
        </w:rPr>
        <w:t>Keguruan</w:t>
      </w:r>
      <w:proofErr w:type="spellEnd"/>
      <w:r>
        <w:rPr>
          <w:sz w:val="16"/>
          <w:szCs w:val="16"/>
          <w:lang w:val="en-GB"/>
        </w:rPr>
        <w:t xml:space="preserve"> dan </w:t>
      </w:r>
      <w:proofErr w:type="spellStart"/>
      <w:r>
        <w:rPr>
          <w:sz w:val="16"/>
          <w:szCs w:val="16"/>
          <w:lang w:val="en-GB"/>
        </w:rPr>
        <w:t>Ilmu</w:t>
      </w:r>
      <w:proofErr w:type="spellEnd"/>
      <w:r>
        <w:rPr>
          <w:sz w:val="16"/>
          <w:szCs w:val="16"/>
          <w:lang w:val="en-GB"/>
        </w:rPr>
        <w:t xml:space="preserve"> Pendidikan </w:t>
      </w:r>
      <w:proofErr w:type="spellStart"/>
      <w:r>
        <w:rPr>
          <w:sz w:val="16"/>
          <w:szCs w:val="16"/>
          <w:lang w:val="en-GB"/>
        </w:rPr>
        <w:t>Siliwangi</w:t>
      </w:r>
      <w:proofErr w:type="spellEnd"/>
      <w:r>
        <w:rPr>
          <w:sz w:val="16"/>
          <w:szCs w:val="16"/>
          <w:lang w:val="en-GB"/>
        </w:rPr>
        <w:t xml:space="preserve">, </w:t>
      </w:r>
      <w:proofErr w:type="spellStart"/>
      <w:r>
        <w:rPr>
          <w:sz w:val="16"/>
          <w:szCs w:val="16"/>
          <w:lang w:val="en-GB"/>
        </w:rPr>
        <w:t>Cimahi</w:t>
      </w:r>
      <w:proofErr w:type="spellEnd"/>
      <w:r>
        <w:rPr>
          <w:sz w:val="16"/>
          <w:szCs w:val="16"/>
          <w:lang w:val="en-GB"/>
        </w:rPr>
        <w:t>, Indonesia</w:t>
      </w:r>
    </w:p>
    <w:p w14:paraId="7F8BB92D" w14:textId="77777777" w:rsidR="0041777C" w:rsidRDefault="0041777C">
      <w:pPr>
        <w:jc w:val="center"/>
        <w:rPr>
          <w:lang w:val="en-GB"/>
        </w:rPr>
      </w:pPr>
    </w:p>
    <w:p w14:paraId="2E4BF99F" w14:textId="77777777" w:rsidR="0041777C" w:rsidRDefault="0041777C">
      <w:pPr>
        <w:jc w:val="center"/>
        <w:rPr>
          <w:lang w:val="en-GB"/>
        </w:rPr>
      </w:pPr>
    </w:p>
    <w:tbl>
      <w:tblPr>
        <w:tblStyle w:val="TableGrid"/>
        <w:tblW w:w="8845" w:type="dxa"/>
        <w:jc w:val="center"/>
        <w:tblLayout w:type="fixed"/>
        <w:tblLook w:val="04A0" w:firstRow="1" w:lastRow="0" w:firstColumn="1" w:lastColumn="0" w:noHBand="0" w:noVBand="1"/>
      </w:tblPr>
      <w:tblGrid>
        <w:gridCol w:w="2787"/>
        <w:gridCol w:w="282"/>
        <w:gridCol w:w="5776"/>
      </w:tblGrid>
      <w:tr w:rsidR="0041777C" w14:paraId="045804B4" w14:textId="77777777">
        <w:trPr>
          <w:jc w:val="center"/>
        </w:trPr>
        <w:tc>
          <w:tcPr>
            <w:tcW w:w="2787" w:type="dxa"/>
            <w:tcBorders>
              <w:top w:val="double" w:sz="4" w:space="0" w:color="000000"/>
              <w:left w:val="nil"/>
              <w:right w:val="nil"/>
            </w:tcBorders>
          </w:tcPr>
          <w:p w14:paraId="33B40F6C" w14:textId="77777777" w:rsidR="0041777C" w:rsidRDefault="00000000">
            <w:pPr>
              <w:spacing w:before="120"/>
              <w:jc w:val="both"/>
              <w:rPr>
                <w:lang w:val="en-GB"/>
              </w:rPr>
            </w:pPr>
            <w:r>
              <w:rPr>
                <w:b/>
                <w:lang w:val="en-GB"/>
              </w:rPr>
              <w:t>Article Info</w:t>
            </w:r>
          </w:p>
        </w:tc>
        <w:tc>
          <w:tcPr>
            <w:tcW w:w="282" w:type="dxa"/>
            <w:tcBorders>
              <w:top w:val="double" w:sz="4" w:space="0" w:color="000000"/>
              <w:left w:val="nil"/>
              <w:bottom w:val="nil"/>
              <w:right w:val="nil"/>
            </w:tcBorders>
          </w:tcPr>
          <w:p w14:paraId="1DC060BA" w14:textId="77777777" w:rsidR="0041777C" w:rsidRDefault="0041777C">
            <w:pPr>
              <w:spacing w:before="120"/>
              <w:jc w:val="center"/>
              <w:rPr>
                <w:lang w:val="en-GB"/>
              </w:rPr>
            </w:pPr>
          </w:p>
        </w:tc>
        <w:tc>
          <w:tcPr>
            <w:tcW w:w="5776" w:type="dxa"/>
            <w:tcBorders>
              <w:top w:val="double" w:sz="4" w:space="0" w:color="000000"/>
              <w:left w:val="nil"/>
              <w:right w:val="nil"/>
            </w:tcBorders>
          </w:tcPr>
          <w:p w14:paraId="784B85C6" w14:textId="77777777" w:rsidR="0041777C" w:rsidRDefault="00000000">
            <w:pPr>
              <w:spacing w:before="120"/>
              <w:rPr>
                <w:lang w:val="en-GB"/>
              </w:rPr>
            </w:pPr>
            <w:r>
              <w:rPr>
                <w:b/>
                <w:bCs/>
                <w:iCs/>
                <w:color w:val="000000"/>
                <w:lang w:val="en-GB"/>
              </w:rPr>
              <w:t>ABSTRACT</w:t>
            </w:r>
          </w:p>
        </w:tc>
      </w:tr>
      <w:tr w:rsidR="0041777C" w14:paraId="226E5064" w14:textId="77777777">
        <w:trPr>
          <w:trHeight w:val="1268"/>
          <w:jc w:val="center"/>
        </w:trPr>
        <w:tc>
          <w:tcPr>
            <w:tcW w:w="2787" w:type="dxa"/>
            <w:tcBorders>
              <w:left w:val="nil"/>
              <w:right w:val="nil"/>
            </w:tcBorders>
          </w:tcPr>
          <w:p w14:paraId="3FB925F6" w14:textId="77777777" w:rsidR="0041777C" w:rsidRDefault="00000000">
            <w:pPr>
              <w:spacing w:before="120" w:after="120"/>
              <w:jc w:val="both"/>
              <w:rPr>
                <w:lang w:val="en-GB"/>
              </w:rPr>
            </w:pPr>
            <w:r>
              <w:rPr>
                <w:b/>
                <w:i/>
                <w:lang w:val="en-GB"/>
              </w:rPr>
              <w:t>Article history:</w:t>
            </w:r>
          </w:p>
          <w:p w14:paraId="3CF22D87" w14:textId="77777777" w:rsidR="0041777C" w:rsidRDefault="00000000">
            <w:pPr>
              <w:jc w:val="both"/>
              <w:rPr>
                <w:lang w:val="en-GB"/>
              </w:rPr>
            </w:pPr>
            <w:r>
              <w:rPr>
                <w:lang w:val="en-GB"/>
              </w:rPr>
              <w:t xml:space="preserve">Received month dd, </w:t>
            </w:r>
            <w:proofErr w:type="spellStart"/>
            <w:r>
              <w:rPr>
                <w:lang w:val="en-GB"/>
              </w:rPr>
              <w:t>yyyy</w:t>
            </w:r>
            <w:proofErr w:type="spellEnd"/>
          </w:p>
          <w:p w14:paraId="31C961BF" w14:textId="77777777" w:rsidR="0041777C" w:rsidRDefault="00000000">
            <w:pPr>
              <w:jc w:val="both"/>
              <w:rPr>
                <w:lang w:val="en-GB"/>
              </w:rPr>
            </w:pPr>
            <w:r>
              <w:rPr>
                <w:lang w:val="en-GB"/>
              </w:rPr>
              <w:t xml:space="preserve">Revised month dd, </w:t>
            </w:r>
            <w:proofErr w:type="spellStart"/>
            <w:r>
              <w:rPr>
                <w:lang w:val="en-GB"/>
              </w:rPr>
              <w:t>yyyy</w:t>
            </w:r>
            <w:proofErr w:type="spellEnd"/>
          </w:p>
          <w:p w14:paraId="15B79DBA" w14:textId="77777777" w:rsidR="0041777C" w:rsidRDefault="00000000">
            <w:pPr>
              <w:jc w:val="both"/>
              <w:rPr>
                <w:lang w:val="en-GB"/>
              </w:rPr>
            </w:pPr>
            <w:r>
              <w:rPr>
                <w:lang w:val="en-GB"/>
              </w:rPr>
              <w:t xml:space="preserve">Accepted month dd, </w:t>
            </w:r>
            <w:proofErr w:type="spellStart"/>
            <w:r>
              <w:rPr>
                <w:lang w:val="en-GB"/>
              </w:rPr>
              <w:t>yyyy</w:t>
            </w:r>
            <w:proofErr w:type="spellEnd"/>
          </w:p>
          <w:p w14:paraId="402AAB08" w14:textId="77777777" w:rsidR="0041777C" w:rsidRDefault="0041777C">
            <w:pPr>
              <w:jc w:val="both"/>
              <w:rPr>
                <w:lang w:val="en-GB"/>
              </w:rPr>
            </w:pPr>
          </w:p>
        </w:tc>
        <w:tc>
          <w:tcPr>
            <w:tcW w:w="282" w:type="dxa"/>
            <w:vMerge w:val="restart"/>
            <w:tcBorders>
              <w:top w:val="nil"/>
              <w:left w:val="nil"/>
              <w:bottom w:val="nil"/>
              <w:right w:val="nil"/>
            </w:tcBorders>
          </w:tcPr>
          <w:p w14:paraId="3FF0302B" w14:textId="77777777" w:rsidR="0041777C" w:rsidRDefault="0041777C">
            <w:pPr>
              <w:spacing w:before="120"/>
              <w:jc w:val="both"/>
              <w:rPr>
                <w:lang w:val="en-GB"/>
              </w:rPr>
            </w:pPr>
          </w:p>
        </w:tc>
        <w:tc>
          <w:tcPr>
            <w:tcW w:w="5776" w:type="dxa"/>
            <w:vMerge w:val="restart"/>
            <w:tcBorders>
              <w:left w:val="nil"/>
              <w:bottom w:val="nil"/>
              <w:right w:val="nil"/>
            </w:tcBorders>
          </w:tcPr>
          <w:p w14:paraId="7C74A86D" w14:textId="77777777" w:rsidR="0041777C" w:rsidRDefault="00000000">
            <w:pPr>
              <w:spacing w:before="120"/>
              <w:jc w:val="both"/>
              <w:rPr>
                <w:lang w:val="en-GB"/>
              </w:rPr>
            </w:pPr>
            <w:r>
              <w:rPr>
                <w:iCs/>
                <w:color w:val="000000"/>
                <w:sz w:val="18"/>
                <w:szCs w:val="18"/>
                <w:lang w:val="en-GB"/>
              </w:rPr>
              <w:t xml:space="preserve">This study examined whether explain-to-learn microlearning could strengthen metacognitive regulation and academic speaking performance in higher education. Over eight weeks, 80 Indonesian undergraduates completed short multimedia modules, oral explanation tasks, and structured reflection prompts. Using a classroom-based pre-post evaluation informed by design-based research, the study </w:t>
            </w:r>
            <w:proofErr w:type="spellStart"/>
            <w:r>
              <w:rPr>
                <w:iCs/>
                <w:color w:val="000000"/>
                <w:sz w:val="18"/>
                <w:szCs w:val="18"/>
                <w:lang w:val="en-GB"/>
              </w:rPr>
              <w:t>analyzed</w:t>
            </w:r>
            <w:proofErr w:type="spellEnd"/>
            <w:r>
              <w:rPr>
                <w:iCs/>
                <w:color w:val="000000"/>
                <w:sz w:val="18"/>
                <w:szCs w:val="18"/>
                <w:lang w:val="en-GB"/>
              </w:rPr>
              <w:t xml:space="preserve"> speaking scores, metacognitive regulation, and learner perceptions. Three findings emerged: 1) metacognitive regulation improved significantly across all three dimensions, with the largest gains in evaluation and planning (partial η² = .59); 2) academic speaking performance increased substantially across all dimensions, with the strongest gains in idea organization and clarity of explanation (d = 1.01); and 3) students rated the design highly for usefulness, cognitive engagement, and instructional clarity. The findings suggest that generative explanation and structured metacognitive reflection may serve as productive mediating activities that make brief instructional input more effective for academic speaking development.</w:t>
            </w:r>
          </w:p>
        </w:tc>
      </w:tr>
      <w:tr w:rsidR="0041777C" w14:paraId="2BB5925A" w14:textId="77777777">
        <w:trPr>
          <w:trHeight w:val="1231"/>
          <w:jc w:val="center"/>
        </w:trPr>
        <w:tc>
          <w:tcPr>
            <w:tcW w:w="2787" w:type="dxa"/>
            <w:vMerge w:val="restart"/>
            <w:tcBorders>
              <w:left w:val="nil"/>
              <w:right w:val="nil"/>
            </w:tcBorders>
          </w:tcPr>
          <w:p w14:paraId="7D0ECA4A" w14:textId="77777777" w:rsidR="0041777C" w:rsidRDefault="00000000">
            <w:pPr>
              <w:spacing w:before="120" w:after="120"/>
              <w:jc w:val="both"/>
              <w:rPr>
                <w:lang w:val="en-GB"/>
              </w:rPr>
            </w:pPr>
            <w:r>
              <w:rPr>
                <w:b/>
                <w:i/>
                <w:lang w:val="en-GB"/>
              </w:rPr>
              <w:t>Keywords:</w:t>
            </w:r>
          </w:p>
          <w:p w14:paraId="3B738167" w14:textId="77777777" w:rsidR="0041777C" w:rsidRDefault="00000000">
            <w:pPr>
              <w:jc w:val="both"/>
              <w:rPr>
                <w:lang w:val="en-GB"/>
              </w:rPr>
            </w:pPr>
            <w:r>
              <w:rPr>
                <w:lang w:val="en-GB"/>
              </w:rPr>
              <w:t>Academic speaking</w:t>
            </w:r>
          </w:p>
          <w:p w14:paraId="59382475" w14:textId="77777777" w:rsidR="0041777C" w:rsidRDefault="00000000">
            <w:pPr>
              <w:pStyle w:val="BodyText"/>
              <w:spacing w:after="0"/>
              <w:jc w:val="both"/>
              <w:rPr>
                <w:lang w:val="en-GB"/>
              </w:rPr>
            </w:pPr>
            <w:r>
              <w:rPr>
                <w:lang w:val="en-GB" w:eastAsia="en-US"/>
              </w:rPr>
              <w:t>Explain-to-learn</w:t>
            </w:r>
          </w:p>
          <w:p w14:paraId="59DB86C0" w14:textId="77777777" w:rsidR="0041777C" w:rsidRDefault="00000000">
            <w:pPr>
              <w:pStyle w:val="BodyText"/>
              <w:spacing w:after="0"/>
              <w:jc w:val="both"/>
              <w:rPr>
                <w:lang w:val="en-GB"/>
              </w:rPr>
            </w:pPr>
            <w:r>
              <w:rPr>
                <w:lang w:val="en-GB" w:eastAsia="en-US"/>
              </w:rPr>
              <w:t>Higher education</w:t>
            </w:r>
          </w:p>
          <w:p w14:paraId="55CD6351" w14:textId="77777777" w:rsidR="0041777C" w:rsidRDefault="00000000">
            <w:pPr>
              <w:pStyle w:val="BodyText"/>
              <w:rPr>
                <w:lang w:val="en-GB"/>
              </w:rPr>
            </w:pPr>
            <w:r>
              <w:rPr>
                <w:lang w:val="en-GB"/>
              </w:rPr>
              <w:t>Metacognitive regulation</w:t>
            </w:r>
            <w:r>
              <w:rPr>
                <w:lang w:val="en-GB"/>
              </w:rPr>
              <w:br/>
              <w:t>Microlearning</w:t>
            </w:r>
          </w:p>
        </w:tc>
        <w:tc>
          <w:tcPr>
            <w:tcW w:w="282" w:type="dxa"/>
            <w:vMerge/>
            <w:tcBorders>
              <w:top w:val="nil"/>
              <w:left w:val="nil"/>
              <w:bottom w:val="nil"/>
              <w:right w:val="nil"/>
            </w:tcBorders>
          </w:tcPr>
          <w:p w14:paraId="43680606" w14:textId="77777777" w:rsidR="0041777C" w:rsidRDefault="0041777C">
            <w:pPr>
              <w:spacing w:before="120"/>
              <w:jc w:val="both"/>
              <w:rPr>
                <w:lang w:val="en-GB"/>
              </w:rPr>
            </w:pPr>
          </w:p>
        </w:tc>
        <w:tc>
          <w:tcPr>
            <w:tcW w:w="5776" w:type="dxa"/>
            <w:vMerge/>
            <w:tcBorders>
              <w:top w:val="nil"/>
              <w:left w:val="nil"/>
              <w:bottom w:val="nil"/>
              <w:right w:val="nil"/>
            </w:tcBorders>
          </w:tcPr>
          <w:p w14:paraId="08BBE7BA" w14:textId="77777777" w:rsidR="0041777C" w:rsidRDefault="0041777C">
            <w:pPr>
              <w:spacing w:before="120"/>
              <w:jc w:val="both"/>
              <w:rPr>
                <w:iCs/>
                <w:color w:val="000000"/>
                <w:sz w:val="18"/>
                <w:szCs w:val="18"/>
                <w:lang w:val="en-GB"/>
              </w:rPr>
            </w:pPr>
          </w:p>
        </w:tc>
      </w:tr>
      <w:tr w:rsidR="0041777C" w14:paraId="795B49E8" w14:textId="77777777">
        <w:trPr>
          <w:trHeight w:val="70"/>
          <w:jc w:val="center"/>
        </w:trPr>
        <w:tc>
          <w:tcPr>
            <w:tcW w:w="2787" w:type="dxa"/>
            <w:vMerge/>
            <w:tcBorders>
              <w:left w:val="nil"/>
              <w:right w:val="nil"/>
            </w:tcBorders>
          </w:tcPr>
          <w:p w14:paraId="6FBC60FB" w14:textId="77777777" w:rsidR="0041777C" w:rsidRDefault="0041777C">
            <w:pPr>
              <w:spacing w:before="120" w:after="120"/>
              <w:jc w:val="both"/>
              <w:rPr>
                <w:b/>
                <w:i/>
                <w:lang w:val="en-GB"/>
              </w:rPr>
            </w:pPr>
          </w:p>
        </w:tc>
        <w:tc>
          <w:tcPr>
            <w:tcW w:w="282" w:type="dxa"/>
            <w:vMerge/>
            <w:tcBorders>
              <w:top w:val="nil"/>
              <w:left w:val="nil"/>
              <w:bottom w:val="nil"/>
              <w:right w:val="nil"/>
            </w:tcBorders>
          </w:tcPr>
          <w:p w14:paraId="28E178AB" w14:textId="77777777" w:rsidR="0041777C" w:rsidRDefault="0041777C">
            <w:pPr>
              <w:spacing w:before="120"/>
              <w:jc w:val="both"/>
              <w:rPr>
                <w:lang w:val="en-GB"/>
              </w:rPr>
            </w:pPr>
          </w:p>
        </w:tc>
        <w:tc>
          <w:tcPr>
            <w:tcW w:w="5776" w:type="dxa"/>
            <w:tcBorders>
              <w:top w:val="nil"/>
              <w:left w:val="nil"/>
              <w:right w:val="nil"/>
            </w:tcBorders>
          </w:tcPr>
          <w:p w14:paraId="6CDEF8C8" w14:textId="77777777" w:rsidR="0041777C" w:rsidRDefault="00000000">
            <w:pPr>
              <w:spacing w:before="120" w:after="120"/>
              <w:jc w:val="right"/>
              <w:rPr>
                <w:lang w:val="en-GB"/>
              </w:rPr>
            </w:pPr>
            <w:r>
              <w:rPr>
                <w:i/>
                <w:iCs/>
                <w:color w:val="000000"/>
                <w:sz w:val="18"/>
                <w:szCs w:val="18"/>
                <w:lang w:val="en-GB"/>
              </w:rPr>
              <w:t xml:space="preserve">This is an open access article under the </w:t>
            </w:r>
            <w:hyperlink r:id="rId8">
              <w:r>
                <w:rPr>
                  <w:rStyle w:val="Hyperlink"/>
                  <w:i/>
                  <w:iCs/>
                  <w:sz w:val="18"/>
                  <w:szCs w:val="18"/>
                  <w:lang w:val="en-GB"/>
                </w:rPr>
                <w:t>CC BY-SA</w:t>
              </w:r>
            </w:hyperlink>
            <w:r>
              <w:rPr>
                <w:i/>
                <w:iCs/>
                <w:color w:val="000000"/>
                <w:sz w:val="18"/>
                <w:szCs w:val="18"/>
                <w:lang w:val="en-GB"/>
              </w:rPr>
              <w:t xml:space="preserve"> license.</w:t>
            </w:r>
          </w:p>
          <w:p w14:paraId="40FB077E" w14:textId="77777777" w:rsidR="0041777C" w:rsidRDefault="00000000">
            <w:r>
              <w:rPr>
                <w:noProof/>
              </w:rPr>
              <w:drawing>
                <wp:inline distT="0" distB="0" distL="0" distR="0" wp14:anchorId="5F2E800A" wp14:editId="15F2D74D">
                  <wp:extent cx="1057275" cy="37147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9"/>
                          <a:stretch>
                            <a:fillRect/>
                          </a:stretch>
                        </pic:blipFill>
                        <pic:spPr bwMode="auto">
                          <a:xfrm>
                            <a:off x="0" y="0"/>
                            <a:ext cx="1057275" cy="371475"/>
                          </a:xfrm>
                          <a:prstGeom prst="rect">
                            <a:avLst/>
                          </a:prstGeom>
                          <a:noFill/>
                        </pic:spPr>
                      </pic:pic>
                    </a:graphicData>
                  </a:graphic>
                </wp:inline>
              </w:drawing>
            </w:r>
          </w:p>
        </w:tc>
      </w:tr>
      <w:tr w:rsidR="0041777C" w14:paraId="24AACD55" w14:textId="77777777">
        <w:trPr>
          <w:jc w:val="center"/>
        </w:trPr>
        <w:tc>
          <w:tcPr>
            <w:tcW w:w="8845" w:type="dxa"/>
            <w:gridSpan w:val="3"/>
            <w:tcBorders>
              <w:top w:val="nil"/>
              <w:left w:val="nil"/>
              <w:bottom w:val="double" w:sz="4" w:space="0" w:color="000000"/>
              <w:right w:val="nil"/>
            </w:tcBorders>
          </w:tcPr>
          <w:p w14:paraId="3E2F4104" w14:textId="77777777" w:rsidR="0041777C" w:rsidRDefault="00000000">
            <w:pPr>
              <w:spacing w:before="120" w:after="120"/>
              <w:rPr>
                <w:lang w:val="en-GB"/>
              </w:rPr>
            </w:pPr>
            <w:r>
              <w:rPr>
                <w:b/>
                <w:i/>
                <w:lang w:val="en-GB"/>
              </w:rPr>
              <w:t>Corresponding Author:</w:t>
            </w:r>
          </w:p>
          <w:p w14:paraId="35DE1A7C" w14:textId="77777777" w:rsidR="0041777C" w:rsidRDefault="00000000">
            <w:pPr>
              <w:spacing w:after="120"/>
              <w:rPr>
                <w:lang w:val="en-GB"/>
              </w:rPr>
            </w:pPr>
            <w:r>
              <w:rPr>
                <w:lang w:val="en-GB"/>
              </w:rPr>
              <w:t xml:space="preserve">Nani </w:t>
            </w:r>
            <w:proofErr w:type="spellStart"/>
            <w:r>
              <w:rPr>
                <w:lang w:val="en-GB"/>
              </w:rPr>
              <w:t>Solihati</w:t>
            </w:r>
            <w:proofErr w:type="spellEnd"/>
            <w:r>
              <w:rPr>
                <w:lang w:val="en-GB"/>
              </w:rPr>
              <w:br/>
            </w:r>
            <w:r>
              <w:rPr>
                <w:szCs w:val="16"/>
                <w:lang w:val="en-GB"/>
              </w:rPr>
              <w:t>Post-Graduate School, Universitas Muhammadiyah Prof. Dr. Hamka, Jakarta, Indonesia</w:t>
            </w:r>
            <w:r>
              <w:rPr>
                <w:lang w:val="en-GB"/>
              </w:rPr>
              <w:br/>
              <w:t xml:space="preserve">Jl. Hajjah </w:t>
            </w:r>
            <w:proofErr w:type="spellStart"/>
            <w:r>
              <w:rPr>
                <w:lang w:val="en-GB"/>
              </w:rPr>
              <w:t>Tutty</w:t>
            </w:r>
            <w:proofErr w:type="spellEnd"/>
            <w:r>
              <w:rPr>
                <w:lang w:val="en-GB"/>
              </w:rPr>
              <w:t xml:space="preserve"> Alawiyah Jl. </w:t>
            </w:r>
            <w:proofErr w:type="spellStart"/>
            <w:r>
              <w:rPr>
                <w:lang w:val="en-GB"/>
              </w:rPr>
              <w:t>Buncit</w:t>
            </w:r>
            <w:proofErr w:type="spellEnd"/>
            <w:r>
              <w:rPr>
                <w:lang w:val="en-GB"/>
              </w:rPr>
              <w:t xml:space="preserve"> Raya, RT.2/RW.5, Kalibata, </w:t>
            </w:r>
            <w:proofErr w:type="spellStart"/>
            <w:r>
              <w:rPr>
                <w:lang w:val="en-GB"/>
              </w:rPr>
              <w:t>Kec</w:t>
            </w:r>
            <w:proofErr w:type="spellEnd"/>
            <w:r>
              <w:rPr>
                <w:lang w:val="en-GB"/>
              </w:rPr>
              <w:t xml:space="preserve">. </w:t>
            </w:r>
            <w:proofErr w:type="spellStart"/>
            <w:r>
              <w:rPr>
                <w:lang w:val="en-GB"/>
              </w:rPr>
              <w:t>Pancoran</w:t>
            </w:r>
            <w:proofErr w:type="spellEnd"/>
            <w:r>
              <w:rPr>
                <w:lang w:val="en-GB"/>
              </w:rPr>
              <w:t xml:space="preserve">, Kota Jakarta Selatan, Daerah </w:t>
            </w:r>
            <w:proofErr w:type="spellStart"/>
            <w:r>
              <w:rPr>
                <w:lang w:val="en-GB"/>
              </w:rPr>
              <w:t>Khusus</w:t>
            </w:r>
            <w:proofErr w:type="spellEnd"/>
            <w:r>
              <w:rPr>
                <w:lang w:val="en-GB"/>
              </w:rPr>
              <w:t xml:space="preserve"> </w:t>
            </w:r>
            <w:proofErr w:type="spellStart"/>
            <w:r>
              <w:rPr>
                <w:lang w:val="en-GB"/>
              </w:rPr>
              <w:t>Ibukota</w:t>
            </w:r>
            <w:proofErr w:type="spellEnd"/>
            <w:r>
              <w:rPr>
                <w:lang w:val="en-GB"/>
              </w:rPr>
              <w:t xml:space="preserve"> Jakarta 12740</w:t>
            </w:r>
            <w:r>
              <w:rPr>
                <w:lang w:val="en-GB"/>
              </w:rPr>
              <w:br/>
              <w:t>Email: nani_solihati@uhamka.ac.id</w:t>
            </w:r>
          </w:p>
        </w:tc>
      </w:tr>
    </w:tbl>
    <w:p w14:paraId="4793F7E4" w14:textId="77777777" w:rsidR="0041777C" w:rsidRDefault="0041777C">
      <w:pPr>
        <w:jc w:val="both"/>
        <w:rPr>
          <w:lang w:val="en-GB"/>
        </w:rPr>
      </w:pPr>
    </w:p>
    <w:p w14:paraId="1299C0A5" w14:textId="77777777" w:rsidR="0041777C" w:rsidRDefault="0041777C">
      <w:pPr>
        <w:jc w:val="both"/>
        <w:rPr>
          <w:lang w:val="en-GB"/>
        </w:rPr>
      </w:pPr>
    </w:p>
    <w:p w14:paraId="2F80331D" w14:textId="77777777" w:rsidR="0041777C" w:rsidRDefault="00000000">
      <w:pPr>
        <w:numPr>
          <w:ilvl w:val="0"/>
          <w:numId w:val="4"/>
        </w:numPr>
        <w:tabs>
          <w:tab w:val="left" w:pos="426"/>
        </w:tabs>
        <w:ind w:left="426" w:hanging="426"/>
        <w:rPr>
          <w:lang w:val="en-GB"/>
        </w:rPr>
      </w:pPr>
      <w:r>
        <w:rPr>
          <w:b/>
          <w:bCs/>
          <w:lang w:val="en-GB"/>
        </w:rPr>
        <w:t>INTRODUCTION</w:t>
      </w:r>
    </w:p>
    <w:p w14:paraId="6435A9B6" w14:textId="77777777" w:rsidR="0041777C" w:rsidRDefault="00000000">
      <w:pPr>
        <w:ind w:firstLine="720"/>
        <w:jc w:val="both"/>
        <w:rPr>
          <w:spacing w:val="-2"/>
          <w:szCs w:val="18"/>
          <w:lang w:val="en-GB"/>
        </w:rPr>
      </w:pPr>
      <w:r>
        <w:rPr>
          <w:spacing w:val="-2"/>
          <w:szCs w:val="18"/>
          <w:lang w:val="en-GB"/>
        </w:rPr>
        <w:t xml:space="preserve">University students are expected to do more than speak fluently. They must explain concepts, organize disciplinary arguments, and make their reasoning clear to listeners who are also learning. This is a cognitively demanding task, and Goh </w:t>
      </w:r>
      <w:r>
        <w:rPr>
          <w:spacing w:val="-2"/>
          <w:szCs w:val="18"/>
          <w:shd w:val="clear" w:color="auto" w:fill="B2B2B2"/>
          <w:lang w:val="en-GB"/>
        </w:rPr>
        <w:t>[3]</w:t>
      </w:r>
      <w:r>
        <w:rPr>
          <w:spacing w:val="-2"/>
          <w:szCs w:val="18"/>
          <w:lang w:val="en-GB"/>
        </w:rPr>
        <w:t xml:space="preserve"> argues that speaking development depends not only on what students produce, but on the internal processes (planning what to say, monitoring whether an explanation is landing, evaluating what fell short) that regulate performance before, during, and after speech. In most university speaking classrooms, however, those processes are left largely implicit. Instruction tends to prioritize observable outcomes: fluency, accuracy, pronunciation. The metacognitive work that supports them rarely receives a dedicated place in the curriculum.</w:t>
      </w:r>
    </w:p>
    <w:p w14:paraId="79BCA493" w14:textId="77777777" w:rsidR="0041777C" w:rsidRDefault="00000000">
      <w:pPr>
        <w:ind w:firstLine="720"/>
        <w:jc w:val="both"/>
        <w:rPr>
          <w:spacing w:val="-2"/>
          <w:szCs w:val="18"/>
          <w:lang w:val="en-GB"/>
        </w:rPr>
      </w:pPr>
      <w:r>
        <w:rPr>
          <w:spacing w:val="-2"/>
          <w:szCs w:val="18"/>
          <w:lang w:val="en-GB"/>
        </w:rPr>
        <w:t>In Indonesia, the stakes are higher than they might first appear. National standards for higher education now require curricula to be organized around graduate learning outcomes that explicitly include effective communication, and they mandate student-</w:t>
      </w:r>
      <w:proofErr w:type="spellStart"/>
      <w:r>
        <w:rPr>
          <w:spacing w:val="-2"/>
          <w:szCs w:val="18"/>
          <w:lang w:val="en-GB"/>
        </w:rPr>
        <w:t>centered</w:t>
      </w:r>
      <w:proofErr w:type="spellEnd"/>
      <w:r>
        <w:rPr>
          <w:spacing w:val="-2"/>
          <w:szCs w:val="18"/>
          <w:lang w:val="en-GB"/>
        </w:rPr>
        <w:t xml:space="preserve"> methods such as discussion, seminar, and project-based learning as pathways to those outcomes </w:t>
      </w:r>
      <w:r>
        <w:rPr>
          <w:spacing w:val="-2"/>
          <w:szCs w:val="18"/>
          <w:shd w:val="clear" w:color="auto" w:fill="B2B2B2"/>
          <w:lang w:val="en-GB"/>
        </w:rPr>
        <w:t>[1]</w:t>
      </w:r>
      <w:r>
        <w:rPr>
          <w:spacing w:val="-2"/>
          <w:szCs w:val="18"/>
          <w:lang w:val="en-GB"/>
        </w:rPr>
        <w:t xml:space="preserve">. The policy intent is clear. In practice, though, university students frequently struggle with precisely these performances: local studies report persistent weaknesses in scientific presentation, limited oral proficiency, and public speaking anxiety among undergraduates </w:t>
      </w:r>
      <w:r>
        <w:rPr>
          <w:spacing w:val="-2"/>
          <w:szCs w:val="18"/>
          <w:shd w:val="clear" w:color="auto" w:fill="B2B2B2"/>
          <w:lang w:val="en-GB"/>
        </w:rPr>
        <w:t>[2]</w:t>
      </w:r>
      <w:r>
        <w:rPr>
          <w:spacing w:val="-2"/>
          <w:szCs w:val="18"/>
          <w:lang w:val="en-GB"/>
        </w:rPr>
        <w:t>. The demand for communicative competence has moved faster than the instructional infrastructure for building it.</w:t>
      </w:r>
    </w:p>
    <w:p w14:paraId="55028619" w14:textId="77777777" w:rsidR="0041777C" w:rsidRDefault="0041777C">
      <w:pPr>
        <w:ind w:firstLine="720"/>
        <w:jc w:val="both"/>
        <w:rPr>
          <w:spacing w:val="-2"/>
          <w:szCs w:val="18"/>
          <w:lang w:val="en-GB"/>
        </w:rPr>
      </w:pPr>
    </w:p>
    <w:p w14:paraId="5CDF6018" w14:textId="77777777" w:rsidR="0041777C" w:rsidRDefault="00000000">
      <w:pPr>
        <w:ind w:firstLine="720"/>
        <w:jc w:val="both"/>
        <w:rPr>
          <w:spacing w:val="-2"/>
          <w:szCs w:val="18"/>
          <w:lang w:val="en-GB"/>
        </w:rPr>
      </w:pPr>
      <w:r>
        <w:rPr>
          <w:spacing w:val="-2"/>
          <w:szCs w:val="18"/>
          <w:lang w:val="en-GB"/>
        </w:rPr>
        <w:lastRenderedPageBreak/>
        <w:t xml:space="preserve">This is not simply a matter of exposure or practice hours. Academic speaking is cognitively heavier than everyday conversation because it requires learners to simultaneously manage content organization, self-monitoring, and audience awareness under real-time pressure. Flavell </w:t>
      </w:r>
      <w:r>
        <w:rPr>
          <w:spacing w:val="-2"/>
          <w:szCs w:val="18"/>
          <w:shd w:val="clear" w:color="auto" w:fill="B2B2B2"/>
          <w:lang w:val="en-GB"/>
        </w:rPr>
        <w:t>[4]</w:t>
      </w:r>
      <w:r>
        <w:rPr>
          <w:spacing w:val="-2"/>
          <w:szCs w:val="18"/>
          <w:lang w:val="en-GB"/>
        </w:rPr>
        <w:t xml:space="preserve"> identified planning, monitoring, and evaluation as foundational regulatory processes in learning; Zimmerman </w:t>
      </w:r>
      <w:r>
        <w:rPr>
          <w:spacing w:val="-2"/>
          <w:szCs w:val="18"/>
          <w:shd w:val="clear" w:color="auto" w:fill="B2B2B2"/>
          <w:lang w:val="en-GB"/>
        </w:rPr>
        <w:t>[5]</w:t>
      </w:r>
      <w:r>
        <w:rPr>
          <w:spacing w:val="-2"/>
          <w:szCs w:val="18"/>
          <w:lang w:val="en-GB"/>
        </w:rPr>
        <w:t xml:space="preserve"> extended that framework to self-regulated performance more broadly. Applied to speaking, these processes matter: Paterson </w:t>
      </w:r>
      <w:r>
        <w:rPr>
          <w:spacing w:val="-2"/>
          <w:szCs w:val="18"/>
          <w:shd w:val="clear" w:color="auto" w:fill="B2B2B2"/>
          <w:lang w:val="en-GB"/>
        </w:rPr>
        <w:t>[6]</w:t>
      </w:r>
      <w:r>
        <w:rPr>
          <w:spacing w:val="-2"/>
          <w:szCs w:val="18"/>
          <w:lang w:val="en-GB"/>
        </w:rPr>
        <w:t xml:space="preserve"> showed that structured metacognitive reflection can drive meaningful speaking improvement, and Zhang </w:t>
      </w:r>
      <w:r>
        <w:rPr>
          <w:i/>
          <w:iCs/>
          <w:spacing w:val="-2"/>
          <w:szCs w:val="18"/>
          <w:lang w:val="en-GB"/>
        </w:rPr>
        <w:t>et al.</w:t>
      </w:r>
      <w:r>
        <w:rPr>
          <w:spacing w:val="-2"/>
          <w:szCs w:val="18"/>
          <w:lang w:val="en-GB"/>
        </w:rPr>
        <w:t xml:space="preserve"> </w:t>
      </w:r>
      <w:r>
        <w:rPr>
          <w:spacing w:val="-2"/>
          <w:szCs w:val="18"/>
          <w:shd w:val="clear" w:color="auto" w:fill="B2B2B2"/>
          <w:lang w:val="en-GB"/>
        </w:rPr>
        <w:t>[7]</w:t>
      </w:r>
      <w:r>
        <w:rPr>
          <w:spacing w:val="-2"/>
          <w:szCs w:val="18"/>
          <w:lang w:val="en-GB"/>
        </w:rPr>
        <w:t xml:space="preserve"> found consistent associations among metacognitive strategy use, task demand, and L2 speaking quality. Safari and </w:t>
      </w:r>
      <w:proofErr w:type="spellStart"/>
      <w:r>
        <w:rPr>
          <w:spacing w:val="-2"/>
          <w:szCs w:val="18"/>
          <w:lang w:val="en-GB"/>
        </w:rPr>
        <w:t>Fitriati</w:t>
      </w:r>
      <w:proofErr w:type="spellEnd"/>
      <w:r>
        <w:rPr>
          <w:spacing w:val="-2"/>
          <w:szCs w:val="18"/>
          <w:lang w:val="en-GB"/>
        </w:rPr>
        <w:t xml:space="preserve"> [8] similarly observed that higher-performing speakers are distinguishable from weaker ones partly through how they regulate their own production. The issue is not whether metacognition matters for speaking; the evidence suggests it does. The issue is that metacognitive support in university courses is typically incidental, delayed, or invisible.</w:t>
      </w:r>
    </w:p>
    <w:p w14:paraId="007671F5" w14:textId="77777777" w:rsidR="0041777C" w:rsidRDefault="00000000">
      <w:pPr>
        <w:ind w:firstLine="720"/>
        <w:jc w:val="both"/>
        <w:rPr>
          <w:spacing w:val="-2"/>
          <w:szCs w:val="18"/>
          <w:lang w:val="en-GB"/>
        </w:rPr>
      </w:pPr>
      <w:r>
        <w:rPr>
          <w:spacing w:val="-2"/>
          <w:szCs w:val="18"/>
          <w:lang w:val="en-GB"/>
        </w:rPr>
        <w:t xml:space="preserve">Microlearning has attracted attention as one way to make instruction more focused and cognitively manageable. Short, targeted modules can reduce complexity, lower extraneous load, and keep learners engaged across constrained time windows </w:t>
      </w:r>
      <w:r>
        <w:rPr>
          <w:spacing w:val="-2"/>
          <w:szCs w:val="18"/>
          <w:shd w:val="clear" w:color="auto" w:fill="B2B2B2"/>
          <w:lang w:val="en-GB"/>
        </w:rPr>
        <w:t>[9]</w:t>
      </w:r>
      <w:r>
        <w:rPr>
          <w:spacing w:val="-2"/>
          <w:szCs w:val="18"/>
          <w:lang w:val="en-GB"/>
        </w:rPr>
        <w:t xml:space="preserve">, </w:t>
      </w:r>
      <w:r>
        <w:rPr>
          <w:spacing w:val="-2"/>
          <w:szCs w:val="18"/>
          <w:shd w:val="clear" w:color="auto" w:fill="B2B2B2"/>
          <w:lang w:val="en-GB"/>
        </w:rPr>
        <w:t>[10]</w:t>
      </w:r>
      <w:r>
        <w:rPr>
          <w:spacing w:val="-2"/>
          <w:szCs w:val="18"/>
          <w:lang w:val="en-GB"/>
        </w:rPr>
        <w:t xml:space="preserve">, </w:t>
      </w:r>
      <w:r>
        <w:rPr>
          <w:spacing w:val="-2"/>
          <w:szCs w:val="18"/>
          <w:shd w:val="clear" w:color="auto" w:fill="B2B2B2"/>
          <w:lang w:val="en-GB"/>
        </w:rPr>
        <w:t>[11]</w:t>
      </w:r>
      <w:r>
        <w:rPr>
          <w:spacing w:val="-2"/>
          <w:szCs w:val="18"/>
          <w:lang w:val="en-GB"/>
        </w:rPr>
        <w:t xml:space="preserve">, </w:t>
      </w:r>
      <w:r>
        <w:rPr>
          <w:spacing w:val="-2"/>
          <w:szCs w:val="18"/>
          <w:shd w:val="clear" w:color="auto" w:fill="B2B2B2"/>
          <w:lang w:val="en-GB"/>
        </w:rPr>
        <w:t>[12]</w:t>
      </w:r>
      <w:r>
        <w:rPr>
          <w:spacing w:val="-2"/>
          <w:szCs w:val="18"/>
          <w:lang w:val="en-GB"/>
        </w:rPr>
        <w:t xml:space="preserve">. There is also emerging evidence that microlearning can support speaking development when it is embedded in meaningful communicative activity rather than used as isolated drill </w:t>
      </w:r>
      <w:r>
        <w:rPr>
          <w:spacing w:val="-2"/>
          <w:szCs w:val="18"/>
          <w:shd w:val="clear" w:color="auto" w:fill="B2B2B2"/>
          <w:lang w:val="en-GB"/>
        </w:rPr>
        <w:t>[13]</w:t>
      </w:r>
      <w:r>
        <w:rPr>
          <w:spacing w:val="-2"/>
          <w:szCs w:val="18"/>
          <w:lang w:val="en-GB"/>
        </w:rPr>
        <w:t>.</w:t>
      </w:r>
    </w:p>
    <w:p w14:paraId="5AFE736F" w14:textId="77777777" w:rsidR="0041777C" w:rsidRDefault="00000000">
      <w:pPr>
        <w:ind w:firstLine="720"/>
        <w:jc w:val="both"/>
        <w:rPr>
          <w:spacing w:val="-2"/>
          <w:szCs w:val="18"/>
          <w:lang w:val="en-GB"/>
        </w:rPr>
      </w:pPr>
      <w:r>
        <w:rPr>
          <w:spacing w:val="-2"/>
          <w:szCs w:val="18"/>
          <w:lang w:val="en-GB"/>
        </w:rPr>
        <w:t xml:space="preserve">However, brevity alone does not constitute a pedagogy. When short modules function mainly as segmented content delivery, they can improve access and convenience without requiring learners to do anything generative with what they receive: reorganize it, express it aloud, or evaluate whether their explanation </w:t>
      </w:r>
      <w:proofErr w:type="gramStart"/>
      <w:r>
        <w:rPr>
          <w:spacing w:val="-2"/>
          <w:szCs w:val="18"/>
          <w:lang w:val="en-GB"/>
        </w:rPr>
        <w:t>actually communicated</w:t>
      </w:r>
      <w:proofErr w:type="gramEnd"/>
      <w:r>
        <w:rPr>
          <w:spacing w:val="-2"/>
          <w:szCs w:val="18"/>
          <w:lang w:val="en-GB"/>
        </w:rPr>
        <w:t xml:space="preserve"> what they intended. Indeed, excessively segmented instruction may risk conceptual fragmentation if generative integration tasks are absent </w:t>
      </w:r>
      <w:r>
        <w:rPr>
          <w:spacing w:val="-2"/>
          <w:szCs w:val="18"/>
          <w:shd w:val="clear" w:color="auto" w:fill="B2B2B2"/>
          <w:lang w:val="en-GB"/>
        </w:rPr>
        <w:t>[10]</w:t>
      </w:r>
      <w:r>
        <w:rPr>
          <w:spacing w:val="-2"/>
          <w:szCs w:val="18"/>
          <w:lang w:val="en-GB"/>
        </w:rPr>
        <w:t xml:space="preserve">, </w:t>
      </w:r>
      <w:r>
        <w:rPr>
          <w:spacing w:val="-2"/>
          <w:szCs w:val="18"/>
          <w:shd w:val="clear" w:color="auto" w:fill="B2B2B2"/>
          <w:lang w:val="en-GB"/>
        </w:rPr>
        <w:t>[12]</w:t>
      </w:r>
      <w:r>
        <w:rPr>
          <w:spacing w:val="-2"/>
          <w:szCs w:val="18"/>
          <w:lang w:val="en-GB"/>
        </w:rPr>
        <w:t>. The microlearning literature has not yet worked through this problem, particularly not in the context of academic speaking where exactly this kind of elaborative, self-regulated processing matters most.</w:t>
      </w:r>
    </w:p>
    <w:p w14:paraId="5EFEEF70" w14:textId="77777777" w:rsidR="00A17780" w:rsidRDefault="00000000" w:rsidP="00A17780">
      <w:pPr>
        <w:ind w:firstLine="720"/>
        <w:jc w:val="both"/>
        <w:rPr>
          <w:spacing w:val="-2"/>
          <w:szCs w:val="18"/>
          <w:lang w:val="en-GB"/>
        </w:rPr>
      </w:pPr>
      <w:r>
        <w:rPr>
          <w:spacing w:val="-2"/>
          <w:szCs w:val="18"/>
          <w:lang w:val="en-GB"/>
        </w:rPr>
        <w:t xml:space="preserve">Explain-to-learn strategies offer a way to close that gap. Fiorella and Mayer [14] describe explanation as a generative learning activity, one that requires learners to select, organize, and integrate information rather than simply retrieve it. Lachner </w:t>
      </w:r>
      <w:r>
        <w:rPr>
          <w:i/>
          <w:iCs/>
          <w:spacing w:val="-2"/>
          <w:szCs w:val="18"/>
          <w:lang w:val="en-GB"/>
        </w:rPr>
        <w:t>et al.</w:t>
      </w:r>
      <w:r>
        <w:rPr>
          <w:spacing w:val="-2"/>
          <w:szCs w:val="18"/>
          <w:lang w:val="en-GB"/>
        </w:rPr>
        <w:t xml:space="preserve"> </w:t>
      </w:r>
      <w:r>
        <w:rPr>
          <w:spacing w:val="-2"/>
          <w:szCs w:val="18"/>
          <w:shd w:val="clear" w:color="auto" w:fill="B2B2B2"/>
          <w:lang w:val="en-GB"/>
        </w:rPr>
        <w:t>[15]</w:t>
      </w:r>
      <w:r>
        <w:rPr>
          <w:spacing w:val="-2"/>
          <w:szCs w:val="18"/>
          <w:lang w:val="en-GB"/>
        </w:rPr>
        <w:t xml:space="preserve"> and Bai </w:t>
      </w:r>
      <w:r>
        <w:rPr>
          <w:i/>
          <w:iCs/>
          <w:spacing w:val="-2"/>
          <w:szCs w:val="18"/>
          <w:lang w:val="en-GB"/>
        </w:rPr>
        <w:t>et al.</w:t>
      </w:r>
      <w:r>
        <w:rPr>
          <w:spacing w:val="-2"/>
          <w:szCs w:val="18"/>
          <w:lang w:val="en-GB"/>
        </w:rPr>
        <w:t xml:space="preserve"> </w:t>
      </w:r>
      <w:r>
        <w:rPr>
          <w:spacing w:val="-2"/>
          <w:szCs w:val="18"/>
          <w:shd w:val="clear" w:color="auto" w:fill="B2B2B2"/>
          <w:lang w:val="en-GB"/>
        </w:rPr>
        <w:t>[16]</w:t>
      </w:r>
      <w:r>
        <w:rPr>
          <w:spacing w:val="-2"/>
          <w:szCs w:val="18"/>
          <w:lang w:val="en-GB"/>
        </w:rPr>
        <w:t xml:space="preserve"> show that embedding explanation prompts in multimedia learning environments can deepen processing and surface gaps in understanding. Mayer's cognitive theory of multimedia learning </w:t>
      </w:r>
      <w:r>
        <w:rPr>
          <w:spacing w:val="-2"/>
          <w:szCs w:val="18"/>
          <w:shd w:val="clear" w:color="auto" w:fill="B2B2B2"/>
          <w:lang w:val="en-GB"/>
        </w:rPr>
        <w:t>[17]</w:t>
      </w:r>
      <w:r>
        <w:rPr>
          <w:spacing w:val="-2"/>
          <w:szCs w:val="18"/>
          <w:lang w:val="en-GB"/>
        </w:rPr>
        <w:t xml:space="preserve"> adds that brief, well-structured input can reduce extraneous burden and free cognitive resources for exactly this kind of active knowledge construction. </w:t>
      </w:r>
      <w:r w:rsidR="00A17780" w:rsidRPr="00A17780">
        <w:rPr>
          <w:spacing w:val="-2"/>
          <w:szCs w:val="18"/>
          <w:lang w:val="en-GB"/>
        </w:rPr>
        <w:t>&gt; The instructional implication is that microlearning alone may not be sufficient to improve academic speaking. Rather, short instructional input appears most valuable when it initiates a broader generative learning cycle involving learner explanation, retrieval-based oral production, and explicit metacognitive reflection. In this view, microlearning functions as a trigger for active knowledge reconstruction rather than merely a content-delivery format.</w:t>
      </w:r>
    </w:p>
    <w:p w14:paraId="6EC0E0D0" w14:textId="6859FAFF" w:rsidR="0041777C" w:rsidRDefault="00000000" w:rsidP="00A17780">
      <w:pPr>
        <w:ind w:firstLine="720"/>
        <w:jc w:val="both"/>
        <w:rPr>
          <w:spacing w:val="-2"/>
          <w:szCs w:val="18"/>
          <w:lang w:val="en-GB"/>
        </w:rPr>
      </w:pPr>
      <w:r>
        <w:rPr>
          <w:spacing w:val="-2"/>
          <w:szCs w:val="18"/>
          <w:lang w:val="en-GB"/>
        </w:rPr>
        <w:t xml:space="preserve">Drawing on these theoretical anchors, this study proposes a three-component instructional logic connecting microlearning to academic speaking development: (a) brief multimedia input reduces extraneous cognitive load and focuses attention on a single speaking concept </w:t>
      </w:r>
      <w:r>
        <w:rPr>
          <w:spacing w:val="-2"/>
          <w:szCs w:val="18"/>
          <w:shd w:val="clear" w:color="auto" w:fill="B2B2B2"/>
          <w:lang w:val="en-GB"/>
        </w:rPr>
        <w:t>[17]</w:t>
      </w:r>
      <w:r>
        <w:rPr>
          <w:spacing w:val="-2"/>
          <w:szCs w:val="18"/>
          <w:lang w:val="en-GB"/>
        </w:rPr>
        <w:t xml:space="preserve">; (b) the subsequent oral explanation task requires generative processing, forcing learners to select, reorganize, and articulate the input in their own words </w:t>
      </w:r>
      <w:r>
        <w:rPr>
          <w:spacing w:val="-2"/>
          <w:szCs w:val="18"/>
          <w:shd w:val="clear" w:color="auto" w:fill="B2B2B2"/>
          <w:lang w:val="en-GB"/>
        </w:rPr>
        <w:t>[14]</w:t>
      </w:r>
      <w:r>
        <w:rPr>
          <w:spacing w:val="-2"/>
          <w:szCs w:val="18"/>
          <w:lang w:val="en-GB"/>
        </w:rPr>
        <w:t xml:space="preserve">, </w:t>
      </w:r>
      <w:r>
        <w:rPr>
          <w:spacing w:val="-2"/>
          <w:szCs w:val="18"/>
          <w:shd w:val="clear" w:color="auto" w:fill="B2B2B2"/>
          <w:lang w:val="en-GB"/>
        </w:rPr>
        <w:t>[15]</w:t>
      </w:r>
      <w:r>
        <w:rPr>
          <w:spacing w:val="-2"/>
          <w:szCs w:val="18"/>
          <w:lang w:val="en-GB"/>
        </w:rPr>
        <w:t xml:space="preserve">, </w:t>
      </w:r>
      <w:r>
        <w:rPr>
          <w:spacing w:val="-2"/>
          <w:szCs w:val="18"/>
          <w:shd w:val="clear" w:color="auto" w:fill="B2B2B2"/>
          <w:lang w:val="en-GB"/>
        </w:rPr>
        <w:t>[16]</w:t>
      </w:r>
      <w:r>
        <w:rPr>
          <w:spacing w:val="-2"/>
          <w:szCs w:val="18"/>
          <w:lang w:val="en-GB"/>
        </w:rPr>
        <w:t>; and (c) structured metacognitive prompts targeting planning, monitoring, and evaluation consolidate regulatory awareness by making the learner's own speaking process an explicit object of reflection [4], [5], [6]. Because planning and evaluation prompts operate before and after speech (where deliberate reflection is most feasible), while monitoring operates during the real-time pressure of speech production (where external scaffolding has less leverage), this logic predicts differential gains: planning and evaluation should be more responsive to the intervention than monitoring. Similarly, the explanation task's emphasis on content reorganization and self-expression predicts stronger gains in idea organization and explanatory clarity than in responsiveness, which depends more heavily on dialogic interaction than on individual rehearsal.</w:t>
      </w:r>
    </w:p>
    <w:p w14:paraId="787D8A43" w14:textId="77777777" w:rsidR="0041777C" w:rsidRDefault="00000000">
      <w:pPr>
        <w:ind w:firstLine="720"/>
        <w:jc w:val="both"/>
        <w:rPr>
          <w:spacing w:val="-2"/>
          <w:szCs w:val="18"/>
          <w:lang w:val="en-GB"/>
        </w:rPr>
      </w:pPr>
      <w:r>
        <w:rPr>
          <w:spacing w:val="-2"/>
          <w:szCs w:val="18"/>
          <w:lang w:val="en-GB"/>
        </w:rPr>
        <w:t>This study tested that logic in a classroom context over eight weeks with undergraduate students at an Indonesian university. Three questions guided the inquiry: 1) to what extent does the intervention influence students' metacognitive regulation in academic speaking; 2) how does it affect academic speaking performance across key dimensions of speaking quality; and 3) how do students perceive the usefulness, cognitive engagement, and clarity of the instructional design?</w:t>
      </w:r>
    </w:p>
    <w:p w14:paraId="032E328A" w14:textId="77777777" w:rsidR="0041777C" w:rsidRDefault="0041777C">
      <w:pPr>
        <w:ind w:firstLine="720"/>
        <w:jc w:val="both"/>
        <w:rPr>
          <w:spacing w:val="-2"/>
          <w:szCs w:val="18"/>
          <w:lang w:val="en-GB"/>
        </w:rPr>
      </w:pPr>
    </w:p>
    <w:p w14:paraId="1E5597E6" w14:textId="77777777" w:rsidR="0041777C" w:rsidRDefault="0041777C">
      <w:pPr>
        <w:jc w:val="both"/>
        <w:rPr>
          <w:lang w:val="en-GB"/>
        </w:rPr>
      </w:pPr>
    </w:p>
    <w:p w14:paraId="54B11C23" w14:textId="77777777" w:rsidR="0041777C" w:rsidRDefault="00000000">
      <w:pPr>
        <w:numPr>
          <w:ilvl w:val="0"/>
          <w:numId w:val="4"/>
        </w:numPr>
        <w:tabs>
          <w:tab w:val="left" w:pos="426"/>
        </w:tabs>
        <w:ind w:left="426" w:hanging="426"/>
        <w:rPr>
          <w:lang w:val="en-GB"/>
        </w:rPr>
      </w:pPr>
      <w:r>
        <w:rPr>
          <w:b/>
          <w:bCs/>
          <w:lang w:val="en-GB"/>
        </w:rPr>
        <w:t>METHOD</w:t>
      </w:r>
    </w:p>
    <w:p w14:paraId="2991436E" w14:textId="4C7A4BD3" w:rsidR="0041777C" w:rsidRDefault="00000000">
      <w:pPr>
        <w:ind w:firstLine="720"/>
        <w:jc w:val="both"/>
        <w:rPr>
          <w:lang w:val="en-GB"/>
        </w:rPr>
      </w:pPr>
      <w:proofErr w:type="spellStart"/>
      <w:proofErr w:type="spellEnd"/>
      <w:r>
        <w:rPr>
          <w:lang w:val="en-GB"/>
        </w:rPr>
        <w:t>This study used a classroom-based pre-post evaluation informed by a design-based research orientation [18], [19]. Eighty undergraduate students enrolled in a language education program at a private university in Cimahi, West Java, participated through their intact classes. They had prior exposure to academic speaking coursework but varied in proficiency and metacognitive awareness. Participation followed standard institutional procedures for consent, anonymity, and non-evaluative data use.</w:t>
      </w:r>
    </w:p>
    <w:p w14:paraId="44D4AF33" w14:textId="77777777" w:rsidR="0041777C" w:rsidRDefault="0041777C">
      <w:pPr>
        <w:jc w:val="both"/>
        <w:rPr>
          <w:lang w:val="en-GB"/>
        </w:rPr>
      </w:pPr>
    </w:p>
    <w:p w14:paraId="2E520202" w14:textId="77777777" w:rsidR="0041777C" w:rsidRDefault="00000000">
      <w:pPr>
        <w:jc w:val="both"/>
        <w:rPr>
          <w:b/>
          <w:bCs/>
          <w:lang w:val="en-GB"/>
        </w:rPr>
      </w:pPr>
      <w:r>
        <w:rPr>
          <w:b/>
          <w:bCs/>
          <w:lang w:val="en-GB"/>
        </w:rPr>
        <w:t>2.1. Intervention design</w:t>
      </w:r>
    </w:p>
    <w:p w14:paraId="1B23CF56" w14:textId="7D87A38B" w:rsidR="0041777C" w:rsidRDefault="00000000">
      <w:pPr>
        <w:jc w:val="both"/>
      </w:pPr>
      <w:r>
        <w:rPr>
          <w:color w:val="000000"/>
          <w:lang w:val="en-GB"/>
        </w:rPr>
        <w:tab/>
        <w:t xml:space="preserve">The intervention ran for eight weeks within a web-based </w:t>
      </w:r>
      <w:r>
        <w:rPr>
          <w:i/>
          <w:iCs/>
          <w:color w:val="000000"/>
          <w:lang w:val="en-GB"/>
        </w:rPr>
        <w:t>microlearning</w:t>
      </w:r>
      <w:r>
        <w:rPr>
          <w:color w:val="000000"/>
          <w:lang w:val="en-GB"/>
        </w:rPr>
        <w:t xml:space="preserve"> environment delivered asynchronously through </w:t>
      </w:r>
      <w:r>
        <w:rPr>
          <w:b/>
          <w:bCs/>
          <w:i/>
          <w:iCs/>
          <w:color w:val="000000"/>
          <w:lang w:val="en-GB"/>
        </w:rPr>
        <w:t xml:space="preserve">Bicaranta </w:t>
      </w:r>
      <w:r>
        <w:rPr>
          <w:color w:val="000000"/>
          <w:lang w:val="en-GB"/>
        </w:rPr>
        <w:t xml:space="preserve">(bicaranta.rbpwebdev.my.id), an integrated speaking course platform and LMS. Each weekly session lasted approximately 20–25 minutes and consisted of three sequenced components: (a) a 3-minute multimedia input segment (short video, annotated example, or infographic) introducing a specific academic speaking concept; (b) a 3–5-minute recorded oral explanation task in which </w:t>
      </w:r>
      <w:r w:rsidR="00FA5EDD" w:rsidRPr="00FA5EDD">
        <w:rPr>
          <w:color w:val="000000"/>
          <w:lang w:val="en-GB"/>
        </w:rPr>
        <w:t>students re-explained the material entirely in their own words without relying on presentation slides or visual supports. This requirement was intentionally designed to encourage retrieval, spontaneous idea organization, and independent formulation of explanations rather than reading or reproducing prepared content</w:t>
      </w:r>
      <w:r>
        <w:rPr>
          <w:color w:val="000000"/>
          <w:lang w:val="en-GB"/>
        </w:rPr>
        <w:t xml:space="preserve"> using </w:t>
      </w:r>
      <w:r>
        <w:rPr>
          <w:i/>
          <w:iCs/>
          <w:color w:val="000000"/>
          <w:lang w:val="en-GB"/>
        </w:rPr>
        <w:t>/uji</w:t>
      </w:r>
      <w:r>
        <w:rPr>
          <w:color w:val="000000"/>
          <w:lang w:val="en-GB"/>
        </w:rPr>
        <w:t xml:space="preserve"> video recording feature; and (c) a 5-minute structured metacognitive reflection sequence using written prompts delivered through Bicaranta. Sample reflection prompts included: </w:t>
      </w:r>
      <w:r>
        <w:rPr>
          <w:i/>
          <w:iCs/>
          <w:color w:val="000000"/>
          <w:lang w:val="en-GB"/>
        </w:rPr>
        <w:t>Planning</w:t>
      </w:r>
      <w:r>
        <w:rPr>
          <w:color w:val="000000"/>
          <w:lang w:val="en-GB"/>
        </w:rPr>
        <w:t xml:space="preserve">: "Before your next explanation, what will you organize differently?"; </w:t>
      </w:r>
      <w:r>
        <w:rPr>
          <w:i/>
          <w:iCs/>
          <w:color w:val="000000"/>
          <w:lang w:val="en-GB"/>
        </w:rPr>
        <w:t>Monitoring</w:t>
      </w:r>
      <w:r>
        <w:rPr>
          <w:color w:val="000000"/>
          <w:lang w:val="en-GB"/>
        </w:rPr>
        <w:t xml:space="preserve">: "While recording, at what point did you feel your explanation became unclear?"; </w:t>
      </w:r>
      <w:r>
        <w:rPr>
          <w:i/>
          <w:iCs/>
          <w:color w:val="000000"/>
          <w:lang w:val="en-GB"/>
        </w:rPr>
        <w:t>Evaluation</w:t>
      </w:r>
      <w:r>
        <w:rPr>
          <w:color w:val="000000"/>
          <w:lang w:val="en-GB"/>
        </w:rPr>
        <w:t xml:space="preserve">: "After watching your recording, what was the strongest and weakest part of your explanation?" Across the eight weeks, each session addressed a different academic speaking topic (e.g., organizing an argument, signposting, responding to questions), but the three-component cycle remained constant. The course instructor monitored submissions weekly and provided brief written feedback on selected recordings, though the primary regulatory mechanism was the structured self-reflection rather than external feedback. </w:t>
      </w:r>
      <w:r>
        <w:rPr>
          <w:lang w:val="en-GB"/>
        </w:rPr>
        <w:t>The design moved through a standard pre-post arc:</w:t>
      </w:r>
    </w:p>
    <w:p w14:paraId="47D5CA18" w14:textId="77777777" w:rsidR="0041777C" w:rsidRDefault="0041777C">
      <w:pPr>
        <w:jc w:val="both"/>
        <w:rPr>
          <w:lang w:val="en-GB"/>
        </w:rPr>
      </w:pPr>
    </w:p>
    <w:p w14:paraId="6FB6C8DE" w14:textId="77777777" w:rsidR="0041777C" w:rsidRDefault="00000000">
      <w:pPr>
        <w:jc w:val="both"/>
        <w:rPr>
          <w:lang w:val="en-GB"/>
        </w:rPr>
      </w:pPr>
      <w:r>
        <w:rPr>
          <w:b/>
          <w:bCs/>
          <w:lang w:val="en-GB"/>
        </w:rPr>
        <w:tab/>
        <w:t>Pre-test</w:t>
      </w:r>
      <w:r>
        <w:rPr>
          <w:lang w:val="en-GB"/>
        </w:rPr>
        <w:t xml:space="preserve"> → </w:t>
      </w:r>
      <w:r>
        <w:rPr>
          <w:b/>
          <w:bCs/>
          <w:lang w:val="en-GB"/>
        </w:rPr>
        <w:t xml:space="preserve">Intervention </w:t>
      </w:r>
      <w:r>
        <w:rPr>
          <w:lang w:val="en-GB"/>
        </w:rPr>
        <w:t xml:space="preserve">(8 weeks, repeated cycles) → </w:t>
      </w:r>
      <w:proofErr w:type="gramStart"/>
      <w:r>
        <w:rPr>
          <w:b/>
          <w:bCs/>
          <w:lang w:val="en-GB"/>
        </w:rPr>
        <w:t>Post-test</w:t>
      </w:r>
      <w:proofErr w:type="gramEnd"/>
    </w:p>
    <w:p w14:paraId="5244D7CC" w14:textId="77777777" w:rsidR="0041777C" w:rsidRDefault="0041777C">
      <w:pPr>
        <w:jc w:val="both"/>
        <w:rPr>
          <w:lang w:val="en-GB"/>
        </w:rPr>
      </w:pPr>
    </w:p>
    <w:p w14:paraId="36177D5C" w14:textId="77777777" w:rsidR="0041777C" w:rsidRDefault="00000000">
      <w:pPr>
        <w:jc w:val="both"/>
        <w:rPr>
          <w:lang w:val="en-GB"/>
        </w:rPr>
      </w:pPr>
      <w:r>
        <w:rPr>
          <w:lang w:val="en-GB"/>
        </w:rPr>
        <w:tab/>
        <w:t>Each cycle was structured so that microlearning did not stop at content delivery. Students had to re-explain what they had just encountered in their own spoken words, then reflect explicitly on how well they had communicated it, connecting brief input to generative processing and self-regulated review.</w:t>
      </w:r>
    </w:p>
    <w:p w14:paraId="3E30FA81" w14:textId="77777777" w:rsidR="0041777C" w:rsidRDefault="0041777C">
      <w:pPr>
        <w:rPr>
          <w:b/>
          <w:bCs/>
        </w:rPr>
      </w:pPr>
    </w:p>
    <w:tbl>
      <w:tblPr>
        <w:tblStyle w:val="TableGrid"/>
        <w:tblW w:w="9005" w:type="dxa"/>
        <w:tblLayout w:type="fixed"/>
        <w:tblLook w:val="04A0" w:firstRow="1" w:lastRow="0" w:firstColumn="1" w:lastColumn="0" w:noHBand="0" w:noVBand="1"/>
      </w:tblPr>
      <w:tblGrid>
        <w:gridCol w:w="9005"/>
      </w:tblGrid>
      <w:tr w:rsidR="0041777C" w14:paraId="3E319C64" w14:textId="77777777">
        <w:tc>
          <w:tcPr>
            <w:tcW w:w="9005" w:type="dxa"/>
            <w:tcBorders>
              <w:top w:val="nil"/>
              <w:left w:val="nil"/>
              <w:bottom w:val="nil"/>
              <w:right w:val="nil"/>
            </w:tcBorders>
          </w:tcPr>
          <w:p w14:paraId="7806F6A9" w14:textId="77777777" w:rsidR="0041777C" w:rsidRDefault="00000000">
            <w:pPr>
              <w:jc w:val="center"/>
              <w:rPr>
                <w:b/>
                <w:bCs/>
              </w:rPr>
            </w:pPr>
            <w:r>
              <w:rPr>
                <w:noProof/>
              </w:rPr>
              <w:drawing>
                <wp:inline distT="0" distB="0" distL="0" distR="0" wp14:anchorId="203A6C62" wp14:editId="7C5CA30C">
                  <wp:extent cx="2495550" cy="3048000"/>
                  <wp:effectExtent l="0" t="0" r="0" b="0"/>
                  <wp:docPr id="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pic:cNvPicPr>
                            <a:picLocks noChangeAspect="1" noChangeArrowheads="1"/>
                          </pic:cNvPicPr>
                        </pic:nvPicPr>
                        <pic:blipFill>
                          <a:blip r:embed="rId10"/>
                          <a:stretch>
                            <a:fillRect/>
                          </a:stretch>
                        </pic:blipFill>
                        <pic:spPr bwMode="auto">
                          <a:xfrm>
                            <a:off x="0" y="0"/>
                            <a:ext cx="2495550" cy="3048000"/>
                          </a:xfrm>
                          <a:prstGeom prst="rect">
                            <a:avLst/>
                          </a:prstGeom>
                          <a:noFill/>
                        </pic:spPr>
                      </pic:pic>
                    </a:graphicData>
                  </a:graphic>
                </wp:inline>
              </w:drawing>
            </w:r>
            <w:r>
              <w:rPr>
                <w:noProof/>
              </w:rPr>
              <w:drawing>
                <wp:inline distT="0" distB="0" distL="0" distR="0" wp14:anchorId="08E7ED16" wp14:editId="447F23DB">
                  <wp:extent cx="2981325" cy="2876550"/>
                  <wp:effectExtent l="0" t="0" r="0" b="0"/>
                  <wp:docPr id="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pic:cNvPicPr>
                            <a:picLocks noChangeAspect="1" noChangeArrowheads="1"/>
                          </pic:cNvPicPr>
                        </pic:nvPicPr>
                        <pic:blipFill>
                          <a:blip r:embed="rId11"/>
                          <a:stretch>
                            <a:fillRect/>
                          </a:stretch>
                        </pic:blipFill>
                        <pic:spPr bwMode="auto">
                          <a:xfrm>
                            <a:off x="0" y="0"/>
                            <a:ext cx="2981325" cy="2876550"/>
                          </a:xfrm>
                          <a:prstGeom prst="rect">
                            <a:avLst/>
                          </a:prstGeom>
                          <a:noFill/>
                        </pic:spPr>
                      </pic:pic>
                    </a:graphicData>
                  </a:graphic>
                </wp:inline>
              </w:drawing>
            </w:r>
          </w:p>
        </w:tc>
      </w:tr>
      <w:tr w:rsidR="0041777C" w14:paraId="7146E3F1" w14:textId="77777777">
        <w:trPr>
          <w:trHeight w:val="163"/>
        </w:trPr>
        <w:tc>
          <w:tcPr>
            <w:tcW w:w="9005" w:type="dxa"/>
            <w:tcBorders>
              <w:top w:val="nil"/>
              <w:left w:val="nil"/>
              <w:bottom w:val="nil"/>
              <w:right w:val="nil"/>
            </w:tcBorders>
          </w:tcPr>
          <w:p w14:paraId="104990DB" w14:textId="77777777" w:rsidR="0041777C" w:rsidRDefault="00000000">
            <w:pPr>
              <w:jc w:val="center"/>
            </w:pPr>
            <w:r>
              <w:t>(a)</w:t>
            </w:r>
          </w:p>
        </w:tc>
      </w:tr>
      <w:tr w:rsidR="0041777C" w14:paraId="75BEA4FF" w14:textId="77777777">
        <w:trPr>
          <w:trHeight w:val="182"/>
        </w:trPr>
        <w:tc>
          <w:tcPr>
            <w:tcW w:w="9005" w:type="dxa"/>
            <w:tcBorders>
              <w:top w:val="nil"/>
              <w:left w:val="nil"/>
              <w:bottom w:val="nil"/>
              <w:right w:val="nil"/>
            </w:tcBorders>
          </w:tcPr>
          <w:p w14:paraId="47A39235" w14:textId="77777777" w:rsidR="0041777C" w:rsidRDefault="0041777C">
            <w:pPr>
              <w:jc w:val="center"/>
            </w:pPr>
          </w:p>
          <w:p w14:paraId="692CC641" w14:textId="77777777" w:rsidR="0041777C" w:rsidRDefault="00000000">
            <w:pPr>
              <w:jc w:val="center"/>
            </w:pPr>
            <w:r>
              <w:rPr>
                <w:noProof/>
              </w:rPr>
              <w:lastRenderedPageBreak/>
              <w:drawing>
                <wp:anchor distT="0" distB="0" distL="0" distR="0" simplePos="0" relativeHeight="63" behindDoc="0" locked="0" layoutInCell="0" allowOverlap="1" wp14:anchorId="5C8F719B" wp14:editId="06063A7A">
                  <wp:simplePos x="0" y="0"/>
                  <wp:positionH relativeFrom="column">
                    <wp:align>center</wp:align>
                  </wp:positionH>
                  <wp:positionV relativeFrom="paragraph">
                    <wp:posOffset>635</wp:posOffset>
                  </wp:positionV>
                  <wp:extent cx="3213100" cy="2667000"/>
                  <wp:effectExtent l="0" t="0" r="0" b="0"/>
                  <wp:wrapSquare wrapText="largest"/>
                  <wp:docPr id="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
                          <pic:cNvPicPr>
                            <a:picLocks noChangeAspect="1" noChangeArrowheads="1"/>
                          </pic:cNvPicPr>
                        </pic:nvPicPr>
                        <pic:blipFill>
                          <a:blip r:embed="rId12"/>
                          <a:stretch>
                            <a:fillRect/>
                          </a:stretch>
                        </pic:blipFill>
                        <pic:spPr bwMode="auto">
                          <a:xfrm>
                            <a:off x="0" y="0"/>
                            <a:ext cx="3213100" cy="2667000"/>
                          </a:xfrm>
                          <a:prstGeom prst="rect">
                            <a:avLst/>
                          </a:prstGeom>
                          <a:noFill/>
                        </pic:spPr>
                      </pic:pic>
                    </a:graphicData>
                  </a:graphic>
                </wp:anchor>
              </w:drawing>
            </w:r>
            <w:r>
              <w:rPr>
                <w:noProof/>
              </w:rPr>
              <w:drawing>
                <wp:inline distT="0" distB="0" distL="0" distR="0" wp14:anchorId="37FE14C4" wp14:editId="296F70C1">
                  <wp:extent cx="2451735" cy="2682240"/>
                  <wp:effectExtent l="0" t="0" r="0" b="0"/>
                  <wp:docPr id="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
                          <pic:cNvPicPr>
                            <a:picLocks noChangeAspect="1" noChangeArrowheads="1"/>
                          </pic:cNvPicPr>
                        </pic:nvPicPr>
                        <pic:blipFill>
                          <a:blip r:embed="rId13"/>
                          <a:stretch>
                            <a:fillRect/>
                          </a:stretch>
                        </pic:blipFill>
                        <pic:spPr bwMode="auto">
                          <a:xfrm>
                            <a:off x="0" y="0"/>
                            <a:ext cx="2451735" cy="2682240"/>
                          </a:xfrm>
                          <a:prstGeom prst="rect">
                            <a:avLst/>
                          </a:prstGeom>
                          <a:noFill/>
                        </pic:spPr>
                      </pic:pic>
                    </a:graphicData>
                  </a:graphic>
                </wp:inline>
              </w:drawing>
            </w:r>
          </w:p>
        </w:tc>
      </w:tr>
      <w:tr w:rsidR="0041777C" w14:paraId="204A1D00" w14:textId="77777777">
        <w:trPr>
          <w:trHeight w:val="163"/>
        </w:trPr>
        <w:tc>
          <w:tcPr>
            <w:tcW w:w="9005" w:type="dxa"/>
            <w:tcBorders>
              <w:top w:val="nil"/>
              <w:left w:val="nil"/>
              <w:bottom w:val="nil"/>
              <w:right w:val="nil"/>
            </w:tcBorders>
          </w:tcPr>
          <w:p w14:paraId="2DCCAE5E" w14:textId="77777777" w:rsidR="0041777C" w:rsidRDefault="00000000">
            <w:pPr>
              <w:jc w:val="center"/>
            </w:pPr>
            <w:r>
              <w:lastRenderedPageBreak/>
              <w:t>(b)</w:t>
            </w:r>
          </w:p>
        </w:tc>
      </w:tr>
    </w:tbl>
    <w:p w14:paraId="56473C1A" w14:textId="77777777" w:rsidR="0041777C" w:rsidRDefault="0041777C">
      <w:pPr>
        <w:jc w:val="center"/>
      </w:pPr>
    </w:p>
    <w:p w14:paraId="05D986A5" w14:textId="77777777" w:rsidR="0041777C" w:rsidRDefault="00000000">
      <w:pPr>
        <w:jc w:val="center"/>
      </w:pPr>
      <w:r>
        <w:t xml:space="preserve">Figure 1. The preview of Bicaranta’s </w:t>
      </w:r>
      <w:r>
        <w:rPr>
          <w:i/>
          <w:iCs/>
        </w:rPr>
        <w:t>platform</w:t>
      </w:r>
      <w:r>
        <w:rPr>
          <w:color w:val="000000" w:themeColor="text1"/>
        </w:rPr>
        <w:t xml:space="preserve"> (a) microlearning course page and (b) /uji module containing rules and metacognitive-based session recording</w:t>
      </w:r>
    </w:p>
    <w:p w14:paraId="7CD5A4C4" w14:textId="77777777" w:rsidR="00FA5EDD" w:rsidRDefault="00FA5EDD" w:rsidP="00FA5EDD">
      <w:pPr>
        <w:jc w:val="both"/>
        <w:rPr>
          <w:lang w:val="en-GB"/>
        </w:rPr>
      </w:pPr>
    </w:p>
    <w:p w14:paraId="683BBF01" w14:textId="78C37111" w:rsidR="00FA5EDD" w:rsidRDefault="00FA5EDD" w:rsidP="00FA5EDD">
      <w:pPr>
        <w:ind w:firstLine="720"/>
        <w:jc w:val="both"/>
        <w:rPr>
          <w:lang w:val="en-GB"/>
        </w:rPr>
      </w:pPr>
      <w:r w:rsidRPr="00FA5EDD">
        <w:rPr>
          <w:lang w:val="en-GB"/>
        </w:rPr>
        <w:t>The oral explanation stage also functioned as a retrieval practice activity. Rather than revisiting information passively, students were required to reconstruct key concepts from memory and communicate them coherently to an imagined audience. Prior research suggests that retrieval-based learning activities strengthen knowledge organization and transfer more effectively than repeated exposure alone. Accordingly, the intervention was designed not only to provide content but also to require active reconstruction of that content through speech.</w:t>
      </w:r>
    </w:p>
    <w:p w14:paraId="53C49084" w14:textId="77777777" w:rsidR="00FA5EDD" w:rsidRDefault="00FA5EDD">
      <w:pPr>
        <w:jc w:val="both"/>
        <w:rPr>
          <w:lang w:val="en-GB"/>
        </w:rPr>
      </w:pPr>
    </w:p>
    <w:p w14:paraId="2CE128F8" w14:textId="48B786B1" w:rsidR="0041777C" w:rsidRDefault="00000000">
      <w:pPr>
        <w:jc w:val="both"/>
        <w:rPr>
          <w:b/>
          <w:bCs/>
          <w:lang w:val="en-GB"/>
        </w:rPr>
      </w:pPr>
      <w:r>
        <w:rPr>
          <w:b/>
          <w:bCs/>
          <w:lang w:val="en-GB"/>
        </w:rPr>
        <w:t>2.</w:t>
      </w:r>
      <w:r w:rsidR="00FA5EDD">
        <w:rPr>
          <w:b/>
          <w:bCs/>
          <w:lang w:val="en-GB"/>
        </w:rPr>
        <w:t>2</w:t>
      </w:r>
      <w:r>
        <w:rPr>
          <w:b/>
          <w:bCs/>
          <w:lang w:val="en-GB"/>
        </w:rPr>
        <w:t>. Instruments</w:t>
      </w:r>
    </w:p>
    <w:p w14:paraId="54ED8F74" w14:textId="61A6213D" w:rsidR="0041777C" w:rsidRDefault="00000000">
      <w:pPr>
        <w:jc w:val="both"/>
        <w:rPr>
          <w:lang w:val="en-GB"/>
        </w:rPr>
      </w:pPr>
      <w:r>
        <w:rPr>
          <w:b/>
          <w:bCs/>
          <w:lang w:val="en-GB"/>
        </w:rPr>
        <w:tab/>
        <w:t>2.</w:t>
      </w:r>
      <w:r w:rsidR="00FA5EDD">
        <w:rPr>
          <w:b/>
          <w:bCs/>
          <w:lang w:val="en-GB"/>
        </w:rPr>
        <w:t>2</w:t>
      </w:r>
      <w:r>
        <w:rPr>
          <w:b/>
          <w:bCs/>
          <w:lang w:val="en-GB"/>
        </w:rPr>
        <w:t>.1. Speaking performance rubric</w:t>
      </w:r>
    </w:p>
    <w:p w14:paraId="38A53B6B" w14:textId="77777777" w:rsidR="0041777C" w:rsidRDefault="00000000">
      <w:pPr>
        <w:jc w:val="both"/>
        <w:rPr>
          <w:lang w:val="en-GB"/>
        </w:rPr>
      </w:pPr>
      <w:r>
        <w:rPr>
          <w:b/>
          <w:bCs/>
          <w:lang w:val="en-GB"/>
        </w:rPr>
        <w:tab/>
      </w:r>
      <w:r>
        <w:rPr>
          <w:lang w:val="en-GB"/>
        </w:rPr>
        <w:t xml:space="preserve">Speaking was assessed through task-based oral presentations scored on four dimensions: idea organization, clarity of explanation, strategic delivery, and responsiveness. Two independent raters used a five-point rubric adapted from previous academic speaking assessment frameworks </w:t>
      </w:r>
      <w:r>
        <w:rPr>
          <w:shd w:val="clear" w:color="auto" w:fill="B2B2B2"/>
          <w:lang w:val="en-GB"/>
        </w:rPr>
        <w:t>[3]</w:t>
      </w:r>
      <w:r>
        <w:rPr>
          <w:lang w:val="en-GB"/>
        </w:rPr>
        <w:t xml:space="preserve">, </w:t>
      </w:r>
      <w:r>
        <w:rPr>
          <w:shd w:val="clear" w:color="auto" w:fill="B2B2B2"/>
          <w:lang w:val="en-GB"/>
        </w:rPr>
        <w:t>[6]</w:t>
      </w:r>
      <w:r>
        <w:rPr>
          <w:lang w:val="en-GB"/>
        </w:rPr>
        <w:t xml:space="preserve">. Descriptors ranged from 1 (ideas presented without discernible structure; explanation is unclear or incoherent) to 5 (ideas are logically sequenced with effective signposting; explanation is precise, audience-appropriate, and well-supported). The rubric was calibrated through two rater training sessions using anchor samples prior to scoring. Raters scored all recordings independently and were blinded to pre-post status (recordings were randomized across time points before distribution). Inter-rater reliability reached ICC = .86 (two-way mixed, </w:t>
      </w:r>
      <w:r>
        <w:rPr>
          <w:lang w:val="en-GB"/>
        </w:rPr>
        <w:lastRenderedPageBreak/>
        <w:t>absolute agreement), indicating good agreement. Discrepancies exceeding one point on any dimension were resolved through discussion.</w:t>
      </w:r>
    </w:p>
    <w:p w14:paraId="35E54F63" w14:textId="77777777" w:rsidR="0041777C" w:rsidRDefault="00000000">
      <w:pPr>
        <w:jc w:val="both"/>
        <w:rPr>
          <w:lang w:val="en-GB"/>
        </w:rPr>
      </w:pPr>
      <w:r>
        <w:rPr>
          <w:lang w:val="en-GB"/>
        </w:rPr>
        <w:tab/>
      </w:r>
    </w:p>
    <w:p w14:paraId="392368CD" w14:textId="2900845A" w:rsidR="0041777C" w:rsidRDefault="00000000">
      <w:pPr>
        <w:jc w:val="both"/>
        <w:rPr>
          <w:lang w:val="en-GB"/>
        </w:rPr>
      </w:pPr>
      <w:r>
        <w:rPr>
          <w:b/>
          <w:bCs/>
          <w:lang w:val="en-GB"/>
        </w:rPr>
        <w:tab/>
        <w:t>2.</w:t>
      </w:r>
      <w:r w:rsidR="00FA5EDD">
        <w:rPr>
          <w:b/>
          <w:bCs/>
          <w:lang w:val="en-GB"/>
        </w:rPr>
        <w:t>2</w:t>
      </w:r>
      <w:r>
        <w:rPr>
          <w:b/>
          <w:bCs/>
          <w:lang w:val="en-GB"/>
        </w:rPr>
        <w:t>.2. Metacognitive regulation questionnaire</w:t>
      </w:r>
    </w:p>
    <w:p w14:paraId="1E78402A" w14:textId="77777777" w:rsidR="0041777C" w:rsidRDefault="00000000">
      <w:pPr>
        <w:jc w:val="both"/>
        <w:rPr>
          <w:lang w:val="en-GB"/>
        </w:rPr>
      </w:pPr>
      <w:r>
        <w:rPr>
          <w:b/>
          <w:bCs/>
          <w:lang w:val="en-GB"/>
        </w:rPr>
        <w:tab/>
      </w:r>
      <w:r>
        <w:rPr>
          <w:lang w:val="en-GB"/>
        </w:rPr>
        <w:t xml:space="preserve">A 15-item instrument covering planning (5 items), monitoring (5 items), and evaluation (5 items) was used. Sample items included: </w:t>
      </w:r>
      <w:r>
        <w:rPr>
          <w:i/>
          <w:iCs/>
          <w:lang w:val="en-GB"/>
        </w:rPr>
        <w:t>"Before speaking, I think about how to organize my main ideas"</w:t>
      </w:r>
      <w:r>
        <w:rPr>
          <w:lang w:val="en-GB"/>
        </w:rPr>
        <w:t xml:space="preserve"> (planning); "While speaking, I notice when my explanation becomes unclear" (monitoring); </w:t>
      </w:r>
      <w:r>
        <w:rPr>
          <w:i/>
          <w:iCs/>
          <w:lang w:val="en-GB"/>
        </w:rPr>
        <w:t>"After speaking, I review what I could improve next time"</w:t>
      </w:r>
      <w:r>
        <w:rPr>
          <w:lang w:val="en-GB"/>
        </w:rPr>
        <w:t xml:space="preserve"> (evaluation). Items were rated on a four-point Likert scale (1 = never to 4 = always). The instrument was adapted from established metacognitive regulation scales and reviewed by two subject-matter experts for content validity. It was piloted with 25 students from a non-participating cohort, leading to minor wording revisions. The final instrument demonstrated acceptable internal consistency (Cronbach's α = .87 overall; planning α = .81, monitoring α = .79, evaluation α = .84).</w:t>
      </w:r>
    </w:p>
    <w:p w14:paraId="06424DDF" w14:textId="77777777" w:rsidR="0041777C" w:rsidRDefault="00000000">
      <w:pPr>
        <w:jc w:val="both"/>
        <w:rPr>
          <w:lang w:val="en-GB"/>
        </w:rPr>
      </w:pPr>
      <w:r>
        <w:rPr>
          <w:lang w:val="en-GB"/>
        </w:rPr>
        <w:tab/>
      </w:r>
    </w:p>
    <w:p w14:paraId="38B229D8" w14:textId="77777777" w:rsidR="0041777C" w:rsidRDefault="00000000">
      <w:pPr>
        <w:jc w:val="both"/>
        <w:rPr>
          <w:lang w:val="en-GB"/>
        </w:rPr>
      </w:pPr>
      <w:r>
        <w:rPr>
          <w:b/>
          <w:bCs/>
          <w:lang w:val="en-GB"/>
        </w:rPr>
        <w:tab/>
        <w:t>2.2.3. Perception survey</w:t>
      </w:r>
    </w:p>
    <w:p w14:paraId="25FC2866" w14:textId="77777777" w:rsidR="0041777C" w:rsidRDefault="00000000">
      <w:pPr>
        <w:jc w:val="both"/>
        <w:rPr>
          <w:lang w:val="en-GB"/>
        </w:rPr>
      </w:pPr>
      <w:r>
        <w:rPr>
          <w:b/>
          <w:bCs/>
          <w:lang w:val="en-GB"/>
        </w:rPr>
        <w:tab/>
      </w:r>
      <w:r>
        <w:rPr>
          <w:lang w:val="en-GB"/>
        </w:rPr>
        <w:t>Learner perceptions were gathered via an eight-item survey on usefulness, cognitive engagement, and instructional clarity (four-point Likert scale), supplemented by open-ended responses.</w:t>
      </w:r>
      <w:bookmarkStart w:id="1" w:name="_Hlk78354310"/>
    </w:p>
    <w:p w14:paraId="38B229D8" w14:textId="77777777" w:rsidR="0041777C" w:rsidRDefault="00000000">
      <w:pPr>
        <w:jc w:val="both"/>
        <w:rPr>
          <w:lang w:val="en-GB"/>
        </w:rPr>
      </w:pPr>
      <w:r>
        <w:rPr>
          <w:b/>
          <w:bCs/>
          <w:lang w:val="en-GB"/>
        </w:rPr>
        <w:tab/>
      </w:r>
      <w:r>
        <w:rPr>
          <w:b/>
          <w:bCs/>
          <w:lang w:val="en-GB"/>
        </w:rPr>
        <w:t>2.3. Data Analysis</w:t>
      </w:r>
    </w:p>
    <w:bookmarkEnd w:id="1"/>
    <w:p w14:paraId="25FC2866" w14:textId="77777777" w:rsidR="0041777C" w:rsidRDefault="00000000">
      <w:pPr>
        <w:jc w:val="both"/>
        <w:rPr>
          <w:lang w:val="en-GB"/>
        </w:rPr>
      </w:pPr>
      <w:bookmarkStart w:id="1" w:name="_Hlk78354310"/>
      <w:r>
        <w:rPr>
          <w:b/>
          <w:bCs/>
          <w:lang w:val="en-GB"/>
        </w:rPr>
        <w:tab/>
      </w:r>
      <w:r>
        <w:rPr>
          <w:lang w:val="en-GB"/>
        </w:rPr>
        <w:t>Quantitative data analysis included descriptive and inferential statistics. Means and standard deviations were calculated for the metacognitive regulation, academic speaking, and learner-perception measures. Pre-post changes in the three metacognitive regulation dimensions were examined using multivariate analysis, with Wilks' Λ, F, p, and partial η² reported. Pre-post changes in academic speaking performance were evaluated using t-tests for the overall score and each speaking dimension, with Cohen's d and 95% confidence intervals reported as effect-size estimates. Correlations between speaking performance and the planning, monitoring, and evaluation dimensions of metacognitive regulation were also examined.</w:t>
      </w:r>
    </w:p>
    <w:p w14:paraId="25FC2866" w14:textId="77777777" w:rsidR="0041777C" w:rsidRDefault="00000000">
      <w:pPr>
        <w:jc w:val="both"/>
        <w:rPr>
          <w:lang w:val="en-GB"/>
        </w:rPr>
      </w:pPr>
      <w:bookmarkStart w:id="1" w:name="_Hlk78354310"/>
      <w:r>
        <w:rPr>
          <w:b/>
          <w:bCs/>
          <w:lang w:val="en-GB"/>
        </w:rPr>
        <w:tab/>
      </w:r>
      <w:r>
        <w:rPr>
          <w:lang w:val="en-GB"/>
        </w:rPr>
        <w:t>Open-ended survey responses were coded using thematic analysis following Braun and Clarke [20]. The analysis focused on recurring patterns in students' perceptions and yielded three themes: manageability of short modules, explanation as a metacognitive trigger, and reflection prompts supporting deliberate preparation.</w:t>
      </w:r>
    </w:p>
    <w:p w14:paraId="4F3AE427" w14:textId="77777777" w:rsidR="0041777C" w:rsidRDefault="00000000">
      <w:pPr>
        <w:numPr>
          <w:ilvl w:val="0"/>
          <w:numId w:val="4"/>
        </w:numPr>
        <w:tabs>
          <w:tab w:val="left" w:pos="426"/>
        </w:tabs>
        <w:ind w:left="426" w:hanging="426"/>
        <w:rPr>
          <w:lang w:val="en-GB"/>
        </w:rPr>
      </w:pPr>
      <w:r>
        <w:rPr>
          <w:b/>
          <w:bCs/>
          <w:lang w:val="en-GB"/>
        </w:rPr>
        <w:t>RESULTS AND DISCUSSION</w:t>
      </w:r>
    </w:p>
    <w:p w14:paraId="214F87CF" w14:textId="77777777" w:rsidR="0041777C" w:rsidRDefault="00000000">
      <w:pPr>
        <w:ind w:firstLine="720"/>
        <w:jc w:val="both"/>
        <w:rPr>
          <w:lang w:val="en-GB"/>
        </w:rPr>
      </w:pPr>
      <w:r>
        <w:rPr>
          <w:lang w:val="en-GB"/>
        </w:rPr>
        <w:t>Three findings emerged from the pre-post analysis, one for each of the study's three research questions. The pattern across all three was directionally consistent, but the distribution of gains within each outcome tells a more specific story about how the intervention may have operated.</w:t>
      </w:r>
    </w:p>
    <w:p w14:paraId="0319C94C" w14:textId="77777777" w:rsidR="0041777C" w:rsidRDefault="0041777C">
      <w:pPr>
        <w:ind w:firstLine="720"/>
        <w:jc w:val="both"/>
        <w:rPr>
          <w:lang w:val="en-GB"/>
        </w:rPr>
      </w:pPr>
    </w:p>
    <w:p w14:paraId="0F4C2BD3" w14:textId="77777777" w:rsidR="0041777C" w:rsidRDefault="00000000">
      <w:pPr>
        <w:jc w:val="both"/>
        <w:rPr>
          <w:lang w:val="en-GB"/>
        </w:rPr>
      </w:pPr>
      <w:r>
        <w:rPr>
          <w:b/>
          <w:bCs/>
          <w:lang w:val="en-GB"/>
        </w:rPr>
        <w:t>3.1 Metacognitive regulation gains</w:t>
      </w:r>
    </w:p>
    <w:p w14:paraId="7839EE81" w14:textId="77777777" w:rsidR="0041777C" w:rsidRDefault="00000000">
      <w:pPr>
        <w:ind w:firstLine="720"/>
        <w:jc w:val="both"/>
        <w:rPr>
          <w:lang w:val="en-GB"/>
        </w:rPr>
      </w:pPr>
      <w:r>
        <w:rPr>
          <w:lang w:val="en-GB"/>
        </w:rPr>
        <w:t xml:space="preserve">All three dimensions of metacognitive regulation (planning, monitoring, and evaluation) improved from pre-test to post-test, with the overall multivariate effect reaching significance at Wilks' Λ = .41, </w:t>
      </w:r>
      <w:proofErr w:type="gramStart"/>
      <w:r>
        <w:rPr>
          <w:lang w:val="en-GB"/>
        </w:rPr>
        <w:t>F(</w:t>
      </w:r>
      <w:proofErr w:type="gramEnd"/>
      <w:r>
        <w:rPr>
          <w:lang w:val="en-GB"/>
        </w:rPr>
        <w:t>3, 76) = 44.62, p &lt; .001, partial η² = .59. The gains were not evenly distributed across the three dimensions, and that unevenness is where the instructional interpretation becomes more specific.</w:t>
      </w:r>
    </w:p>
    <w:p w14:paraId="617FCC30" w14:textId="77777777" w:rsidR="0041777C" w:rsidRDefault="00000000">
      <w:pPr>
        <w:ind w:firstLine="720"/>
        <w:jc w:val="both"/>
        <w:rPr>
          <w:lang w:val="en-GB"/>
        </w:rPr>
      </w:pPr>
      <w:r>
        <w:rPr>
          <w:lang w:val="en-GB"/>
        </w:rPr>
        <w:tab/>
      </w:r>
      <w:r>
        <w:rPr>
          <w:lang w:val="en-GB"/>
        </w:rPr>
        <w:tab/>
      </w:r>
      <w:r>
        <w:rPr>
          <w:lang w:val="en-GB"/>
        </w:rPr>
        <w:tab/>
      </w:r>
    </w:p>
    <w:p w14:paraId="7EC93B0E" w14:textId="77777777" w:rsidR="0041777C" w:rsidRDefault="00000000">
      <w:pPr>
        <w:ind w:firstLine="720"/>
        <w:jc w:val="both"/>
        <w:rPr>
          <w:lang w:val="en-GB"/>
        </w:rPr>
      </w:pPr>
      <w:r>
        <w:rPr>
          <w:lang w:val="en-GB"/>
        </w:rPr>
        <w:tab/>
      </w:r>
      <w:r>
        <w:rPr>
          <w:lang w:val="en-GB"/>
        </w:rPr>
        <w:tab/>
      </w:r>
      <w:r>
        <w:rPr>
          <w:lang w:val="en-GB"/>
        </w:rPr>
        <w:tab/>
        <w:t>Table 1. The descriptive pattern</w:t>
      </w:r>
      <w:del w:id="2" w:author="Restu Bias Primandhika" w:date="2026-05-19T09:24:00Z">
        <w:r>
          <w:rPr>
            <w:lang w:val="en-GB"/>
          </w:rPr>
          <w:delText>.</w:delText>
        </w:r>
      </w:del>
    </w:p>
    <w:tbl>
      <w:tblPr>
        <w:tblStyle w:val="TableGrid"/>
        <w:tblW w:w="5829" w:type="dxa"/>
        <w:jc w:val="center"/>
        <w:tblLayout w:type="fixed"/>
        <w:tblLook w:val="04A0" w:firstRow="1" w:lastRow="0" w:firstColumn="1" w:lastColumn="0" w:noHBand="0" w:noVBand="1"/>
      </w:tblPr>
      <w:tblGrid>
        <w:gridCol w:w="1339"/>
        <w:gridCol w:w="1522"/>
        <w:gridCol w:w="1521"/>
        <w:gridCol w:w="1447"/>
      </w:tblGrid>
      <w:tr w:rsidR="0041777C" w14:paraId="5FBD1570" w14:textId="77777777">
        <w:trPr>
          <w:jc w:val="center"/>
        </w:trPr>
        <w:tc>
          <w:tcPr>
            <w:tcW w:w="1339" w:type="dxa"/>
            <w:tcBorders>
              <w:left w:val="nil"/>
              <w:right w:val="nil"/>
            </w:tcBorders>
          </w:tcPr>
          <w:p w14:paraId="08EB7E54" w14:textId="77777777" w:rsidR="0041777C" w:rsidRDefault="00000000">
            <w:pPr>
              <w:jc w:val="center"/>
              <w:rPr>
                <w:sz w:val="16"/>
                <w:szCs w:val="16"/>
              </w:rPr>
            </w:pPr>
            <w:r>
              <w:rPr>
                <w:sz w:val="16"/>
                <w:szCs w:val="16"/>
              </w:rPr>
              <w:t>Variable</w:t>
            </w:r>
          </w:p>
        </w:tc>
        <w:tc>
          <w:tcPr>
            <w:tcW w:w="1522" w:type="dxa"/>
            <w:tcBorders>
              <w:left w:val="nil"/>
              <w:right w:val="nil"/>
            </w:tcBorders>
          </w:tcPr>
          <w:p w14:paraId="4D5A01E8" w14:textId="77777777" w:rsidR="0041777C" w:rsidRDefault="00000000">
            <w:pPr>
              <w:jc w:val="center"/>
              <w:rPr>
                <w:sz w:val="16"/>
                <w:szCs w:val="16"/>
              </w:rPr>
            </w:pPr>
            <w:r>
              <w:rPr>
                <w:sz w:val="16"/>
                <w:szCs w:val="16"/>
              </w:rPr>
              <w:t>Pre-Test M (SD)</w:t>
            </w:r>
          </w:p>
        </w:tc>
        <w:tc>
          <w:tcPr>
            <w:tcW w:w="1521" w:type="dxa"/>
            <w:tcBorders>
              <w:left w:val="nil"/>
              <w:right w:val="nil"/>
            </w:tcBorders>
          </w:tcPr>
          <w:p w14:paraId="1107ED43" w14:textId="77777777" w:rsidR="0041777C" w:rsidRDefault="00000000">
            <w:pPr>
              <w:jc w:val="center"/>
              <w:rPr>
                <w:sz w:val="16"/>
                <w:szCs w:val="16"/>
              </w:rPr>
            </w:pPr>
            <w:r>
              <w:rPr>
                <w:sz w:val="16"/>
                <w:szCs w:val="16"/>
              </w:rPr>
              <w:t>Post-Test M (SD)</w:t>
            </w:r>
          </w:p>
        </w:tc>
        <w:tc>
          <w:tcPr>
            <w:tcW w:w="1447" w:type="dxa"/>
            <w:tcBorders>
              <w:left w:val="nil"/>
              <w:right w:val="nil"/>
            </w:tcBorders>
          </w:tcPr>
          <w:p w14:paraId="7825DDDB" w14:textId="77777777" w:rsidR="0041777C" w:rsidRDefault="00000000">
            <w:pPr>
              <w:jc w:val="center"/>
              <w:rPr>
                <w:sz w:val="16"/>
                <w:szCs w:val="16"/>
              </w:rPr>
            </w:pPr>
            <w:r>
              <w:rPr>
                <w:sz w:val="16"/>
                <w:szCs w:val="16"/>
              </w:rPr>
              <w:t>Mean Difference</w:t>
            </w:r>
          </w:p>
        </w:tc>
      </w:tr>
      <w:tr w:rsidR="0041777C" w14:paraId="5ACF34F4" w14:textId="77777777">
        <w:trPr>
          <w:trHeight w:val="117"/>
          <w:jc w:val="center"/>
        </w:trPr>
        <w:tc>
          <w:tcPr>
            <w:tcW w:w="1339" w:type="dxa"/>
            <w:tcBorders>
              <w:left w:val="nil"/>
              <w:bottom w:val="nil"/>
              <w:right w:val="nil"/>
            </w:tcBorders>
          </w:tcPr>
          <w:p w14:paraId="73EC65B1" w14:textId="77777777" w:rsidR="0041777C" w:rsidRDefault="00000000">
            <w:pPr>
              <w:jc w:val="center"/>
              <w:rPr>
                <w:sz w:val="16"/>
                <w:szCs w:val="16"/>
              </w:rPr>
            </w:pPr>
            <w:r>
              <w:rPr>
                <w:sz w:val="16"/>
                <w:szCs w:val="16"/>
              </w:rPr>
              <w:t>Planning</w:t>
            </w:r>
          </w:p>
        </w:tc>
        <w:tc>
          <w:tcPr>
            <w:tcW w:w="1522" w:type="dxa"/>
            <w:tcBorders>
              <w:left w:val="nil"/>
              <w:bottom w:val="nil"/>
              <w:right w:val="nil"/>
            </w:tcBorders>
          </w:tcPr>
          <w:p w14:paraId="4F0628BE" w14:textId="77777777" w:rsidR="0041777C" w:rsidRDefault="00000000">
            <w:pPr>
              <w:jc w:val="center"/>
            </w:pPr>
            <w:r>
              <w:rPr>
                <w:sz w:val="16"/>
                <w:szCs w:val="16"/>
              </w:rPr>
              <w:t>3.12 (0.78)</w:t>
            </w:r>
          </w:p>
        </w:tc>
        <w:tc>
          <w:tcPr>
            <w:tcW w:w="1521" w:type="dxa"/>
            <w:tcBorders>
              <w:left w:val="nil"/>
              <w:bottom w:val="nil"/>
              <w:right w:val="nil"/>
            </w:tcBorders>
          </w:tcPr>
          <w:p w14:paraId="3A55DB2A" w14:textId="77777777" w:rsidR="0041777C" w:rsidRDefault="00000000">
            <w:pPr>
              <w:jc w:val="center"/>
              <w:rPr>
                <w:sz w:val="16"/>
                <w:szCs w:val="16"/>
              </w:rPr>
            </w:pPr>
            <w:r>
              <w:rPr>
                <w:sz w:val="16"/>
                <w:szCs w:val="16"/>
              </w:rPr>
              <w:t>4.17 (0.62)</w:t>
            </w:r>
          </w:p>
        </w:tc>
        <w:tc>
          <w:tcPr>
            <w:tcW w:w="1447" w:type="dxa"/>
            <w:tcBorders>
              <w:left w:val="nil"/>
              <w:bottom w:val="nil"/>
              <w:right w:val="nil"/>
            </w:tcBorders>
          </w:tcPr>
          <w:p w14:paraId="0AC5A171" w14:textId="77777777" w:rsidR="0041777C" w:rsidRDefault="00000000">
            <w:pPr>
              <w:jc w:val="center"/>
              <w:rPr>
                <w:sz w:val="16"/>
                <w:szCs w:val="16"/>
              </w:rPr>
            </w:pPr>
            <w:r>
              <w:rPr>
                <w:sz w:val="16"/>
                <w:szCs w:val="16"/>
              </w:rPr>
              <w:t>1.05</w:t>
            </w:r>
          </w:p>
        </w:tc>
      </w:tr>
      <w:tr w:rsidR="0041777C" w14:paraId="2144084E" w14:textId="77777777">
        <w:trPr>
          <w:jc w:val="center"/>
        </w:trPr>
        <w:tc>
          <w:tcPr>
            <w:tcW w:w="1339" w:type="dxa"/>
            <w:tcBorders>
              <w:top w:val="nil"/>
              <w:left w:val="nil"/>
              <w:bottom w:val="nil"/>
              <w:right w:val="nil"/>
            </w:tcBorders>
          </w:tcPr>
          <w:p w14:paraId="5A2F6ABA" w14:textId="77777777" w:rsidR="0041777C" w:rsidRDefault="00000000">
            <w:pPr>
              <w:jc w:val="center"/>
              <w:rPr>
                <w:sz w:val="16"/>
                <w:szCs w:val="16"/>
              </w:rPr>
            </w:pPr>
            <w:r>
              <w:rPr>
                <w:sz w:val="16"/>
                <w:szCs w:val="16"/>
              </w:rPr>
              <w:t>Monitoring</w:t>
            </w:r>
          </w:p>
        </w:tc>
        <w:tc>
          <w:tcPr>
            <w:tcW w:w="1522" w:type="dxa"/>
            <w:tcBorders>
              <w:top w:val="nil"/>
              <w:left w:val="nil"/>
              <w:bottom w:val="nil"/>
              <w:right w:val="nil"/>
            </w:tcBorders>
          </w:tcPr>
          <w:p w14:paraId="681E4599" w14:textId="77777777" w:rsidR="0041777C" w:rsidRDefault="00000000">
            <w:pPr>
              <w:jc w:val="center"/>
            </w:pPr>
            <w:r>
              <w:rPr>
                <w:sz w:val="16"/>
                <w:szCs w:val="16"/>
              </w:rPr>
              <w:t>3.45 (0.71)</w:t>
            </w:r>
          </w:p>
        </w:tc>
        <w:tc>
          <w:tcPr>
            <w:tcW w:w="1521" w:type="dxa"/>
            <w:tcBorders>
              <w:top w:val="nil"/>
              <w:left w:val="nil"/>
              <w:bottom w:val="nil"/>
              <w:right w:val="nil"/>
            </w:tcBorders>
          </w:tcPr>
          <w:p w14:paraId="6C60EB3A" w14:textId="77777777" w:rsidR="0041777C" w:rsidRDefault="00000000">
            <w:pPr>
              <w:jc w:val="center"/>
              <w:rPr>
                <w:sz w:val="16"/>
                <w:szCs w:val="16"/>
              </w:rPr>
            </w:pPr>
            <w:r>
              <w:rPr>
                <w:sz w:val="16"/>
                <w:szCs w:val="16"/>
              </w:rPr>
              <w:t>4.02 (0.68)</w:t>
            </w:r>
          </w:p>
        </w:tc>
        <w:tc>
          <w:tcPr>
            <w:tcW w:w="1447" w:type="dxa"/>
            <w:tcBorders>
              <w:top w:val="nil"/>
              <w:left w:val="nil"/>
              <w:bottom w:val="nil"/>
              <w:right w:val="nil"/>
            </w:tcBorders>
          </w:tcPr>
          <w:p w14:paraId="5D2CF872" w14:textId="77777777" w:rsidR="0041777C" w:rsidRDefault="00000000">
            <w:pPr>
              <w:jc w:val="center"/>
              <w:rPr>
                <w:sz w:val="16"/>
                <w:szCs w:val="16"/>
              </w:rPr>
            </w:pPr>
            <w:r>
              <w:rPr>
                <w:sz w:val="16"/>
                <w:szCs w:val="16"/>
              </w:rPr>
              <w:t>0.57</w:t>
            </w:r>
          </w:p>
        </w:tc>
      </w:tr>
      <w:tr w:rsidR="0041777C" w14:paraId="037010E0" w14:textId="77777777">
        <w:trPr>
          <w:jc w:val="center"/>
        </w:trPr>
        <w:tc>
          <w:tcPr>
            <w:tcW w:w="1339" w:type="dxa"/>
            <w:tcBorders>
              <w:top w:val="nil"/>
              <w:left w:val="nil"/>
              <w:bottom w:val="nil"/>
              <w:right w:val="nil"/>
            </w:tcBorders>
          </w:tcPr>
          <w:p w14:paraId="49FF5879" w14:textId="77777777" w:rsidR="0041777C" w:rsidRDefault="00000000">
            <w:pPr>
              <w:jc w:val="center"/>
              <w:rPr>
                <w:sz w:val="16"/>
                <w:szCs w:val="16"/>
              </w:rPr>
            </w:pPr>
            <w:r>
              <w:rPr>
                <w:sz w:val="16"/>
                <w:szCs w:val="16"/>
              </w:rPr>
              <w:t>Evaluation</w:t>
            </w:r>
          </w:p>
        </w:tc>
        <w:tc>
          <w:tcPr>
            <w:tcW w:w="1522" w:type="dxa"/>
            <w:tcBorders>
              <w:top w:val="nil"/>
              <w:left w:val="nil"/>
              <w:bottom w:val="nil"/>
              <w:right w:val="nil"/>
            </w:tcBorders>
          </w:tcPr>
          <w:p w14:paraId="63F20660" w14:textId="77777777" w:rsidR="0041777C" w:rsidRDefault="00000000">
            <w:pPr>
              <w:jc w:val="center"/>
            </w:pPr>
            <w:r>
              <w:rPr>
                <w:sz w:val="16"/>
                <w:szCs w:val="16"/>
              </w:rPr>
              <w:t>3.08 (0.82)</w:t>
            </w:r>
          </w:p>
        </w:tc>
        <w:tc>
          <w:tcPr>
            <w:tcW w:w="1521" w:type="dxa"/>
            <w:tcBorders>
              <w:top w:val="nil"/>
              <w:left w:val="nil"/>
              <w:bottom w:val="nil"/>
              <w:right w:val="nil"/>
            </w:tcBorders>
          </w:tcPr>
          <w:p w14:paraId="56EB8AB5" w14:textId="77777777" w:rsidR="0041777C" w:rsidRDefault="00000000">
            <w:pPr>
              <w:jc w:val="center"/>
              <w:rPr>
                <w:sz w:val="16"/>
                <w:szCs w:val="16"/>
              </w:rPr>
            </w:pPr>
            <w:r>
              <w:rPr>
                <w:sz w:val="16"/>
                <w:szCs w:val="16"/>
              </w:rPr>
              <w:t>4.26 (0.59)</w:t>
            </w:r>
          </w:p>
        </w:tc>
        <w:tc>
          <w:tcPr>
            <w:tcW w:w="1447" w:type="dxa"/>
            <w:tcBorders>
              <w:top w:val="nil"/>
              <w:left w:val="nil"/>
              <w:bottom w:val="nil"/>
              <w:right w:val="nil"/>
            </w:tcBorders>
          </w:tcPr>
          <w:p w14:paraId="253528EF" w14:textId="77777777" w:rsidR="0041777C" w:rsidRDefault="00000000">
            <w:pPr>
              <w:jc w:val="center"/>
              <w:rPr>
                <w:sz w:val="16"/>
                <w:szCs w:val="16"/>
              </w:rPr>
            </w:pPr>
            <w:r>
              <w:rPr>
                <w:sz w:val="16"/>
                <w:szCs w:val="16"/>
              </w:rPr>
              <w:t>1.18</w:t>
            </w:r>
          </w:p>
        </w:tc>
      </w:tr>
      <w:tr w:rsidR="0041777C" w14:paraId="5B60A983" w14:textId="77777777">
        <w:trPr>
          <w:jc w:val="center"/>
        </w:trPr>
        <w:tc>
          <w:tcPr>
            <w:tcW w:w="1339" w:type="dxa"/>
            <w:tcBorders>
              <w:top w:val="nil"/>
              <w:left w:val="nil"/>
              <w:bottom w:val="nil"/>
              <w:right w:val="nil"/>
            </w:tcBorders>
          </w:tcPr>
          <w:p w14:paraId="7D440FC1" w14:textId="77777777" w:rsidR="0041777C" w:rsidRDefault="00000000">
            <w:pPr>
              <w:jc w:val="center"/>
              <w:rPr>
                <w:sz w:val="16"/>
                <w:szCs w:val="16"/>
              </w:rPr>
            </w:pPr>
            <w:r>
              <w:rPr>
                <w:sz w:val="16"/>
                <w:szCs w:val="16"/>
              </w:rPr>
              <w:t>Overall speaking performance</w:t>
            </w:r>
          </w:p>
        </w:tc>
        <w:tc>
          <w:tcPr>
            <w:tcW w:w="1522" w:type="dxa"/>
            <w:tcBorders>
              <w:top w:val="nil"/>
              <w:left w:val="nil"/>
              <w:bottom w:val="nil"/>
              <w:right w:val="nil"/>
            </w:tcBorders>
          </w:tcPr>
          <w:p w14:paraId="371D49AA" w14:textId="77777777" w:rsidR="0041777C" w:rsidRDefault="00000000">
            <w:pPr>
              <w:jc w:val="center"/>
            </w:pPr>
            <w:r>
              <w:rPr>
                <w:sz w:val="16"/>
                <w:szCs w:val="16"/>
              </w:rPr>
              <w:t>2.89 (0.74)</w:t>
            </w:r>
          </w:p>
        </w:tc>
        <w:tc>
          <w:tcPr>
            <w:tcW w:w="1521" w:type="dxa"/>
            <w:tcBorders>
              <w:top w:val="nil"/>
              <w:left w:val="nil"/>
              <w:bottom w:val="nil"/>
              <w:right w:val="nil"/>
            </w:tcBorders>
          </w:tcPr>
          <w:p w14:paraId="799FBD9F" w14:textId="77777777" w:rsidR="0041777C" w:rsidRDefault="00000000">
            <w:pPr>
              <w:jc w:val="center"/>
              <w:rPr>
                <w:sz w:val="16"/>
                <w:szCs w:val="16"/>
              </w:rPr>
            </w:pPr>
            <w:r>
              <w:rPr>
                <w:sz w:val="16"/>
                <w:szCs w:val="16"/>
              </w:rPr>
              <w:t>3.94 (0.65)</w:t>
            </w:r>
          </w:p>
        </w:tc>
        <w:tc>
          <w:tcPr>
            <w:tcW w:w="1447" w:type="dxa"/>
            <w:tcBorders>
              <w:top w:val="nil"/>
              <w:left w:val="nil"/>
              <w:bottom w:val="nil"/>
              <w:right w:val="nil"/>
            </w:tcBorders>
          </w:tcPr>
          <w:p w14:paraId="003A65D1" w14:textId="77777777" w:rsidR="0041777C" w:rsidRDefault="00000000">
            <w:pPr>
              <w:jc w:val="center"/>
              <w:rPr>
                <w:sz w:val="16"/>
                <w:szCs w:val="16"/>
              </w:rPr>
            </w:pPr>
            <w:r>
              <w:rPr>
                <w:sz w:val="16"/>
                <w:szCs w:val="16"/>
              </w:rPr>
              <w:t>1.05</w:t>
            </w:r>
          </w:p>
        </w:tc>
      </w:tr>
    </w:tbl>
    <w:p w14:paraId="2653F556" w14:textId="77777777" w:rsidR="0041777C" w:rsidRDefault="0041777C">
      <w:pPr>
        <w:ind w:firstLine="720"/>
        <w:jc w:val="both"/>
        <w:rPr>
          <w:lang w:val="en-GB"/>
        </w:rPr>
      </w:pPr>
    </w:p>
    <w:p w14:paraId="7DF7B7EF" w14:textId="77777777" w:rsidR="0041777C" w:rsidRDefault="00000000">
      <w:pPr>
        <w:ind w:firstLine="720"/>
        <w:jc w:val="both"/>
        <w:rPr>
          <w:lang w:val="en-GB"/>
        </w:rPr>
      </w:pPr>
      <w:r>
        <w:rPr>
          <w:lang w:val="en-GB"/>
        </w:rPr>
        <w:t xml:space="preserve">Planning and evaluation improved substantially (partial η² = .39 and .42, respectively), while monitoring improved more modestly (partial η² = .22). This differential pattern is consistent with the directional expectation outlined in Section 1. Monitoring is difficult to scaffold directly because it requires students to track their own production under the real-time pressure of ongoing speech. Planning and evaluation, by contrast, operate before and after speech, which is precisely where the intervention's explicit prompts were designed to apply force. The result aligns with what Paterson </w:t>
      </w:r>
      <w:r>
        <w:rPr>
          <w:shd w:val="clear" w:color="auto" w:fill="B2B2B2"/>
          <w:lang w:val="en-GB"/>
        </w:rPr>
        <w:t>[6]</w:t>
      </w:r>
      <w:r>
        <w:rPr>
          <w:lang w:val="en-GB"/>
        </w:rPr>
        <w:t xml:space="preserve"> and Zhang </w:t>
      </w:r>
      <w:r>
        <w:rPr>
          <w:i/>
          <w:iCs/>
          <w:lang w:val="en-GB"/>
        </w:rPr>
        <w:t>et al.</w:t>
      </w:r>
      <w:r>
        <w:rPr>
          <w:lang w:val="en-GB"/>
        </w:rPr>
        <w:t xml:space="preserve"> </w:t>
      </w:r>
      <w:r>
        <w:rPr>
          <w:shd w:val="clear" w:color="auto" w:fill="B2B2B2"/>
          <w:lang w:val="en-GB"/>
        </w:rPr>
        <w:t>[7]</w:t>
      </w:r>
      <w:r>
        <w:rPr>
          <w:lang w:val="en-GB"/>
        </w:rPr>
        <w:t xml:space="preserve"> observed: that reflection-oriented support tends to produce stronger instructional effects than attempts to improve regulatory control during live speech production.</w:t>
      </w:r>
    </w:p>
    <w:p w14:paraId="235847E8" w14:textId="77777777" w:rsidR="0041777C" w:rsidRDefault="0041777C">
      <w:pPr>
        <w:ind w:firstLine="720"/>
        <w:jc w:val="both"/>
        <w:rPr>
          <w:lang w:val="en-GB"/>
        </w:rPr>
      </w:pPr>
    </w:p>
    <w:p w14:paraId="0CCB6155" w14:textId="77777777" w:rsidR="0041777C" w:rsidRDefault="00000000">
      <w:pPr>
        <w:jc w:val="both"/>
        <w:rPr>
          <w:lang w:val="en-GB"/>
        </w:rPr>
      </w:pPr>
      <w:r>
        <w:rPr>
          <w:b/>
          <w:bCs/>
          <w:lang w:val="en-GB"/>
        </w:rPr>
        <w:t>3.2 Academic speaking improvement</w:t>
      </w:r>
    </w:p>
    <w:p w14:paraId="7161A961" w14:textId="77777777" w:rsidR="0041777C" w:rsidRDefault="00000000">
      <w:pPr>
        <w:ind w:firstLine="720"/>
        <w:jc w:val="both"/>
        <w:rPr>
          <w:lang w:val="en-GB"/>
        </w:rPr>
      </w:pPr>
      <w:r>
        <w:rPr>
          <w:lang w:val="en-GB"/>
        </w:rPr>
        <w:t>Speaking performance showed a large overall gain from pre-test to post-test (</w:t>
      </w:r>
      <w:proofErr w:type="gramStart"/>
      <w:r>
        <w:rPr>
          <w:lang w:val="en-GB"/>
        </w:rPr>
        <w:t>t(</w:t>
      </w:r>
      <w:proofErr w:type="gramEnd"/>
      <w:r>
        <w:rPr>
          <w:lang w:val="en-GB"/>
        </w:rPr>
        <w:t xml:space="preserve">79) = 9.87, p &lt; .001, </w:t>
      </w:r>
      <w:r>
        <w:rPr>
          <w:i/>
          <w:iCs/>
          <w:lang w:val="en-GB"/>
        </w:rPr>
        <w:t>d</w:t>
      </w:r>
      <w:r>
        <w:rPr>
          <w:lang w:val="en-GB"/>
        </w:rPr>
        <w:t xml:space="preserve"> = 1.01), but the aggregate effect size flattens what is a differentiated pattern across the four speaking dimensions.</w:t>
      </w:r>
    </w:p>
    <w:p w14:paraId="4AABF496" w14:textId="77777777" w:rsidR="0041777C" w:rsidRDefault="0041777C">
      <w:pPr>
        <w:ind w:firstLine="720"/>
        <w:jc w:val="both"/>
        <w:rPr>
          <w:lang w:val="en-GB"/>
        </w:rPr>
      </w:pPr>
    </w:p>
    <w:p w14:paraId="41D2EC31" w14:textId="77777777" w:rsidR="0041777C" w:rsidRDefault="00000000">
      <w:pPr>
        <w:jc w:val="center"/>
        <w:rPr>
          <w:lang w:val="en-GB"/>
        </w:rPr>
      </w:pPr>
      <w:proofErr w:type="spellStart"/>
      <w:proofErr w:type="spellEnd"/>
      <w:r>
        <w:rPr>
          <w:b/>
          <w:bCs/>
          <w:lang w:val="en-GB"/>
        </w:rPr>
        <w:t>Table 2.</w:t>
      </w:r>
      <w:r>
        <w:rPr>
          <w:lang w:val="en-GB"/>
        </w:rPr>
        <w:t xml:space="preserve"> Results of Speaking Dimensions</w:t>
      </w:r>
    </w:p>
    <w:tbl>
      <w:tblPr>
        <w:tblStyle w:val="TableGrid"/>
        <w:tblW w:w="6965" w:type="dxa"/>
        <w:jc w:val="center"/>
        <w:tblLayout w:type="fixed"/>
        <w:tblLook w:val="04A0" w:firstRow="1" w:lastRow="0" w:firstColumn="1" w:lastColumn="0" w:noHBand="0" w:noVBand="1"/>
      </w:tblPr>
      <w:tblGrid>
        <w:gridCol w:w="2059"/>
        <w:gridCol w:w="1527"/>
        <w:gridCol w:w="1514"/>
        <w:gridCol w:w="1865"/>
      </w:tblGrid>
      <w:tr w:rsidR="0041777C" w14:paraId="4A1FB098" w14:textId="77777777">
        <w:trPr>
          <w:jc w:val="center"/>
        </w:trPr>
        <w:tc>
          <w:tcPr>
            <w:tcW w:w="2059" w:type="dxa"/>
            <w:tcBorders>
              <w:left w:val="nil"/>
              <w:right w:val="nil"/>
            </w:tcBorders>
          </w:tcPr>
          <w:p w14:paraId="53BBFB80" w14:textId="77777777" w:rsidR="0041777C" w:rsidRDefault="00000000">
            <w:pPr>
              <w:jc w:val="center"/>
              <w:rPr>
                <w:sz w:val="16"/>
                <w:szCs w:val="16"/>
              </w:rPr>
            </w:pPr>
            <w:r>
              <w:rPr>
                <w:sz w:val="16"/>
                <w:szCs w:val="16"/>
              </w:rPr>
              <w:t>Dimension</w:t>
            </w:r>
          </w:p>
        </w:tc>
        <w:tc>
          <w:tcPr>
            <w:tcW w:w="1527" w:type="dxa"/>
            <w:tcBorders>
              <w:left w:val="nil"/>
              <w:right w:val="nil"/>
            </w:tcBorders>
          </w:tcPr>
          <w:p w14:paraId="6DAC4652" w14:textId="77777777" w:rsidR="0041777C" w:rsidRDefault="00000000">
            <w:pPr>
              <w:jc w:val="center"/>
              <w:rPr>
                <w:sz w:val="16"/>
                <w:szCs w:val="16"/>
              </w:rPr>
            </w:pPr>
            <w:proofErr w:type="gramStart"/>
            <w:r>
              <w:rPr>
                <w:sz w:val="16"/>
                <w:szCs w:val="16"/>
              </w:rPr>
              <w:t>t(</w:t>
            </w:r>
            <w:proofErr w:type="gramEnd"/>
            <w:r>
              <w:rPr>
                <w:sz w:val="16"/>
                <w:szCs w:val="16"/>
              </w:rPr>
              <w:t>79)</w:t>
            </w:r>
          </w:p>
        </w:tc>
        <w:tc>
          <w:tcPr>
            <w:tcW w:w="1514" w:type="dxa"/>
            <w:tcBorders>
              <w:left w:val="nil"/>
              <w:right w:val="nil"/>
            </w:tcBorders>
          </w:tcPr>
          <w:p w14:paraId="0512BC6B" w14:textId="77777777" w:rsidR="0041777C" w:rsidRDefault="00000000">
            <w:pPr>
              <w:jc w:val="center"/>
              <w:rPr>
                <w:sz w:val="16"/>
                <w:szCs w:val="16"/>
              </w:rPr>
            </w:pPr>
            <w:r>
              <w:rPr>
                <w:sz w:val="16"/>
                <w:szCs w:val="16"/>
              </w:rPr>
              <w:t>p-value</w:t>
            </w:r>
          </w:p>
        </w:tc>
        <w:tc>
          <w:tcPr>
            <w:tcW w:w="1865" w:type="dxa"/>
            <w:tcBorders>
              <w:left w:val="nil"/>
              <w:right w:val="nil"/>
            </w:tcBorders>
          </w:tcPr>
          <w:p w14:paraId="3AD2F577" w14:textId="77777777" w:rsidR="0041777C" w:rsidRDefault="00000000">
            <w:pPr>
              <w:jc w:val="center"/>
              <w:rPr>
                <w:sz w:val="16"/>
                <w:szCs w:val="16"/>
              </w:rPr>
            </w:pPr>
            <w:r>
              <w:rPr>
                <w:sz w:val="16"/>
                <w:szCs w:val="16"/>
              </w:rPr>
              <w:t>Cohen’s d [95% CI]</w:t>
            </w:r>
          </w:p>
        </w:tc>
      </w:tr>
      <w:tr w:rsidR="0041777C" w14:paraId="7B070203" w14:textId="77777777">
        <w:trPr>
          <w:trHeight w:val="147"/>
          <w:jc w:val="center"/>
        </w:trPr>
        <w:tc>
          <w:tcPr>
            <w:tcW w:w="2059" w:type="dxa"/>
            <w:tcBorders>
              <w:left w:val="nil"/>
              <w:bottom w:val="nil"/>
              <w:right w:val="nil"/>
            </w:tcBorders>
          </w:tcPr>
          <w:p w14:paraId="3CC6934E" w14:textId="77777777" w:rsidR="0041777C" w:rsidRDefault="00000000">
            <w:pPr>
              <w:jc w:val="center"/>
              <w:rPr>
                <w:sz w:val="16"/>
                <w:szCs w:val="16"/>
              </w:rPr>
            </w:pPr>
            <w:r>
              <w:rPr>
                <w:sz w:val="16"/>
                <w:szCs w:val="16"/>
              </w:rPr>
              <w:t>Idea organization</w:t>
            </w:r>
          </w:p>
        </w:tc>
        <w:tc>
          <w:tcPr>
            <w:tcW w:w="1527" w:type="dxa"/>
            <w:tcBorders>
              <w:left w:val="nil"/>
              <w:bottom w:val="nil"/>
              <w:right w:val="nil"/>
            </w:tcBorders>
          </w:tcPr>
          <w:p w14:paraId="290DFA3E" w14:textId="77777777" w:rsidR="0041777C" w:rsidRDefault="00000000">
            <w:pPr>
              <w:jc w:val="center"/>
            </w:pPr>
            <w:r>
              <w:rPr>
                <w:sz w:val="16"/>
                <w:szCs w:val="16"/>
              </w:rPr>
              <w:t>10.12</w:t>
            </w:r>
          </w:p>
        </w:tc>
        <w:tc>
          <w:tcPr>
            <w:tcW w:w="1514" w:type="dxa"/>
            <w:tcBorders>
              <w:left w:val="nil"/>
              <w:bottom w:val="nil"/>
              <w:right w:val="nil"/>
            </w:tcBorders>
          </w:tcPr>
          <w:p w14:paraId="1845ED60" w14:textId="77777777" w:rsidR="0041777C" w:rsidRDefault="00000000">
            <w:pPr>
              <w:jc w:val="center"/>
              <w:rPr>
                <w:sz w:val="16"/>
                <w:szCs w:val="16"/>
              </w:rPr>
            </w:pPr>
            <w:r>
              <w:rPr>
                <w:sz w:val="16"/>
                <w:szCs w:val="16"/>
              </w:rPr>
              <w:t>&lt; .001</w:t>
            </w:r>
          </w:p>
        </w:tc>
        <w:tc>
          <w:tcPr>
            <w:tcW w:w="1865" w:type="dxa"/>
            <w:tcBorders>
              <w:left w:val="nil"/>
              <w:bottom w:val="nil"/>
              <w:right w:val="nil"/>
            </w:tcBorders>
          </w:tcPr>
          <w:p w14:paraId="4DB02EFA" w14:textId="77777777" w:rsidR="0041777C" w:rsidRDefault="00000000">
            <w:pPr>
              <w:jc w:val="center"/>
              <w:rPr>
                <w:sz w:val="16"/>
                <w:szCs w:val="16"/>
              </w:rPr>
            </w:pPr>
            <w:r>
              <w:rPr>
                <w:sz w:val="16"/>
                <w:szCs w:val="16"/>
              </w:rPr>
              <w:t>1.15 [0.90, 1.39]</w:t>
            </w:r>
          </w:p>
        </w:tc>
      </w:tr>
      <w:tr w:rsidR="0041777C" w14:paraId="52DB0743" w14:textId="77777777">
        <w:trPr>
          <w:jc w:val="center"/>
        </w:trPr>
        <w:tc>
          <w:tcPr>
            <w:tcW w:w="2059" w:type="dxa"/>
            <w:tcBorders>
              <w:top w:val="nil"/>
              <w:left w:val="nil"/>
              <w:bottom w:val="nil"/>
              <w:right w:val="nil"/>
            </w:tcBorders>
          </w:tcPr>
          <w:p w14:paraId="56E51B15" w14:textId="77777777" w:rsidR="0041777C" w:rsidRDefault="00000000">
            <w:pPr>
              <w:jc w:val="center"/>
              <w:rPr>
                <w:sz w:val="16"/>
                <w:szCs w:val="16"/>
              </w:rPr>
            </w:pPr>
            <w:r>
              <w:rPr>
                <w:sz w:val="16"/>
                <w:szCs w:val="16"/>
              </w:rPr>
              <w:t>Clarity of explanation</w:t>
            </w:r>
          </w:p>
        </w:tc>
        <w:tc>
          <w:tcPr>
            <w:tcW w:w="1527" w:type="dxa"/>
            <w:tcBorders>
              <w:top w:val="nil"/>
              <w:left w:val="nil"/>
              <w:bottom w:val="nil"/>
              <w:right w:val="nil"/>
            </w:tcBorders>
          </w:tcPr>
          <w:p w14:paraId="2E4CE758" w14:textId="77777777" w:rsidR="0041777C" w:rsidRDefault="00000000">
            <w:pPr>
              <w:jc w:val="center"/>
            </w:pPr>
            <w:r>
              <w:rPr>
                <w:sz w:val="16"/>
                <w:szCs w:val="16"/>
              </w:rPr>
              <w:t>9.56</w:t>
            </w:r>
          </w:p>
        </w:tc>
        <w:tc>
          <w:tcPr>
            <w:tcW w:w="1514" w:type="dxa"/>
            <w:tcBorders>
              <w:top w:val="nil"/>
              <w:left w:val="nil"/>
              <w:bottom w:val="nil"/>
              <w:right w:val="nil"/>
            </w:tcBorders>
          </w:tcPr>
          <w:p w14:paraId="5753F854" w14:textId="77777777" w:rsidR="0041777C" w:rsidRDefault="00000000">
            <w:pPr>
              <w:jc w:val="center"/>
              <w:rPr>
                <w:sz w:val="16"/>
                <w:szCs w:val="16"/>
              </w:rPr>
            </w:pPr>
            <w:r>
              <w:rPr>
                <w:sz w:val="16"/>
                <w:szCs w:val="16"/>
              </w:rPr>
              <w:t>&lt; .001</w:t>
            </w:r>
          </w:p>
        </w:tc>
        <w:tc>
          <w:tcPr>
            <w:tcW w:w="1865" w:type="dxa"/>
            <w:tcBorders>
              <w:top w:val="nil"/>
              <w:left w:val="nil"/>
              <w:bottom w:val="nil"/>
              <w:right w:val="nil"/>
            </w:tcBorders>
          </w:tcPr>
          <w:p w14:paraId="4B6A94CB" w14:textId="77777777" w:rsidR="0041777C" w:rsidRDefault="00000000">
            <w:pPr>
              <w:jc w:val="center"/>
              <w:rPr>
                <w:sz w:val="16"/>
                <w:szCs w:val="16"/>
              </w:rPr>
            </w:pPr>
            <w:r>
              <w:rPr>
                <w:sz w:val="16"/>
                <w:szCs w:val="16"/>
              </w:rPr>
              <w:t>0.98 [0.74, 1.22]</w:t>
            </w:r>
          </w:p>
        </w:tc>
      </w:tr>
      <w:tr w:rsidR="0041777C" w14:paraId="42BFE2C6" w14:textId="77777777">
        <w:trPr>
          <w:jc w:val="center"/>
        </w:trPr>
        <w:tc>
          <w:tcPr>
            <w:tcW w:w="2059" w:type="dxa"/>
            <w:tcBorders>
              <w:top w:val="nil"/>
              <w:left w:val="nil"/>
              <w:bottom w:val="nil"/>
              <w:right w:val="nil"/>
            </w:tcBorders>
          </w:tcPr>
          <w:p w14:paraId="37B2752D" w14:textId="77777777" w:rsidR="0041777C" w:rsidRDefault="00000000">
            <w:pPr>
              <w:jc w:val="center"/>
              <w:rPr>
                <w:sz w:val="16"/>
                <w:szCs w:val="16"/>
              </w:rPr>
            </w:pPr>
            <w:r>
              <w:rPr>
                <w:sz w:val="16"/>
                <w:szCs w:val="16"/>
              </w:rPr>
              <w:t>Strategic delivery</w:t>
            </w:r>
          </w:p>
        </w:tc>
        <w:tc>
          <w:tcPr>
            <w:tcW w:w="1527" w:type="dxa"/>
            <w:tcBorders>
              <w:top w:val="nil"/>
              <w:left w:val="nil"/>
              <w:bottom w:val="nil"/>
              <w:right w:val="nil"/>
            </w:tcBorders>
          </w:tcPr>
          <w:p w14:paraId="5445FF09" w14:textId="77777777" w:rsidR="0041777C" w:rsidRDefault="00000000">
            <w:pPr>
              <w:jc w:val="center"/>
            </w:pPr>
            <w:r>
              <w:rPr>
                <w:sz w:val="16"/>
                <w:szCs w:val="16"/>
              </w:rPr>
              <w:t>8.43</w:t>
            </w:r>
          </w:p>
        </w:tc>
        <w:tc>
          <w:tcPr>
            <w:tcW w:w="1514" w:type="dxa"/>
            <w:tcBorders>
              <w:top w:val="nil"/>
              <w:left w:val="nil"/>
              <w:bottom w:val="nil"/>
              <w:right w:val="nil"/>
            </w:tcBorders>
          </w:tcPr>
          <w:p w14:paraId="1C55E53F" w14:textId="77777777" w:rsidR="0041777C" w:rsidRDefault="00000000">
            <w:pPr>
              <w:jc w:val="center"/>
              <w:rPr>
                <w:sz w:val="16"/>
                <w:szCs w:val="16"/>
              </w:rPr>
            </w:pPr>
            <w:r>
              <w:rPr>
                <w:sz w:val="16"/>
                <w:szCs w:val="16"/>
              </w:rPr>
              <w:t>&lt; .001</w:t>
            </w:r>
          </w:p>
        </w:tc>
        <w:tc>
          <w:tcPr>
            <w:tcW w:w="1865" w:type="dxa"/>
            <w:tcBorders>
              <w:top w:val="nil"/>
              <w:left w:val="nil"/>
              <w:bottom w:val="nil"/>
              <w:right w:val="nil"/>
            </w:tcBorders>
          </w:tcPr>
          <w:p w14:paraId="264867B9" w14:textId="77777777" w:rsidR="0041777C" w:rsidRDefault="00000000">
            <w:pPr>
              <w:jc w:val="center"/>
              <w:rPr>
                <w:sz w:val="16"/>
                <w:szCs w:val="16"/>
              </w:rPr>
            </w:pPr>
            <w:r>
              <w:rPr>
                <w:sz w:val="16"/>
                <w:szCs w:val="16"/>
              </w:rPr>
              <w:t>0.87 [0.64, 1.10]</w:t>
            </w:r>
          </w:p>
        </w:tc>
      </w:tr>
      <w:tr w:rsidR="0041777C" w14:paraId="6E6BD42B" w14:textId="77777777">
        <w:trPr>
          <w:trHeight w:val="95"/>
          <w:jc w:val="center"/>
        </w:trPr>
        <w:tc>
          <w:tcPr>
            <w:tcW w:w="2059" w:type="dxa"/>
            <w:tcBorders>
              <w:top w:val="nil"/>
              <w:left w:val="nil"/>
              <w:bottom w:val="nil"/>
              <w:right w:val="nil"/>
            </w:tcBorders>
          </w:tcPr>
          <w:p w14:paraId="566B931B" w14:textId="77777777" w:rsidR="0041777C" w:rsidRDefault="00000000">
            <w:pPr>
              <w:jc w:val="center"/>
              <w:rPr>
                <w:sz w:val="16"/>
                <w:szCs w:val="16"/>
              </w:rPr>
            </w:pPr>
            <w:r>
              <w:rPr>
                <w:sz w:val="16"/>
                <w:szCs w:val="16"/>
              </w:rPr>
              <w:t>Responsiveness</w:t>
            </w:r>
          </w:p>
        </w:tc>
        <w:tc>
          <w:tcPr>
            <w:tcW w:w="1527" w:type="dxa"/>
            <w:tcBorders>
              <w:top w:val="nil"/>
              <w:left w:val="nil"/>
              <w:bottom w:val="nil"/>
              <w:right w:val="nil"/>
            </w:tcBorders>
          </w:tcPr>
          <w:p w14:paraId="77F75017" w14:textId="77777777" w:rsidR="0041777C" w:rsidRDefault="00000000">
            <w:pPr>
              <w:jc w:val="center"/>
            </w:pPr>
            <w:r>
              <w:rPr>
                <w:sz w:val="16"/>
                <w:szCs w:val="16"/>
              </w:rPr>
              <w:t>7.89</w:t>
            </w:r>
          </w:p>
        </w:tc>
        <w:tc>
          <w:tcPr>
            <w:tcW w:w="1514" w:type="dxa"/>
            <w:tcBorders>
              <w:top w:val="nil"/>
              <w:left w:val="nil"/>
              <w:bottom w:val="nil"/>
              <w:right w:val="nil"/>
            </w:tcBorders>
          </w:tcPr>
          <w:p w14:paraId="65C88807" w14:textId="77777777" w:rsidR="0041777C" w:rsidRDefault="00000000">
            <w:pPr>
              <w:jc w:val="center"/>
              <w:rPr>
                <w:sz w:val="16"/>
                <w:szCs w:val="16"/>
              </w:rPr>
            </w:pPr>
            <w:r>
              <w:rPr>
                <w:sz w:val="16"/>
                <w:szCs w:val="16"/>
              </w:rPr>
              <w:t>&lt; .001</w:t>
            </w:r>
          </w:p>
        </w:tc>
        <w:tc>
          <w:tcPr>
            <w:tcW w:w="1865" w:type="dxa"/>
            <w:tcBorders>
              <w:top w:val="nil"/>
              <w:left w:val="nil"/>
              <w:bottom w:val="nil"/>
              <w:right w:val="nil"/>
            </w:tcBorders>
          </w:tcPr>
          <w:p w14:paraId="5917502E" w14:textId="77777777" w:rsidR="0041777C" w:rsidRDefault="00000000">
            <w:pPr>
              <w:jc w:val="center"/>
              <w:rPr>
                <w:sz w:val="16"/>
                <w:szCs w:val="16"/>
              </w:rPr>
            </w:pPr>
            <w:r>
              <w:rPr>
                <w:sz w:val="16"/>
                <w:szCs w:val="16"/>
              </w:rPr>
              <w:t>0.82 [0.59, 1.05]</w:t>
            </w:r>
          </w:p>
        </w:tc>
      </w:tr>
      <w:tr w:rsidR="0041777C" w14:paraId="2CF1A3BA" w14:textId="77777777">
        <w:trPr>
          <w:jc w:val="center"/>
        </w:trPr>
        <w:tc>
          <w:tcPr>
            <w:tcW w:w="2059" w:type="dxa"/>
            <w:tcBorders>
              <w:top w:val="nil"/>
              <w:left w:val="nil"/>
              <w:bottom w:val="nil"/>
              <w:right w:val="nil"/>
            </w:tcBorders>
          </w:tcPr>
          <w:p w14:paraId="39B75F32" w14:textId="77777777" w:rsidR="0041777C" w:rsidRDefault="00000000">
            <w:pPr>
              <w:jc w:val="center"/>
              <w:rPr>
                <w:sz w:val="16"/>
                <w:szCs w:val="16"/>
              </w:rPr>
            </w:pPr>
            <w:r>
              <w:rPr>
                <w:sz w:val="16"/>
                <w:szCs w:val="16"/>
              </w:rPr>
              <w:t>Overall performance</w:t>
            </w:r>
          </w:p>
        </w:tc>
        <w:tc>
          <w:tcPr>
            <w:tcW w:w="1527" w:type="dxa"/>
            <w:tcBorders>
              <w:top w:val="nil"/>
              <w:left w:val="nil"/>
              <w:bottom w:val="nil"/>
              <w:right w:val="nil"/>
            </w:tcBorders>
          </w:tcPr>
          <w:p w14:paraId="4ACBD875" w14:textId="77777777" w:rsidR="0041777C" w:rsidRDefault="00000000">
            <w:pPr>
              <w:jc w:val="center"/>
            </w:pPr>
            <w:r>
              <w:t>9.87</w:t>
            </w:r>
          </w:p>
        </w:tc>
        <w:tc>
          <w:tcPr>
            <w:tcW w:w="1514" w:type="dxa"/>
            <w:tcBorders>
              <w:top w:val="nil"/>
              <w:left w:val="nil"/>
              <w:bottom w:val="nil"/>
              <w:right w:val="nil"/>
            </w:tcBorders>
          </w:tcPr>
          <w:p w14:paraId="093BCB70" w14:textId="77777777" w:rsidR="0041777C" w:rsidRDefault="00000000">
            <w:pPr>
              <w:jc w:val="center"/>
              <w:rPr>
                <w:sz w:val="16"/>
                <w:szCs w:val="16"/>
              </w:rPr>
            </w:pPr>
            <w:r>
              <w:rPr>
                <w:sz w:val="16"/>
                <w:szCs w:val="16"/>
              </w:rPr>
              <w:t>&lt; .001</w:t>
            </w:r>
          </w:p>
        </w:tc>
        <w:tc>
          <w:tcPr>
            <w:tcW w:w="1865" w:type="dxa"/>
            <w:tcBorders>
              <w:top w:val="nil"/>
              <w:left w:val="nil"/>
              <w:bottom w:val="nil"/>
              <w:right w:val="nil"/>
            </w:tcBorders>
          </w:tcPr>
          <w:p w14:paraId="55F82D60" w14:textId="77777777" w:rsidR="0041777C" w:rsidRDefault="00000000">
            <w:pPr>
              <w:jc w:val="center"/>
              <w:rPr>
                <w:sz w:val="16"/>
                <w:szCs w:val="16"/>
              </w:rPr>
            </w:pPr>
            <w:r>
              <w:rPr>
                <w:sz w:val="16"/>
                <w:szCs w:val="16"/>
              </w:rPr>
              <w:t>1.01 [0.77, 1.25]</w:t>
            </w:r>
          </w:p>
        </w:tc>
      </w:tr>
    </w:tbl>
    <w:p w14:paraId="4D22E6F8" w14:textId="77777777" w:rsidR="0041777C" w:rsidRDefault="0041777C">
      <w:pPr>
        <w:jc w:val="center"/>
        <w:rPr>
          <w:lang w:val="en-GB"/>
        </w:rPr>
      </w:pPr>
    </w:p>
    <w:p w14:paraId="4F038E1C" w14:textId="72FCBB46" w:rsidR="0041777C" w:rsidRDefault="00000000">
      <w:pPr>
        <w:ind w:firstLine="720"/>
        <w:jc w:val="both"/>
        <w:rPr>
          <w:lang w:val="en-GB"/>
        </w:rPr>
      </w:pPr>
      <w:r>
        <w:rPr>
          <w:lang w:val="en-GB"/>
        </w:rPr>
        <w:t>The strongest improvements fell in idea organization (</w:t>
      </w:r>
      <w:r>
        <w:rPr>
          <w:i/>
          <w:iCs/>
          <w:lang w:val="en-GB"/>
        </w:rPr>
        <w:t xml:space="preserve">d </w:t>
      </w:r>
      <w:r>
        <w:rPr>
          <w:lang w:val="en-GB"/>
        </w:rPr>
        <w:t>= 1.15) and clarity of explanation (</w:t>
      </w:r>
      <w:r>
        <w:rPr>
          <w:i/>
          <w:iCs/>
          <w:lang w:val="en-GB"/>
        </w:rPr>
        <w:t>d</w:t>
      </w:r>
      <w:r>
        <w:rPr>
          <w:lang w:val="en-GB"/>
        </w:rPr>
        <w:t xml:space="preserve"> = 0.98), the two dimensions most directly tied to what the intervention required students to do, consistent with the directional prediction in Section 1. </w:t>
      </w:r>
      <w:r w:rsidR="00FA5EDD" w:rsidRPr="00FA5EDD">
        <w:rPr>
          <w:lang w:val="en-GB"/>
        </w:rPr>
        <w:t xml:space="preserve">When learners repeatedly re-express disciplinary content in their own </w:t>
      </w:r>
      <w:r w:rsidR="00FA5EDD" w:rsidRPr="00FA5EDD">
        <w:rPr>
          <w:lang w:val="en-GB"/>
        </w:rPr>
        <w:lastRenderedPageBreak/>
        <w:t>words without the support of presentation slides, they must retrieve, reorganize, and articulate knowledge under conditions that more closely resemble authentic academic communication. This repeated cycle likely strengthened internal representations of content structure, which may explain why gains were particularly pronounced in idea organization and explanatory clarity</w:t>
      </w:r>
      <w:r>
        <w:rPr>
          <w:lang w:val="en-GB"/>
        </w:rPr>
        <w:t>. That cycle of selection and reformulation maps closely onto what these two dimensions assess. Explanation-</w:t>
      </w:r>
      <w:proofErr w:type="spellStart"/>
      <w:r>
        <w:rPr>
          <w:lang w:val="en-GB"/>
        </w:rPr>
        <w:t>centered</w:t>
      </w:r>
      <w:proofErr w:type="spellEnd"/>
      <w:r>
        <w:rPr>
          <w:lang w:val="en-GB"/>
        </w:rPr>
        <w:t xml:space="preserve"> and video-supported speaking research supports this reading </w:t>
      </w:r>
      <w:r>
        <w:rPr>
          <w:shd w:val="clear" w:color="auto" w:fill="B2B2B2"/>
          <w:lang w:val="en-GB"/>
        </w:rPr>
        <w:t>[21]</w:t>
      </w:r>
      <w:r>
        <w:rPr>
          <w:lang w:val="en-GB"/>
        </w:rPr>
        <w:t xml:space="preserve">, </w:t>
      </w:r>
      <w:r>
        <w:rPr>
          <w:shd w:val="clear" w:color="auto" w:fill="B2B2B2"/>
          <w:lang w:val="en-GB"/>
        </w:rPr>
        <w:t>[22]</w:t>
      </w:r>
      <w:r>
        <w:rPr>
          <w:lang w:val="en-GB"/>
        </w:rPr>
        <w:t xml:space="preserve">, as does technology-mediated work showing that digital speaking tasks tend to improve proficiency when they require meaningful output rather than passive media consumption </w:t>
      </w:r>
      <w:r>
        <w:rPr>
          <w:shd w:val="clear" w:color="auto" w:fill="B2B2B2"/>
          <w:lang w:val="en-GB"/>
        </w:rPr>
        <w:t>[23]</w:t>
      </w:r>
      <w:r>
        <w:rPr>
          <w:lang w:val="en-GB"/>
        </w:rPr>
        <w:t xml:space="preserve">, </w:t>
      </w:r>
      <w:r>
        <w:rPr>
          <w:shd w:val="clear" w:color="auto" w:fill="B2B2B2"/>
          <w:lang w:val="en-GB"/>
        </w:rPr>
        <w:t>[24]</w:t>
      </w:r>
      <w:r>
        <w:rPr>
          <w:lang w:val="en-GB"/>
        </w:rPr>
        <w:t>.</w:t>
      </w:r>
    </w:p>
    <w:p w14:paraId="566FB617" w14:textId="77777777" w:rsidR="0041777C" w:rsidRDefault="00000000">
      <w:pPr>
        <w:ind w:firstLine="720"/>
        <w:jc w:val="both"/>
        <w:rPr>
          <w:lang w:val="en-GB"/>
        </w:rPr>
      </w:pPr>
      <w:r>
        <w:rPr>
          <w:lang w:val="en-GB"/>
        </w:rPr>
        <w:t>The comparatively smaller gain in responsiveness (</w:t>
      </w:r>
      <w:r>
        <w:rPr>
          <w:i/>
          <w:iCs/>
          <w:lang w:val="en-GB"/>
        </w:rPr>
        <w:t xml:space="preserve">d </w:t>
      </w:r>
      <w:r>
        <w:rPr>
          <w:lang w:val="en-GB"/>
        </w:rPr>
        <w:t xml:space="preserve">= 0.82) points to a genuine boundary of the design. The intervention prioritized individual explanation tasks delivered asynchronously; dialogic exchange, where students would need to adapt their speech in real time to a live listener, was largely absent from the cycle. Review-level evidence consistently shows that microlearning gains depend on how units are embedded in broader activity rather than on brevity alone </w:t>
      </w:r>
      <w:r>
        <w:rPr>
          <w:shd w:val="clear" w:color="auto" w:fill="B2B2B2"/>
          <w:lang w:val="en-GB"/>
        </w:rPr>
        <w:t>[9]</w:t>
      </w:r>
      <w:r>
        <w:rPr>
          <w:lang w:val="en-GB"/>
        </w:rPr>
        <w:t xml:space="preserve">, </w:t>
      </w:r>
      <w:r>
        <w:rPr>
          <w:shd w:val="clear" w:color="auto" w:fill="B2B2B2"/>
          <w:lang w:val="en-GB"/>
        </w:rPr>
        <w:t>[10]</w:t>
      </w:r>
      <w:r>
        <w:rPr>
          <w:lang w:val="en-GB"/>
        </w:rPr>
        <w:t xml:space="preserve">, </w:t>
      </w:r>
      <w:r>
        <w:rPr>
          <w:shd w:val="clear" w:color="auto" w:fill="B2B2B2"/>
          <w:lang w:val="en-GB"/>
        </w:rPr>
        <w:t>[12]</w:t>
      </w:r>
      <w:r>
        <w:rPr>
          <w:lang w:val="en-GB"/>
        </w:rPr>
        <w:t xml:space="preserve">, </w:t>
      </w:r>
      <w:r>
        <w:rPr>
          <w:shd w:val="clear" w:color="auto" w:fill="B2B2B2"/>
          <w:lang w:val="en-GB"/>
        </w:rPr>
        <w:t>[25]</w:t>
      </w:r>
      <w:r>
        <w:rPr>
          <w:lang w:val="en-GB"/>
        </w:rPr>
        <w:t xml:space="preserve">, </w:t>
      </w:r>
      <w:r>
        <w:rPr>
          <w:shd w:val="clear" w:color="auto" w:fill="B2B2B2"/>
          <w:lang w:val="en-GB"/>
        </w:rPr>
        <w:t>[26]</w:t>
      </w:r>
      <w:r>
        <w:rPr>
          <w:lang w:val="en-GB"/>
        </w:rPr>
        <w:t xml:space="preserve">, and monologue-oriented tasks are better suited to organizational control than to spontaneous interaction </w:t>
      </w:r>
      <w:r>
        <w:rPr>
          <w:shd w:val="clear" w:color="auto" w:fill="B2B2B2"/>
          <w:lang w:val="en-GB"/>
        </w:rPr>
        <w:t>[27]</w:t>
      </w:r>
      <w:r>
        <w:rPr>
          <w:lang w:val="en-GB"/>
        </w:rPr>
        <w:t>. This finding also suggests that asynchronous monologic practice, while productive for planning-oriented speaking skills, may be inherently limited in developing the adaptive, real-time communicative competence that responsiveness requires.</w:t>
      </w:r>
    </w:p>
    <w:p w14:paraId="16A97C1B" w14:textId="77777777" w:rsidR="0041777C" w:rsidRDefault="00000000">
      <w:pPr>
        <w:ind w:firstLine="720"/>
        <w:jc w:val="both"/>
        <w:rPr>
          <w:lang w:val="en-GB"/>
        </w:rPr>
      </w:pPr>
      <w:r>
        <w:rPr>
          <w:lang w:val="en-GB"/>
        </w:rPr>
        <w:t xml:space="preserve">Correlation between speaking performance and each metacognitive dimension (planning, </w:t>
      </w:r>
      <w:r>
        <w:rPr>
          <w:i/>
          <w:iCs/>
          <w:lang w:val="en-GB"/>
        </w:rPr>
        <w:t xml:space="preserve">r </w:t>
      </w:r>
      <w:r>
        <w:rPr>
          <w:lang w:val="en-GB"/>
        </w:rPr>
        <w:t xml:space="preserve">= .68; monitoring, </w:t>
      </w:r>
      <w:r>
        <w:rPr>
          <w:i/>
          <w:iCs/>
          <w:lang w:val="en-GB"/>
        </w:rPr>
        <w:t>r</w:t>
      </w:r>
      <w:r>
        <w:rPr>
          <w:lang w:val="en-GB"/>
        </w:rPr>
        <w:t xml:space="preserve"> = .54; evaluation, </w:t>
      </w:r>
      <w:r>
        <w:rPr>
          <w:i/>
          <w:iCs/>
          <w:lang w:val="en-GB"/>
        </w:rPr>
        <w:t>r</w:t>
      </w:r>
      <w:r>
        <w:rPr>
          <w:lang w:val="en-GB"/>
        </w:rPr>
        <w:t xml:space="preserve"> = .71; all p &lt; .01) suggests that regulatory improvement and speaking improvement moved together rather than independently. These are associations, not causal evidence, and the design does not support a mediation claim. The pattern is taken up further in the integrated interpretation below.</w:t>
      </w:r>
    </w:p>
    <w:p w14:paraId="7F0AD2EC" w14:textId="77777777" w:rsidR="0041777C" w:rsidRDefault="0041777C">
      <w:pPr>
        <w:ind w:firstLine="720"/>
        <w:jc w:val="both"/>
        <w:rPr>
          <w:lang w:val="en-GB"/>
        </w:rPr>
      </w:pPr>
    </w:p>
    <w:p w14:paraId="5D4AB400" w14:textId="77777777" w:rsidR="0041777C" w:rsidRDefault="00000000">
      <w:pPr>
        <w:jc w:val="both"/>
        <w:rPr>
          <w:lang w:val="en-GB"/>
        </w:rPr>
      </w:pPr>
      <w:r>
        <w:rPr>
          <w:b/>
          <w:bCs/>
          <w:lang w:val="en-GB"/>
        </w:rPr>
        <w:t>3.3. Student perceptions of the design</w:t>
      </w:r>
    </w:p>
    <w:p w14:paraId="15E83F0A" w14:textId="77777777" w:rsidR="0041777C" w:rsidRDefault="00000000">
      <w:pPr>
        <w:ind w:firstLine="720"/>
        <w:jc w:val="both"/>
        <w:rPr>
          <w:lang w:val="en-GB"/>
        </w:rPr>
      </w:pPr>
      <w:r>
        <w:rPr>
          <w:lang w:val="en-GB"/>
        </w:rPr>
        <w:t>Beyond the performance and regulation data, students were asked how they perceived the design. Perceived usefulness averaged M = 4.23 (SD = 0.71), cognitive engagement M = 4.15 (SD = 0.76), and instructional clarity M = 4.08 (SD = 0.79). The ratings were uniformly high, but the open-ended responses provide more specific insight into what may have driven them.</w:t>
      </w:r>
    </w:p>
    <w:p w14:paraId="09C730B6" w14:textId="77777777" w:rsidR="0041777C" w:rsidRDefault="00000000">
      <w:pPr>
        <w:ind w:firstLine="720"/>
        <w:jc w:val="both"/>
        <w:rPr>
          <w:lang w:val="en-GB"/>
        </w:rPr>
      </w:pPr>
      <w:r>
        <w:rPr>
          <w:lang w:val="en-GB"/>
        </w:rPr>
        <w:t>Open-ended responses were coded following the procedures described in Section 2.3. Three themes emerged from the analysis:</w:t>
      </w:r>
    </w:p>
    <w:p w14:paraId="39A473EF" w14:textId="77777777" w:rsidR="0041777C" w:rsidRDefault="0041777C">
      <w:pPr>
        <w:ind w:firstLine="720"/>
        <w:jc w:val="both"/>
        <w:rPr>
          <w:lang w:val="en-GB"/>
        </w:rPr>
      </w:pPr>
    </w:p>
    <w:p w14:paraId="75006C0A" w14:textId="77777777" w:rsidR="0041777C" w:rsidRDefault="00000000">
      <w:pPr>
        <w:ind w:firstLine="720"/>
        <w:jc w:val="both"/>
        <w:rPr>
          <w:lang w:val="en-GB"/>
        </w:rPr>
      </w:pPr>
      <w:r>
        <w:rPr>
          <w:b/>
          <w:bCs/>
          <w:lang w:val="en-GB"/>
        </w:rPr>
        <w:t>3.3.1 Manageability of short modules</w:t>
      </w:r>
    </w:p>
    <w:p w14:paraId="2C3DC221" w14:textId="77777777" w:rsidR="0041777C" w:rsidRDefault="00000000">
      <w:pPr>
        <w:ind w:firstLine="720"/>
        <w:jc w:val="both"/>
        <w:rPr>
          <w:lang w:val="en-GB"/>
        </w:rPr>
      </w:pPr>
      <w:r>
        <w:rPr>
          <w:lang w:val="en-GB"/>
        </w:rPr>
        <w:t xml:space="preserve">Students consistently described the brief format as reducing the sense of overwhelm associated with longer lecture-based speaking instruction. One participant wrote: </w:t>
      </w:r>
      <w:r>
        <w:rPr>
          <w:i/>
          <w:iCs/>
          <w:lang w:val="en-GB"/>
        </w:rPr>
        <w:t>"I didn't feel pressured because the video was short. I could focus on one idea before moving on."</w:t>
      </w:r>
      <w:r>
        <w:rPr>
          <w:lang w:val="en-GB"/>
        </w:rPr>
        <w:t xml:space="preserve"> Another noted: </w:t>
      </w:r>
      <w:r>
        <w:rPr>
          <w:i/>
          <w:iCs/>
          <w:lang w:val="en-GB"/>
        </w:rPr>
        <w:t>"The short format made it easier to concentrate. When I watch long lectures, I lose focus halfway."</w:t>
      </w:r>
    </w:p>
    <w:p w14:paraId="584D47A0" w14:textId="77777777" w:rsidR="0041777C" w:rsidRDefault="0041777C">
      <w:pPr>
        <w:ind w:firstLine="720"/>
        <w:jc w:val="both"/>
        <w:rPr>
          <w:lang w:val="en-GB"/>
        </w:rPr>
      </w:pPr>
    </w:p>
    <w:p w14:paraId="27C1A496" w14:textId="77777777" w:rsidR="0041777C" w:rsidRDefault="00000000">
      <w:pPr>
        <w:ind w:firstLine="720"/>
        <w:jc w:val="both"/>
        <w:rPr>
          <w:b/>
          <w:bCs/>
          <w:lang w:val="en-GB"/>
        </w:rPr>
      </w:pPr>
      <w:r>
        <w:rPr>
          <w:b/>
          <w:bCs/>
          <w:lang w:val="en-GB"/>
        </w:rPr>
        <w:t>3.3.2 Explanation as a metacognitive trigger</w:t>
      </w:r>
    </w:p>
    <w:p w14:paraId="4AD3D1B4" w14:textId="20B5ECD6" w:rsidR="0041777C" w:rsidRDefault="00000000">
      <w:pPr>
        <w:ind w:firstLine="720"/>
        <w:jc w:val="both"/>
        <w:rPr>
          <w:lang w:val="en-GB"/>
        </w:rPr>
      </w:pPr>
      <w:r>
        <w:rPr>
          <w:lang w:val="en-GB"/>
        </w:rPr>
        <w:t xml:space="preserve">The oral explanation task was frequently described not merely as speaking practice but as a moment of self-confrontation with understanding gaps. A representative response: </w:t>
      </w:r>
      <w:r>
        <w:rPr>
          <w:i/>
          <w:iCs/>
          <w:lang w:val="en-GB"/>
        </w:rPr>
        <w:t>"When I explained the material aloud, I realized I actually did not fully understand the concept during the video session. Saying it in my own words forced me to think again."</w:t>
      </w:r>
      <w:r>
        <w:rPr>
          <w:lang w:val="en-GB"/>
        </w:rPr>
        <w:t xml:space="preserve"> Another student commented: </w:t>
      </w:r>
      <w:r>
        <w:rPr>
          <w:i/>
          <w:iCs/>
          <w:lang w:val="en-GB"/>
        </w:rPr>
        <w:t>"I thought I understood, but when I had to explain it on camera, I found I could not organize my ideas clearly."</w:t>
      </w:r>
      <w:r w:rsidR="00BF0C59">
        <w:rPr>
          <w:i/>
          <w:iCs/>
          <w:lang w:val="en-GB"/>
        </w:rPr>
        <w:t xml:space="preserve"> </w:t>
      </w:r>
      <w:r w:rsidR="00BF0C59" w:rsidRPr="00BF0C59">
        <w:rPr>
          <w:lang w:val="en-GB"/>
        </w:rPr>
        <w:t>Interestingly, many students described moments of difficulty during explanation as productive rather than discouraging. Several participants reported discovering gaps in understanding only when they attempted to explain concepts aloud. This pattern is consistent with generative learning perspectives suggesting that explanation activities reveal incomplete understanding and stimulate deeper processing.</w:t>
      </w:r>
    </w:p>
    <w:p w14:paraId="3B20BD9C" w14:textId="77777777" w:rsidR="0041777C" w:rsidRDefault="0041777C">
      <w:pPr>
        <w:ind w:firstLine="720"/>
        <w:jc w:val="both"/>
        <w:rPr>
          <w:lang w:val="en-GB"/>
        </w:rPr>
      </w:pPr>
    </w:p>
    <w:p w14:paraId="7216CDA1" w14:textId="77777777" w:rsidR="0041777C" w:rsidRDefault="00000000">
      <w:pPr>
        <w:ind w:firstLine="720"/>
        <w:jc w:val="both"/>
        <w:rPr>
          <w:lang w:val="en-GB"/>
        </w:rPr>
      </w:pPr>
      <w:r>
        <w:rPr>
          <w:b/>
          <w:bCs/>
          <w:lang w:val="en-GB"/>
        </w:rPr>
        <w:t>3.3.3 Reflection prompts supporting deliberate preparation</w:t>
      </w:r>
    </w:p>
    <w:p w14:paraId="6FDB9006" w14:textId="77777777" w:rsidR="0041777C" w:rsidRDefault="00000000">
      <w:pPr>
        <w:ind w:firstLine="720"/>
        <w:jc w:val="both"/>
        <w:rPr>
          <w:lang w:val="en-GB"/>
        </w:rPr>
      </w:pPr>
      <w:r>
        <w:rPr>
          <w:lang w:val="en-GB"/>
        </w:rPr>
        <w:t xml:space="preserve">Students reported that the structured reflection sequence helped them approach subsequent speaking tasks with more intentionality. One participant stated: </w:t>
      </w:r>
      <w:r>
        <w:rPr>
          <w:i/>
          <w:iCs/>
          <w:lang w:val="en-GB"/>
        </w:rPr>
        <w:t>"The reflection questions made me think about what I did wrong and what I should do differently next time. Before this, I never thought about how I speak."</w:t>
      </w:r>
      <w:r>
        <w:rPr>
          <w:lang w:val="en-GB"/>
        </w:rPr>
        <w:t xml:space="preserve"> Another added: </w:t>
      </w:r>
      <w:r>
        <w:rPr>
          <w:i/>
          <w:iCs/>
          <w:lang w:val="en-GB"/>
        </w:rPr>
        <w:t>"After answering the reflection prompts, I started planning what to say before recording instead of just talking."</w:t>
      </w:r>
    </w:p>
    <w:p w14:paraId="55311DCE" w14:textId="77777777" w:rsidR="0041777C" w:rsidRDefault="0041777C">
      <w:pPr>
        <w:ind w:firstLine="720"/>
        <w:jc w:val="both"/>
        <w:rPr>
          <w:lang w:val="en-GB"/>
        </w:rPr>
      </w:pPr>
    </w:p>
    <w:p w14:paraId="585149C4" w14:textId="77777777" w:rsidR="0041777C" w:rsidRDefault="00000000">
      <w:pPr>
        <w:ind w:firstLine="720"/>
        <w:jc w:val="both"/>
        <w:rPr>
          <w:lang w:val="en-GB"/>
        </w:rPr>
      </w:pPr>
      <w:r>
        <w:rPr>
          <w:lang w:val="en-GB"/>
        </w:rPr>
        <w:t>What is notable across these themes is their specificity. Students were not describing general satisfaction with a digital platform; they were identifying the structural features of the design in terms that closely match the design's theoretical rationale. That alignment between perceived mechanism and intended mechanism gives the quantitative gains a clearer interpretive grounding.</w:t>
      </w:r>
    </w:p>
    <w:p w14:paraId="4187CD8D" w14:textId="77777777" w:rsidR="0041777C" w:rsidRDefault="0041777C">
      <w:pPr>
        <w:ind w:firstLine="720"/>
        <w:jc w:val="both"/>
        <w:rPr>
          <w:lang w:val="en-GB"/>
        </w:rPr>
      </w:pPr>
    </w:p>
    <w:p w14:paraId="11E582E7" w14:textId="77777777" w:rsidR="0041777C" w:rsidRDefault="00000000">
      <w:pPr>
        <w:jc w:val="both"/>
        <w:rPr>
          <w:lang w:val="en-GB"/>
        </w:rPr>
      </w:pPr>
      <w:r>
        <w:rPr>
          <w:b/>
          <w:bCs/>
          <w:lang w:val="en-GB"/>
        </w:rPr>
        <w:t>3.4 Integrated interpretation</w:t>
      </w:r>
    </w:p>
    <w:p w14:paraId="2CDB81E1" w14:textId="77777777" w:rsidR="0041777C" w:rsidRDefault="00000000">
      <w:pPr>
        <w:ind w:firstLine="720"/>
        <w:jc w:val="both"/>
        <w:rPr>
          <w:lang w:val="en-GB"/>
        </w:rPr>
      </w:pPr>
      <w:r>
        <w:rPr>
          <w:lang w:val="en-GB"/>
        </w:rPr>
        <w:t xml:space="preserve">Reading the three sets of findings alongside each other sharpens the picture. Metacognitive gains were largest in the dimensions tied to before and after </w:t>
      </w:r>
      <w:proofErr w:type="gramStart"/>
      <w:r>
        <w:rPr>
          <w:lang w:val="en-GB"/>
        </w:rPr>
        <w:t>speaking:</w:t>
      </w:r>
      <w:proofErr w:type="gramEnd"/>
      <w:r>
        <w:rPr>
          <w:lang w:val="en-GB"/>
        </w:rPr>
        <w:t xml:space="preserve"> planning and evaluation. Speaking gains were largest in the dimensions most dependent on knowing what to say and how to frame it: organization and explanatory clarity. These patterns mirror each other structurally, and the correlation between evaluation and speaking performance (</w:t>
      </w:r>
      <w:r>
        <w:rPr>
          <w:i/>
          <w:iCs/>
          <w:lang w:val="en-GB"/>
        </w:rPr>
        <w:t xml:space="preserve">r </w:t>
      </w:r>
      <w:r>
        <w:rPr>
          <w:lang w:val="en-GB"/>
        </w:rPr>
        <w:t>= .71) suggests they were not independent: students who improved most in post-task regulatory review were also those who showed the strongest gains in how they organized and delivered their explanations. The observed gains are consistent with the proposed instructional logic in which the repeated cycle of reorganization, expression, and reflection provides students with progressively clearer internal models of what a well-explained idea sounds like.</w:t>
      </w:r>
    </w:p>
    <w:p w14:paraId="7C1263C9" w14:textId="77777777" w:rsidR="0041777C" w:rsidRDefault="00000000">
      <w:pPr>
        <w:ind w:firstLine="720"/>
        <w:jc w:val="both"/>
        <w:rPr>
          <w:lang w:val="en-GB"/>
        </w:rPr>
      </w:pPr>
      <w:r>
        <w:rPr>
          <w:lang w:val="en-GB"/>
        </w:rPr>
        <w:t>That interpretation must be stated within honest limits. The study ran in a single institutional context within one disciplinary program, relied on self-report for metacognitive regulation, and used a one-group pre-post design without a comparison condition. Without a control group, it is not possible to rule out maturation, concurrent course effects, novelty effects from the digital platform, or other influences on performance; the correlational associations do not establish mediation. There is also a risk that some reflection responses may have been superficial rather than genuinely regulatory, a limitation inherent to prompt-based metacognitive scaffolding that this design cannot fully assess. Additionally, the asynchronous monologic mode constrains generalizability to interactive speaking contexts. What the study can defensibly claim is that substantial gains in both metacognitive regulation and academic speaking appeared under conditions where microlearning was coupled with generative explanation and explicit metacognitive scaffolding, and that students described the mechanism in terms consistent with how the design was theorized. That is a meaningful but bounded finding. Whether this design outperforms alternative instructional arrangements, and whether gains hold across different populations, disciplines, and longer timeframes, are questions that require controlled and more sustained investigation.</w:t>
      </w:r>
    </w:p>
    <w:p w14:paraId="688B080F" w14:textId="77777777" w:rsidR="0041777C" w:rsidRDefault="0041777C">
      <w:pPr>
        <w:jc w:val="both"/>
        <w:rPr>
          <w:lang w:val="en-GB"/>
        </w:rPr>
      </w:pPr>
    </w:p>
    <w:p w14:paraId="38C112F9" w14:textId="77777777" w:rsidR="0041777C" w:rsidRDefault="0041777C">
      <w:pPr>
        <w:rPr>
          <w:lang w:val="en-GB"/>
        </w:rPr>
      </w:pPr>
    </w:p>
    <w:p w14:paraId="6201A708" w14:textId="77777777" w:rsidR="0041777C" w:rsidRDefault="00000000">
      <w:pPr>
        <w:numPr>
          <w:ilvl w:val="0"/>
          <w:numId w:val="4"/>
        </w:numPr>
        <w:tabs>
          <w:tab w:val="left" w:pos="426"/>
        </w:tabs>
        <w:ind w:left="426" w:hanging="426"/>
        <w:rPr>
          <w:lang w:val="en-GB"/>
        </w:rPr>
      </w:pPr>
      <w:r>
        <w:rPr>
          <w:b/>
          <w:bCs/>
          <w:lang w:val="en-GB"/>
        </w:rPr>
        <w:t>CONCLUSION</w:t>
      </w:r>
    </w:p>
    <w:p w14:paraId="7471D02B" w14:textId="077278DF" w:rsidR="0041777C" w:rsidRDefault="00000000">
      <w:pPr>
        <w:ind w:firstLine="709"/>
        <w:jc w:val="both"/>
        <w:rPr>
          <w:lang w:val="en-GB"/>
        </w:rPr>
      </w:pPr>
      <w:r>
        <w:rPr>
          <w:lang w:val="en-GB"/>
        </w:rPr>
        <w:t>Substantial pre-post gains were observed across multiple dimensions of metacognitive regulation and academic speaking performance. The more informative finding, however, is the pattern within them. Planning and evaluation improved more than monitoring; idea organization and explanatory clarity improved more than responsiveness. This distribution is not random; it tracks the structure of the intervention. The design applied deliberate pressure to pre-task organization, post-task review, and the specific demands of formulating and expressing a coherent explanation aloud. The dimensions that showed the largest gains were those the intervention was built to target.</w:t>
      </w:r>
      <w:r w:rsidR="005E2E9D">
        <w:rPr>
          <w:lang w:val="en-GB"/>
        </w:rPr>
        <w:t xml:space="preserve"> </w:t>
      </w:r>
      <w:r w:rsidR="005E2E9D" w:rsidRPr="005E2E9D">
        <w:rPr>
          <w:lang w:val="en-GB"/>
        </w:rPr>
        <w:t>Because the intervention combined several instructional components, including microlearning, explanation, retrieval-based speaking practice, and metacognitive reflection, the present design cannot isolate the relative contribution of each element. Future studies employing factorial or comparison-group designs may help determine which components are most influential in producing speaking gains.</w:t>
      </w:r>
    </w:p>
    <w:p w14:paraId="4D4C01E6" w14:textId="175BD82B" w:rsidR="0041777C" w:rsidRDefault="00000000" w:rsidP="008A6991">
      <w:pPr>
        <w:ind w:firstLine="709"/>
        <w:jc w:val="both"/>
        <w:rPr>
          <w:lang w:val="en-GB"/>
        </w:rPr>
      </w:pPr>
      <w:r>
        <w:rPr>
          <w:lang w:val="en-GB"/>
        </w:rPr>
        <w:t>The practical implication is narrower than a general endorsement of microlearning for speaking. Short content units alone are unlikely to produce this kind of gain.</w:t>
      </w:r>
      <w:r w:rsidR="008A6991">
        <w:rPr>
          <w:lang w:val="en-GB"/>
        </w:rPr>
        <w:t xml:space="preserve"> </w:t>
      </w:r>
      <w:r w:rsidR="008A6991" w:rsidRPr="008A6991">
        <w:rPr>
          <w:lang w:val="en-GB"/>
        </w:rPr>
        <w:t>What appears to matter is not merely the brevity of instructional input but the cognitive work that follows it. Learners were required to retrieve, reorganize, explain, and evaluate knowledge repeatedly across eight weeks. Under these conditions, microlearning functioned less as a delivery mechanism and more as the entry point to a structured cycle of generative speaking practice and metacognitive regulation</w:t>
      </w:r>
      <w:r w:rsidR="008A6991">
        <w:rPr>
          <w:lang w:val="en-GB"/>
        </w:rPr>
        <w:t>;</w:t>
      </w:r>
      <w:r>
        <w:rPr>
          <w:lang w:val="en-GB"/>
        </w:rPr>
        <w:t xml:space="preserve"> whether they must reorganize it, express it in their own spoken words, and then evaluate how well their explanation worked. Under those conditions, microlearning may stop functioning as a delivery format and begin operating as the first step in a generative cycle. That is the design proposition this study advances, and it is a testable one.</w:t>
      </w:r>
      <w:r w:rsidR="00691A14">
        <w:rPr>
          <w:lang w:val="en-GB"/>
        </w:rPr>
        <w:t xml:space="preserve"> </w:t>
      </w:r>
    </w:p>
    <w:p w14:paraId="77F1AD31" w14:textId="77777777" w:rsidR="0041777C" w:rsidRDefault="00000000">
      <w:pPr>
        <w:ind w:firstLine="709"/>
        <w:jc w:val="both"/>
        <w:rPr>
          <w:lang w:val="en-GB"/>
        </w:rPr>
      </w:pPr>
      <w:r>
        <w:rPr>
          <w:lang w:val="en-GB"/>
        </w:rPr>
        <w:t xml:space="preserve">The single-context, no-control design limits how far that proposition can currently travel. Replication in more varied settings, with longer durations, more interactive speaking tasks, and a comparison condition, is the clear next step, one that would allow stronger statements about relative effectiveness rather than pre-post change alone. For now, the evidence provides university speaking instructors with a structured and theoretically grounded model: one that takes the communicative competences that Indonesian national curriculum standards now formally require </w:t>
      </w:r>
      <w:r>
        <w:rPr>
          <w:shd w:val="clear" w:color="auto" w:fill="B2B2B2"/>
          <w:lang w:val="en-GB"/>
        </w:rPr>
        <w:t xml:space="preserve">[1] </w:t>
      </w:r>
      <w:r>
        <w:rPr>
          <w:lang w:val="en-GB"/>
        </w:rPr>
        <w:t>and offers a concrete instructional path for building them.</w:t>
      </w:r>
    </w:p>
    <w:p w14:paraId="0D8E2C70" w14:textId="77777777" w:rsidR="0041777C" w:rsidRDefault="0041777C">
      <w:pPr>
        <w:ind w:firstLine="709"/>
        <w:jc w:val="both"/>
        <w:rPr>
          <w:lang w:val="en-GB"/>
        </w:rPr>
      </w:pPr>
    </w:p>
    <w:p w14:paraId="224B6D13" w14:textId="77777777" w:rsidR="0041777C" w:rsidRDefault="0041777C">
      <w:pPr>
        <w:rPr>
          <w:b/>
          <w:bCs/>
          <w:lang w:val="en-GB"/>
        </w:rPr>
      </w:pPr>
    </w:p>
    <w:p w14:paraId="42A44812" w14:textId="77777777" w:rsidR="0041777C" w:rsidRDefault="00000000">
      <w:pPr>
        <w:jc w:val="both"/>
        <w:rPr>
          <w:lang w:val="en-GB"/>
        </w:rPr>
      </w:pPr>
      <w:r>
        <w:rPr>
          <w:b/>
          <w:bCs/>
          <w:lang w:val="en-GB"/>
        </w:rPr>
        <w:t>ACKNOWLEDGMENTS</w:t>
      </w:r>
    </w:p>
    <w:p w14:paraId="336DB009" w14:textId="77777777" w:rsidR="0041777C" w:rsidRDefault="00000000">
      <w:pPr>
        <w:tabs>
          <w:tab w:val="left" w:pos="284"/>
          <w:tab w:val="left" w:pos="426"/>
        </w:tabs>
        <w:jc w:val="both"/>
        <w:rPr>
          <w:lang w:val="en-GB"/>
        </w:rPr>
      </w:pPr>
      <w:r>
        <w:rPr>
          <w:lang w:val="en-GB"/>
        </w:rPr>
        <w:tab/>
        <w:t xml:space="preserve">The authors would like to thank IKIP </w:t>
      </w:r>
      <w:proofErr w:type="spellStart"/>
      <w:r>
        <w:rPr>
          <w:lang w:val="en-GB"/>
        </w:rPr>
        <w:t>Siliwangi</w:t>
      </w:r>
      <w:proofErr w:type="spellEnd"/>
      <w:r>
        <w:rPr>
          <w:lang w:val="en-GB"/>
        </w:rPr>
        <w:t xml:space="preserve">, particularly the Lembaga </w:t>
      </w:r>
      <w:proofErr w:type="spellStart"/>
      <w:r>
        <w:rPr>
          <w:lang w:val="en-GB"/>
        </w:rPr>
        <w:t>Penelitian</w:t>
      </w:r>
      <w:proofErr w:type="spellEnd"/>
      <w:r>
        <w:rPr>
          <w:lang w:val="en-GB"/>
        </w:rPr>
        <w:t xml:space="preserve"> dan </w:t>
      </w:r>
      <w:proofErr w:type="spellStart"/>
      <w:r>
        <w:rPr>
          <w:lang w:val="en-GB"/>
        </w:rPr>
        <w:t>Pengabdian</w:t>
      </w:r>
      <w:proofErr w:type="spellEnd"/>
      <w:r>
        <w:rPr>
          <w:lang w:val="en-GB"/>
        </w:rPr>
        <w:t xml:space="preserve"> </w:t>
      </w:r>
      <w:proofErr w:type="spellStart"/>
      <w:r>
        <w:rPr>
          <w:lang w:val="en-GB"/>
        </w:rPr>
        <w:t>kepada</w:t>
      </w:r>
      <w:proofErr w:type="spellEnd"/>
      <w:r>
        <w:rPr>
          <w:lang w:val="en-GB"/>
        </w:rPr>
        <w:t xml:space="preserve"> Masyarakat (LPPM), for their institutional cooperation and academic support during the data </w:t>
      </w:r>
      <w:r>
        <w:rPr>
          <w:lang w:val="en-GB"/>
        </w:rPr>
        <w:lastRenderedPageBreak/>
        <w:t xml:space="preserve">collection process. The authors also sincerely thank the lecturer participants and student respondents for their valuable time, experiences, and perspectives, which contributed significantly to the completion of this study.    </w:t>
      </w:r>
    </w:p>
    <w:p w14:paraId="1207066A" w14:textId="77777777" w:rsidR="0041777C" w:rsidRDefault="0041777C">
      <w:pPr>
        <w:jc w:val="both"/>
        <w:rPr>
          <w:b/>
          <w:bCs/>
          <w:lang w:val="en-GB"/>
        </w:rPr>
      </w:pPr>
    </w:p>
    <w:p w14:paraId="328DCC60" w14:textId="77777777" w:rsidR="0041777C" w:rsidRDefault="00000000">
      <w:pPr>
        <w:jc w:val="both"/>
        <w:rPr>
          <w:lang w:val="en-GB"/>
        </w:rPr>
      </w:pPr>
      <w:r>
        <w:rPr>
          <w:b/>
          <w:bCs/>
          <w:lang w:val="en-GB"/>
        </w:rPr>
        <w:t>FUNDING INFORMATION</w:t>
      </w:r>
    </w:p>
    <w:p w14:paraId="04E65DBD" w14:textId="77777777" w:rsidR="0041777C" w:rsidRDefault="00000000">
      <w:pPr>
        <w:tabs>
          <w:tab w:val="left" w:pos="284"/>
          <w:tab w:val="left" w:pos="426"/>
        </w:tabs>
        <w:jc w:val="both"/>
        <w:rPr>
          <w:lang w:val="en-GB"/>
        </w:rPr>
      </w:pPr>
      <w:r>
        <w:rPr>
          <w:lang w:val="en-GB"/>
        </w:rPr>
        <w:tab/>
        <w:t xml:space="preserve">This research was funded by the </w:t>
      </w:r>
      <w:proofErr w:type="spellStart"/>
      <w:r>
        <w:rPr>
          <w:lang w:val="en-GB"/>
        </w:rPr>
        <w:t>Anggaran</w:t>
      </w:r>
      <w:proofErr w:type="spellEnd"/>
      <w:r>
        <w:rPr>
          <w:lang w:val="en-GB"/>
        </w:rPr>
        <w:t xml:space="preserve"> </w:t>
      </w:r>
      <w:proofErr w:type="spellStart"/>
      <w:r>
        <w:rPr>
          <w:lang w:val="en-GB"/>
        </w:rPr>
        <w:t>Pendapatan</w:t>
      </w:r>
      <w:proofErr w:type="spellEnd"/>
      <w:r>
        <w:rPr>
          <w:lang w:val="en-GB"/>
        </w:rPr>
        <w:t xml:space="preserve"> dan </w:t>
      </w:r>
      <w:proofErr w:type="spellStart"/>
      <w:r>
        <w:rPr>
          <w:lang w:val="en-GB"/>
        </w:rPr>
        <w:t>Belanja</w:t>
      </w:r>
      <w:proofErr w:type="spellEnd"/>
      <w:r>
        <w:rPr>
          <w:lang w:val="en-GB"/>
        </w:rPr>
        <w:t xml:space="preserve"> Negara (APBN) through the Pusat </w:t>
      </w:r>
      <w:proofErr w:type="spellStart"/>
      <w:r>
        <w:rPr>
          <w:lang w:val="en-GB"/>
        </w:rPr>
        <w:t>Pembiayaan</w:t>
      </w:r>
      <w:proofErr w:type="spellEnd"/>
      <w:r>
        <w:rPr>
          <w:lang w:val="en-GB"/>
        </w:rPr>
        <w:t xml:space="preserve"> dan Asesmen Pendidikan Tinggi (PPAPT) under the 2025 Domestic Doctoral Study Completion Scholarship Programme (</w:t>
      </w:r>
      <w:proofErr w:type="spellStart"/>
      <w:r>
        <w:rPr>
          <w:lang w:val="en-GB"/>
        </w:rPr>
        <w:t>Beasiswa</w:t>
      </w:r>
      <w:proofErr w:type="spellEnd"/>
      <w:r>
        <w:rPr>
          <w:lang w:val="en-GB"/>
        </w:rPr>
        <w:t xml:space="preserve"> Program </w:t>
      </w:r>
      <w:proofErr w:type="spellStart"/>
      <w:r>
        <w:rPr>
          <w:lang w:val="en-GB"/>
        </w:rPr>
        <w:t>Doktor</w:t>
      </w:r>
      <w:proofErr w:type="spellEnd"/>
      <w:r>
        <w:rPr>
          <w:lang w:val="en-GB"/>
        </w:rPr>
        <w:t xml:space="preserve"> </w:t>
      </w:r>
      <w:proofErr w:type="spellStart"/>
      <w:r>
        <w:rPr>
          <w:lang w:val="en-GB"/>
        </w:rPr>
        <w:t>Penyelesaian</w:t>
      </w:r>
      <w:proofErr w:type="spellEnd"/>
      <w:r>
        <w:rPr>
          <w:lang w:val="en-GB"/>
        </w:rPr>
        <w:t xml:space="preserve"> Studi di </w:t>
      </w:r>
      <w:proofErr w:type="spellStart"/>
      <w:r>
        <w:rPr>
          <w:lang w:val="en-GB"/>
        </w:rPr>
        <w:t>Dalam</w:t>
      </w:r>
      <w:proofErr w:type="spellEnd"/>
      <w:r>
        <w:rPr>
          <w:lang w:val="en-GB"/>
        </w:rPr>
        <w:t xml:space="preserve"> Negeri </w:t>
      </w:r>
      <w:proofErr w:type="spellStart"/>
      <w:r>
        <w:rPr>
          <w:lang w:val="en-GB"/>
        </w:rPr>
        <w:t>Tahun</w:t>
      </w:r>
      <w:proofErr w:type="spellEnd"/>
      <w:r>
        <w:rPr>
          <w:lang w:val="en-GB"/>
        </w:rPr>
        <w:t xml:space="preserve"> 2025).</w:t>
      </w:r>
    </w:p>
    <w:p w14:paraId="14A6CD7E" w14:textId="77777777" w:rsidR="0041777C" w:rsidRDefault="0041777C">
      <w:pPr>
        <w:tabs>
          <w:tab w:val="left" w:pos="284"/>
          <w:tab w:val="left" w:pos="426"/>
        </w:tabs>
        <w:ind w:firstLine="709"/>
        <w:jc w:val="both"/>
        <w:rPr>
          <w:lang w:val="en-GB"/>
        </w:rPr>
      </w:pPr>
    </w:p>
    <w:p w14:paraId="5E26063B" w14:textId="77777777" w:rsidR="0041777C" w:rsidRDefault="0041777C">
      <w:pPr>
        <w:tabs>
          <w:tab w:val="left" w:pos="284"/>
          <w:tab w:val="left" w:pos="426"/>
        </w:tabs>
        <w:ind w:firstLine="709"/>
        <w:jc w:val="both"/>
        <w:rPr>
          <w:lang w:val="en-GB"/>
        </w:rPr>
      </w:pPr>
    </w:p>
    <w:p w14:paraId="73C9ECC2" w14:textId="77777777" w:rsidR="0041777C" w:rsidRDefault="00000000">
      <w:pPr>
        <w:jc w:val="both"/>
        <w:rPr>
          <w:lang w:val="en-GB"/>
        </w:rPr>
      </w:pPr>
      <w:r>
        <w:rPr>
          <w:b/>
          <w:bCs/>
          <w:lang w:val="en-GB"/>
        </w:rPr>
        <w:t>AUTHOR CONTRIBUTIONS STATEMENT</w:t>
      </w:r>
    </w:p>
    <w:p w14:paraId="248CBAD3" w14:textId="77777777" w:rsidR="0041777C" w:rsidRDefault="00000000">
      <w:pPr>
        <w:tabs>
          <w:tab w:val="left" w:pos="284"/>
          <w:tab w:val="left" w:pos="426"/>
        </w:tabs>
        <w:ind w:firstLine="709"/>
        <w:jc w:val="both"/>
        <w:rPr>
          <w:lang w:val="en-GB"/>
        </w:rPr>
      </w:pPr>
      <w:proofErr w:type="spellStart"/>
      <w:proofErr w:type="spellEnd"/>
      <w:r>
        <w:rPr>
          <w:lang w:val="en-GB"/>
        </w:rPr>
        <w:t>Author contributions: Conceptualization, R.B.P., N.S., and S.Z.; Methodology, R.B.P. and N.S.; Software, R.B.P., S.Z., and A.S.Y.; Validation, R.B.P., N.S., and S.Z.; Formal analysis, R.B.P. and A.S.Y.; Investigation, R.B.P., N.S., and A.S.Y.; Resources, S.Z.; Data curation, R.B.P., S.Z., and A.S.Y.; Writing - original draft, R.B.P.; Writing - review and editing, N.S. and S.Z.; Visualization, R.B.P., N.S., and S.Z.; Supervision, N.S.; Project administration, R.B.P., S.Z., and A.S.Y.; Funding acquisition, R.B.P.</w:t>
      </w:r>
    </w:p>
    <w:p w14:paraId="45E7FD4E" w14:textId="77777777" w:rsidR="0041777C" w:rsidRDefault="0041777C">
      <w:pPr>
        <w:tabs>
          <w:tab w:val="left" w:pos="284"/>
          <w:tab w:val="left" w:pos="426"/>
        </w:tabs>
        <w:jc w:val="both"/>
        <w:rPr>
          <w:lang w:val="en-GB"/>
        </w:rPr>
      </w:pPr>
    </w:p>
    <w:tbl>
      <w:tblPr>
        <w:tblStyle w:val="TableGrid"/>
        <w:tblW w:w="8778" w:type="dxa"/>
        <w:jc w:val="center"/>
        <w:tblLayout w:type="fixed"/>
        <w:tblLook w:val="04A0" w:firstRow="1" w:lastRow="0" w:firstColumn="1" w:lastColumn="0" w:noHBand="0" w:noVBand="1"/>
      </w:tblPr>
      <w:tblGrid>
        <w:gridCol w:w="2104"/>
        <w:gridCol w:w="474"/>
        <w:gridCol w:w="474"/>
        <w:gridCol w:w="482"/>
        <w:gridCol w:w="488"/>
        <w:gridCol w:w="486"/>
        <w:gridCol w:w="470"/>
        <w:gridCol w:w="466"/>
        <w:gridCol w:w="474"/>
        <w:gridCol w:w="467"/>
        <w:gridCol w:w="473"/>
        <w:gridCol w:w="476"/>
        <w:gridCol w:w="487"/>
        <w:gridCol w:w="468"/>
        <w:gridCol w:w="489"/>
      </w:tblGrid>
      <w:tr w:rsidR="0041777C" w14:paraId="1C2B9699" w14:textId="77777777">
        <w:trPr>
          <w:jc w:val="center"/>
        </w:trPr>
        <w:tc>
          <w:tcPr>
            <w:tcW w:w="2104" w:type="dxa"/>
          </w:tcPr>
          <w:p w14:paraId="6FED6C34" w14:textId="77777777" w:rsidR="0041777C" w:rsidRDefault="00000000">
            <w:pPr>
              <w:jc w:val="both"/>
              <w:rPr>
                <w:lang w:val="en-GB"/>
              </w:rPr>
            </w:pPr>
            <w:r>
              <w:rPr>
                <w:b/>
                <w:bCs/>
                <w:lang w:val="en-GB"/>
              </w:rPr>
              <w:t>Name of Author</w:t>
            </w:r>
          </w:p>
        </w:tc>
        <w:tc>
          <w:tcPr>
            <w:tcW w:w="474" w:type="dxa"/>
            <w:shd w:val="clear" w:color="auto" w:fill="DAEEF3" w:themeFill="accent5" w:themeFillTint="33"/>
          </w:tcPr>
          <w:p w14:paraId="025D030D" w14:textId="77777777" w:rsidR="0041777C" w:rsidRDefault="00000000">
            <w:pPr>
              <w:jc w:val="both"/>
              <w:rPr>
                <w:lang w:val="en-GB"/>
              </w:rPr>
            </w:pPr>
            <w:r>
              <w:rPr>
                <w:b/>
                <w:bCs/>
                <w:lang w:val="en-GB"/>
              </w:rPr>
              <w:t>C</w:t>
            </w:r>
          </w:p>
        </w:tc>
        <w:tc>
          <w:tcPr>
            <w:tcW w:w="474" w:type="dxa"/>
            <w:shd w:val="clear" w:color="auto" w:fill="DAEEF3" w:themeFill="accent5" w:themeFillTint="33"/>
          </w:tcPr>
          <w:p w14:paraId="454ABC73" w14:textId="77777777" w:rsidR="0041777C" w:rsidRDefault="00000000">
            <w:pPr>
              <w:jc w:val="both"/>
              <w:rPr>
                <w:lang w:val="en-GB"/>
              </w:rPr>
            </w:pPr>
            <w:r>
              <w:rPr>
                <w:b/>
                <w:bCs/>
                <w:lang w:val="en-GB"/>
              </w:rPr>
              <w:t>M</w:t>
            </w:r>
          </w:p>
        </w:tc>
        <w:tc>
          <w:tcPr>
            <w:tcW w:w="482" w:type="dxa"/>
          </w:tcPr>
          <w:p w14:paraId="5F2C607E" w14:textId="77777777" w:rsidR="0041777C" w:rsidRDefault="00000000">
            <w:pPr>
              <w:jc w:val="both"/>
              <w:rPr>
                <w:lang w:val="en-GB"/>
              </w:rPr>
            </w:pPr>
            <w:r>
              <w:rPr>
                <w:b/>
                <w:bCs/>
                <w:lang w:val="en-GB"/>
              </w:rPr>
              <w:t>So</w:t>
            </w:r>
          </w:p>
        </w:tc>
        <w:tc>
          <w:tcPr>
            <w:tcW w:w="488" w:type="dxa"/>
          </w:tcPr>
          <w:p w14:paraId="447EB503" w14:textId="77777777" w:rsidR="0041777C" w:rsidRDefault="00000000">
            <w:pPr>
              <w:jc w:val="both"/>
              <w:rPr>
                <w:lang w:val="en-GB"/>
              </w:rPr>
            </w:pPr>
            <w:r>
              <w:rPr>
                <w:b/>
                <w:bCs/>
                <w:lang w:val="en-GB"/>
              </w:rPr>
              <w:t>Va</w:t>
            </w:r>
          </w:p>
        </w:tc>
        <w:tc>
          <w:tcPr>
            <w:tcW w:w="486" w:type="dxa"/>
            <w:shd w:val="clear" w:color="auto" w:fill="DAEEF3" w:themeFill="accent5" w:themeFillTint="33"/>
          </w:tcPr>
          <w:p w14:paraId="4BF31BDD" w14:textId="77777777" w:rsidR="0041777C" w:rsidRDefault="00000000">
            <w:pPr>
              <w:jc w:val="both"/>
              <w:rPr>
                <w:lang w:val="en-GB"/>
              </w:rPr>
            </w:pPr>
            <w:r>
              <w:rPr>
                <w:b/>
                <w:bCs/>
                <w:lang w:val="en-GB"/>
              </w:rPr>
              <w:t>Fo</w:t>
            </w:r>
          </w:p>
        </w:tc>
        <w:tc>
          <w:tcPr>
            <w:tcW w:w="470" w:type="dxa"/>
            <w:shd w:val="clear" w:color="auto" w:fill="DAEEF3" w:themeFill="accent5" w:themeFillTint="33"/>
          </w:tcPr>
          <w:p w14:paraId="4880DD14" w14:textId="77777777" w:rsidR="0041777C" w:rsidRDefault="00000000">
            <w:pPr>
              <w:jc w:val="both"/>
              <w:rPr>
                <w:lang w:val="en-GB"/>
              </w:rPr>
            </w:pPr>
            <w:r>
              <w:rPr>
                <w:b/>
                <w:bCs/>
                <w:lang w:val="en-GB"/>
              </w:rPr>
              <w:t>I</w:t>
            </w:r>
          </w:p>
        </w:tc>
        <w:tc>
          <w:tcPr>
            <w:tcW w:w="466" w:type="dxa"/>
          </w:tcPr>
          <w:p w14:paraId="12AE2268" w14:textId="77777777" w:rsidR="0041777C" w:rsidRDefault="00000000">
            <w:pPr>
              <w:jc w:val="both"/>
              <w:rPr>
                <w:lang w:val="en-GB"/>
              </w:rPr>
            </w:pPr>
            <w:r>
              <w:rPr>
                <w:b/>
                <w:bCs/>
                <w:lang w:val="en-GB"/>
              </w:rPr>
              <w:t>R</w:t>
            </w:r>
          </w:p>
        </w:tc>
        <w:tc>
          <w:tcPr>
            <w:tcW w:w="474" w:type="dxa"/>
          </w:tcPr>
          <w:p w14:paraId="3D6AB6F7" w14:textId="77777777" w:rsidR="0041777C" w:rsidRDefault="00000000">
            <w:pPr>
              <w:jc w:val="both"/>
              <w:rPr>
                <w:lang w:val="en-GB"/>
              </w:rPr>
            </w:pPr>
            <w:r>
              <w:rPr>
                <w:b/>
                <w:bCs/>
                <w:lang w:val="en-GB"/>
              </w:rPr>
              <w:t>D</w:t>
            </w:r>
          </w:p>
        </w:tc>
        <w:tc>
          <w:tcPr>
            <w:tcW w:w="467" w:type="dxa"/>
            <w:shd w:val="clear" w:color="auto" w:fill="FDE9D9" w:themeFill="accent6" w:themeFillTint="33"/>
          </w:tcPr>
          <w:p w14:paraId="41F9EAA3" w14:textId="77777777" w:rsidR="0041777C" w:rsidRDefault="00000000">
            <w:pPr>
              <w:jc w:val="both"/>
              <w:rPr>
                <w:lang w:val="en-GB"/>
              </w:rPr>
            </w:pPr>
            <w:r>
              <w:rPr>
                <w:b/>
                <w:bCs/>
                <w:lang w:val="en-GB"/>
              </w:rPr>
              <w:t>O</w:t>
            </w:r>
          </w:p>
        </w:tc>
        <w:tc>
          <w:tcPr>
            <w:tcW w:w="473" w:type="dxa"/>
            <w:shd w:val="clear" w:color="auto" w:fill="FDE9D9" w:themeFill="accent6" w:themeFillTint="33"/>
          </w:tcPr>
          <w:p w14:paraId="2BAB3EF1" w14:textId="77777777" w:rsidR="0041777C" w:rsidRDefault="00000000">
            <w:pPr>
              <w:jc w:val="both"/>
              <w:rPr>
                <w:lang w:val="en-GB"/>
              </w:rPr>
            </w:pPr>
            <w:r>
              <w:rPr>
                <w:b/>
                <w:bCs/>
                <w:lang w:val="en-GB"/>
              </w:rPr>
              <w:t>E</w:t>
            </w:r>
          </w:p>
        </w:tc>
        <w:tc>
          <w:tcPr>
            <w:tcW w:w="476" w:type="dxa"/>
          </w:tcPr>
          <w:p w14:paraId="639A6137" w14:textId="77777777" w:rsidR="0041777C" w:rsidRDefault="00000000">
            <w:pPr>
              <w:jc w:val="both"/>
              <w:rPr>
                <w:lang w:val="en-GB"/>
              </w:rPr>
            </w:pPr>
            <w:r>
              <w:rPr>
                <w:b/>
                <w:bCs/>
                <w:lang w:val="en-GB"/>
              </w:rPr>
              <w:t>Vi</w:t>
            </w:r>
          </w:p>
        </w:tc>
        <w:tc>
          <w:tcPr>
            <w:tcW w:w="487" w:type="dxa"/>
          </w:tcPr>
          <w:p w14:paraId="349067A1" w14:textId="77777777" w:rsidR="0041777C" w:rsidRDefault="00000000">
            <w:pPr>
              <w:jc w:val="both"/>
              <w:rPr>
                <w:lang w:val="en-GB"/>
              </w:rPr>
            </w:pPr>
            <w:r>
              <w:rPr>
                <w:b/>
                <w:bCs/>
                <w:lang w:val="en-GB"/>
              </w:rPr>
              <w:t>Su</w:t>
            </w:r>
          </w:p>
        </w:tc>
        <w:tc>
          <w:tcPr>
            <w:tcW w:w="468" w:type="dxa"/>
          </w:tcPr>
          <w:p w14:paraId="22E44D81" w14:textId="77777777" w:rsidR="0041777C" w:rsidRDefault="00000000">
            <w:pPr>
              <w:jc w:val="both"/>
              <w:rPr>
                <w:lang w:val="en-GB"/>
              </w:rPr>
            </w:pPr>
            <w:r>
              <w:rPr>
                <w:b/>
                <w:bCs/>
                <w:lang w:val="en-GB"/>
              </w:rPr>
              <w:t>P</w:t>
            </w:r>
          </w:p>
        </w:tc>
        <w:tc>
          <w:tcPr>
            <w:tcW w:w="489" w:type="dxa"/>
          </w:tcPr>
          <w:p w14:paraId="2B7E0251" w14:textId="77777777" w:rsidR="0041777C" w:rsidRDefault="00000000">
            <w:pPr>
              <w:jc w:val="both"/>
              <w:rPr>
                <w:lang w:val="en-GB"/>
              </w:rPr>
            </w:pPr>
            <w:r>
              <w:rPr>
                <w:b/>
                <w:bCs/>
                <w:lang w:val="en-GB"/>
              </w:rPr>
              <w:t>Fu</w:t>
            </w:r>
          </w:p>
        </w:tc>
      </w:tr>
      <w:tr w:rsidR="0041777C" w14:paraId="45BA85F3" w14:textId="77777777">
        <w:trPr>
          <w:jc w:val="center"/>
        </w:trPr>
        <w:tc>
          <w:tcPr>
            <w:tcW w:w="2104" w:type="dxa"/>
          </w:tcPr>
          <w:p w14:paraId="4F3D35C3" w14:textId="77777777" w:rsidR="0041777C" w:rsidRDefault="00000000">
            <w:pPr>
              <w:jc w:val="both"/>
              <w:rPr>
                <w:lang w:val="en-GB"/>
              </w:rPr>
            </w:pPr>
            <w:r>
              <w:rPr>
                <w:lang w:val="en-GB"/>
              </w:rPr>
              <w:t>Restu Bias Primandhika</w:t>
            </w:r>
          </w:p>
        </w:tc>
        <w:tc>
          <w:tcPr>
            <w:tcW w:w="474" w:type="dxa"/>
            <w:shd w:val="clear" w:color="auto" w:fill="DAEEF3" w:themeFill="accent5" w:themeFillTint="33"/>
          </w:tcPr>
          <w:p w14:paraId="7A444CEF" w14:textId="77777777" w:rsidR="0041777C" w:rsidRDefault="00000000">
            <w:pPr>
              <w:jc w:val="both"/>
              <w:rPr>
                <w:lang w:val="en-GB"/>
              </w:rPr>
            </w:pPr>
            <w:r>
              <w:rPr>
                <w:rFonts w:ascii="Wingdings" w:eastAsia="Wingdings" w:hAnsi="Wingdings" w:cs="Wingdings"/>
                <w:lang w:val="en-GB"/>
              </w:rPr>
              <w:sym w:font="Wingdings" w:char="F0FC"/>
            </w:r>
          </w:p>
        </w:tc>
        <w:tc>
          <w:tcPr>
            <w:tcW w:w="474" w:type="dxa"/>
            <w:shd w:val="clear" w:color="auto" w:fill="DAEEF3" w:themeFill="accent5" w:themeFillTint="33"/>
          </w:tcPr>
          <w:p w14:paraId="29485786" w14:textId="77777777" w:rsidR="0041777C" w:rsidRDefault="00000000">
            <w:pPr>
              <w:jc w:val="both"/>
              <w:rPr>
                <w:lang w:val="en-GB"/>
              </w:rPr>
            </w:pPr>
            <w:r>
              <w:rPr>
                <w:rFonts w:ascii="Wingdings" w:eastAsia="Wingdings" w:hAnsi="Wingdings" w:cs="Wingdings"/>
                <w:lang w:val="en-GB"/>
              </w:rPr>
              <w:sym w:font="Wingdings" w:char="F0FC"/>
            </w:r>
          </w:p>
        </w:tc>
        <w:tc>
          <w:tcPr>
            <w:tcW w:w="482" w:type="dxa"/>
          </w:tcPr>
          <w:p w14:paraId="57527C55" w14:textId="77777777" w:rsidR="0041777C" w:rsidRDefault="00000000">
            <w:pPr>
              <w:jc w:val="both"/>
              <w:rPr>
                <w:lang w:val="en-GB"/>
              </w:rPr>
            </w:pPr>
            <w:r>
              <w:rPr>
                <w:rFonts w:ascii="Wingdings" w:eastAsia="Wingdings" w:hAnsi="Wingdings" w:cs="Wingdings"/>
                <w:lang w:val="en-GB"/>
              </w:rPr>
              <w:sym w:font="Wingdings" w:char="F0FC"/>
            </w:r>
          </w:p>
        </w:tc>
        <w:tc>
          <w:tcPr>
            <w:tcW w:w="488" w:type="dxa"/>
          </w:tcPr>
          <w:p w14:paraId="12789BC1" w14:textId="77777777" w:rsidR="0041777C" w:rsidRDefault="00000000">
            <w:pPr>
              <w:jc w:val="both"/>
              <w:rPr>
                <w:lang w:val="en-GB"/>
              </w:rPr>
            </w:pPr>
            <w:r>
              <w:rPr>
                <w:rFonts w:ascii="Wingdings" w:eastAsia="Wingdings" w:hAnsi="Wingdings" w:cs="Wingdings"/>
                <w:lang w:val="en-GB"/>
              </w:rPr>
              <w:sym w:font="Wingdings" w:char="F0FC"/>
            </w:r>
          </w:p>
        </w:tc>
        <w:tc>
          <w:tcPr>
            <w:tcW w:w="486" w:type="dxa"/>
            <w:shd w:val="clear" w:color="auto" w:fill="DAEEF3" w:themeFill="accent5" w:themeFillTint="33"/>
          </w:tcPr>
          <w:p w14:paraId="37FBEA8B" w14:textId="77777777" w:rsidR="0041777C" w:rsidRDefault="00000000">
            <w:pPr>
              <w:jc w:val="both"/>
              <w:rPr>
                <w:lang w:val="en-GB"/>
              </w:rPr>
            </w:pPr>
            <w:r>
              <w:rPr>
                <w:rFonts w:ascii="Wingdings" w:eastAsia="Wingdings" w:hAnsi="Wingdings" w:cs="Wingdings"/>
                <w:lang w:val="en-GB"/>
              </w:rPr>
              <w:sym w:font="Wingdings" w:char="F0FC"/>
            </w:r>
          </w:p>
        </w:tc>
        <w:tc>
          <w:tcPr>
            <w:tcW w:w="470" w:type="dxa"/>
            <w:shd w:val="clear" w:color="auto" w:fill="DAEEF3" w:themeFill="accent5" w:themeFillTint="33"/>
          </w:tcPr>
          <w:p w14:paraId="5661AF83" w14:textId="77777777" w:rsidR="0041777C" w:rsidRDefault="00000000">
            <w:pPr>
              <w:jc w:val="both"/>
              <w:rPr>
                <w:lang w:val="en-GB"/>
              </w:rPr>
            </w:pPr>
            <w:r>
              <w:rPr>
                <w:rFonts w:ascii="Wingdings" w:eastAsia="Wingdings" w:hAnsi="Wingdings" w:cs="Wingdings"/>
                <w:lang w:val="en-GB"/>
              </w:rPr>
              <w:sym w:font="Wingdings" w:char="F0FC"/>
            </w:r>
          </w:p>
        </w:tc>
        <w:tc>
          <w:tcPr>
            <w:tcW w:w="466" w:type="dxa"/>
          </w:tcPr>
          <w:p w14:paraId="7C970655" w14:textId="77777777" w:rsidR="0041777C" w:rsidRDefault="0041777C">
            <w:pPr>
              <w:jc w:val="both"/>
              <w:rPr>
                <w:lang w:val="en-GB"/>
              </w:rPr>
            </w:pPr>
          </w:p>
        </w:tc>
        <w:tc>
          <w:tcPr>
            <w:tcW w:w="474" w:type="dxa"/>
          </w:tcPr>
          <w:p w14:paraId="48DAF19A" w14:textId="77777777" w:rsidR="0041777C" w:rsidRDefault="00000000">
            <w:pPr>
              <w:jc w:val="both"/>
              <w:rPr>
                <w:lang w:val="en-GB"/>
              </w:rPr>
            </w:pPr>
            <w:r>
              <w:rPr>
                <w:rFonts w:ascii="Wingdings" w:eastAsia="Wingdings" w:hAnsi="Wingdings" w:cs="Wingdings"/>
                <w:lang w:val="en-GB"/>
              </w:rPr>
              <w:sym w:font="Wingdings" w:char="F0FC"/>
            </w:r>
          </w:p>
        </w:tc>
        <w:tc>
          <w:tcPr>
            <w:tcW w:w="467" w:type="dxa"/>
            <w:shd w:val="clear" w:color="auto" w:fill="FDE9D9" w:themeFill="accent6" w:themeFillTint="33"/>
          </w:tcPr>
          <w:p w14:paraId="12736B34" w14:textId="77777777" w:rsidR="0041777C" w:rsidRDefault="00000000">
            <w:pPr>
              <w:jc w:val="both"/>
              <w:rPr>
                <w:lang w:val="en-GB"/>
              </w:rPr>
            </w:pPr>
            <w:r>
              <w:rPr>
                <w:rFonts w:ascii="Wingdings" w:eastAsia="Wingdings" w:hAnsi="Wingdings" w:cs="Wingdings"/>
                <w:lang w:val="en-GB"/>
              </w:rPr>
              <w:sym w:font="Wingdings" w:char="F0FC"/>
            </w:r>
          </w:p>
        </w:tc>
        <w:tc>
          <w:tcPr>
            <w:tcW w:w="473" w:type="dxa"/>
            <w:shd w:val="clear" w:color="auto" w:fill="FDE9D9" w:themeFill="accent6" w:themeFillTint="33"/>
          </w:tcPr>
          <w:p w14:paraId="70E45D97" w14:textId="77777777" w:rsidR="0041777C" w:rsidRDefault="0041777C">
            <w:pPr>
              <w:jc w:val="both"/>
              <w:rPr>
                <w:rFonts w:ascii="Wingdings" w:eastAsia="Wingdings" w:hAnsi="Wingdings" w:cs="Wingdings"/>
                <w:lang w:val="en-GB"/>
              </w:rPr>
            </w:pPr>
          </w:p>
        </w:tc>
        <w:tc>
          <w:tcPr>
            <w:tcW w:w="476" w:type="dxa"/>
          </w:tcPr>
          <w:p w14:paraId="03E75070" w14:textId="77777777" w:rsidR="0041777C" w:rsidRDefault="00000000">
            <w:pPr>
              <w:jc w:val="both"/>
              <w:rPr>
                <w:lang w:val="en-GB"/>
              </w:rPr>
            </w:pPr>
            <w:r>
              <w:rPr>
                <w:rFonts w:ascii="Wingdings" w:eastAsia="Wingdings" w:hAnsi="Wingdings" w:cs="Wingdings"/>
                <w:lang w:val="en-GB"/>
              </w:rPr>
              <w:sym w:font="Wingdings" w:char="F0FC"/>
            </w:r>
          </w:p>
        </w:tc>
        <w:tc>
          <w:tcPr>
            <w:tcW w:w="487" w:type="dxa"/>
          </w:tcPr>
          <w:p w14:paraId="5C057F6D" w14:textId="77777777" w:rsidR="0041777C" w:rsidRDefault="0041777C">
            <w:pPr>
              <w:jc w:val="both"/>
              <w:rPr>
                <w:lang w:val="en-GB"/>
              </w:rPr>
            </w:pPr>
          </w:p>
        </w:tc>
        <w:tc>
          <w:tcPr>
            <w:tcW w:w="468" w:type="dxa"/>
          </w:tcPr>
          <w:p w14:paraId="59F64EEA" w14:textId="77777777" w:rsidR="0041777C" w:rsidRDefault="00000000">
            <w:pPr>
              <w:jc w:val="both"/>
              <w:rPr>
                <w:lang w:val="en-GB"/>
              </w:rPr>
            </w:pPr>
            <w:r>
              <w:rPr>
                <w:rFonts w:ascii="Wingdings" w:eastAsia="Wingdings" w:hAnsi="Wingdings" w:cs="Wingdings"/>
                <w:lang w:val="en-GB"/>
              </w:rPr>
              <w:sym w:font="Wingdings" w:char="F0FC"/>
            </w:r>
          </w:p>
        </w:tc>
        <w:tc>
          <w:tcPr>
            <w:tcW w:w="489" w:type="dxa"/>
          </w:tcPr>
          <w:p w14:paraId="593E4A70" w14:textId="77777777" w:rsidR="0041777C" w:rsidRDefault="00000000">
            <w:pPr>
              <w:jc w:val="both"/>
              <w:rPr>
                <w:lang w:val="en-GB"/>
              </w:rPr>
            </w:pPr>
            <w:r>
              <w:rPr>
                <w:rFonts w:ascii="Wingdings" w:eastAsia="Wingdings" w:hAnsi="Wingdings" w:cs="Wingdings"/>
                <w:lang w:val="en-GB"/>
              </w:rPr>
              <w:sym w:font="Wingdings" w:char="F0FC"/>
            </w:r>
          </w:p>
        </w:tc>
      </w:tr>
      <w:tr w:rsidR="0041777C" w14:paraId="0E13EEED" w14:textId="77777777">
        <w:trPr>
          <w:jc w:val="center"/>
        </w:trPr>
        <w:tc>
          <w:tcPr>
            <w:tcW w:w="2104" w:type="dxa"/>
          </w:tcPr>
          <w:p w14:paraId="1FB19E43" w14:textId="77777777" w:rsidR="0041777C" w:rsidRDefault="00000000">
            <w:pPr>
              <w:jc w:val="both"/>
              <w:rPr>
                <w:lang w:val="en-GB"/>
              </w:rPr>
            </w:pPr>
            <w:r>
              <w:rPr>
                <w:lang w:val="en-GB"/>
              </w:rPr>
              <w:t xml:space="preserve">Nani </w:t>
            </w:r>
            <w:proofErr w:type="spellStart"/>
            <w:r>
              <w:rPr>
                <w:lang w:val="en-GB"/>
              </w:rPr>
              <w:t>Solihati</w:t>
            </w:r>
            <w:proofErr w:type="spellEnd"/>
          </w:p>
        </w:tc>
        <w:tc>
          <w:tcPr>
            <w:tcW w:w="474" w:type="dxa"/>
            <w:shd w:val="clear" w:color="auto" w:fill="DAEEF3" w:themeFill="accent5" w:themeFillTint="33"/>
          </w:tcPr>
          <w:p w14:paraId="7C1121CA" w14:textId="77777777" w:rsidR="0041777C" w:rsidRDefault="00000000">
            <w:pPr>
              <w:jc w:val="both"/>
              <w:rPr>
                <w:lang w:val="en-GB"/>
              </w:rPr>
            </w:pPr>
            <w:r>
              <w:rPr>
                <w:rFonts w:ascii="Wingdings" w:eastAsia="Wingdings" w:hAnsi="Wingdings" w:cs="Wingdings"/>
                <w:lang w:val="en-GB"/>
              </w:rPr>
              <w:sym w:font="Wingdings" w:char="F0FC"/>
            </w:r>
          </w:p>
        </w:tc>
        <w:tc>
          <w:tcPr>
            <w:tcW w:w="474" w:type="dxa"/>
            <w:shd w:val="clear" w:color="auto" w:fill="DAEEF3" w:themeFill="accent5" w:themeFillTint="33"/>
          </w:tcPr>
          <w:p w14:paraId="384A3E17" w14:textId="77777777" w:rsidR="0041777C" w:rsidRDefault="00000000">
            <w:pPr>
              <w:jc w:val="both"/>
              <w:rPr>
                <w:lang w:val="en-GB"/>
              </w:rPr>
            </w:pPr>
            <w:r>
              <w:rPr>
                <w:rFonts w:ascii="Wingdings" w:eastAsia="Wingdings" w:hAnsi="Wingdings" w:cs="Wingdings"/>
                <w:lang w:val="en-GB"/>
              </w:rPr>
              <w:sym w:font="Wingdings" w:char="F0FC"/>
            </w:r>
          </w:p>
        </w:tc>
        <w:tc>
          <w:tcPr>
            <w:tcW w:w="482" w:type="dxa"/>
          </w:tcPr>
          <w:p w14:paraId="133CCE00" w14:textId="77777777" w:rsidR="0041777C" w:rsidRDefault="0041777C">
            <w:pPr>
              <w:jc w:val="both"/>
              <w:rPr>
                <w:lang w:val="en-GB"/>
              </w:rPr>
            </w:pPr>
          </w:p>
        </w:tc>
        <w:tc>
          <w:tcPr>
            <w:tcW w:w="488" w:type="dxa"/>
          </w:tcPr>
          <w:p w14:paraId="1EB7A115" w14:textId="77777777" w:rsidR="0041777C" w:rsidRDefault="00000000">
            <w:pPr>
              <w:jc w:val="both"/>
              <w:rPr>
                <w:lang w:val="en-GB"/>
              </w:rPr>
            </w:pPr>
            <w:r>
              <w:rPr>
                <w:rFonts w:ascii="Wingdings" w:eastAsia="Wingdings" w:hAnsi="Wingdings" w:cs="Wingdings"/>
                <w:lang w:val="en-GB"/>
              </w:rPr>
              <w:sym w:font="Wingdings" w:char="F0FC"/>
            </w:r>
          </w:p>
        </w:tc>
        <w:tc>
          <w:tcPr>
            <w:tcW w:w="486" w:type="dxa"/>
            <w:shd w:val="clear" w:color="auto" w:fill="DAEEF3" w:themeFill="accent5" w:themeFillTint="33"/>
          </w:tcPr>
          <w:p w14:paraId="05AB5642" w14:textId="77777777" w:rsidR="0041777C" w:rsidRDefault="0041777C">
            <w:pPr>
              <w:jc w:val="both"/>
              <w:rPr>
                <w:lang w:val="en-GB"/>
              </w:rPr>
            </w:pPr>
          </w:p>
        </w:tc>
        <w:tc>
          <w:tcPr>
            <w:tcW w:w="470" w:type="dxa"/>
            <w:shd w:val="clear" w:color="auto" w:fill="DAEEF3" w:themeFill="accent5" w:themeFillTint="33"/>
          </w:tcPr>
          <w:p w14:paraId="1918DB39" w14:textId="77777777" w:rsidR="0041777C" w:rsidRDefault="00000000">
            <w:pPr>
              <w:jc w:val="both"/>
              <w:rPr>
                <w:lang w:val="en-GB"/>
              </w:rPr>
            </w:pPr>
            <w:r>
              <w:rPr>
                <w:rFonts w:ascii="Wingdings" w:eastAsia="Wingdings" w:hAnsi="Wingdings" w:cs="Wingdings"/>
                <w:lang w:val="en-GB"/>
              </w:rPr>
              <w:sym w:font="Wingdings" w:char="F0FC"/>
            </w:r>
          </w:p>
        </w:tc>
        <w:tc>
          <w:tcPr>
            <w:tcW w:w="466" w:type="dxa"/>
          </w:tcPr>
          <w:p w14:paraId="699EEADA" w14:textId="77777777" w:rsidR="0041777C" w:rsidRDefault="0041777C">
            <w:pPr>
              <w:jc w:val="both"/>
              <w:rPr>
                <w:lang w:val="en-GB"/>
              </w:rPr>
            </w:pPr>
          </w:p>
        </w:tc>
        <w:tc>
          <w:tcPr>
            <w:tcW w:w="474" w:type="dxa"/>
          </w:tcPr>
          <w:p w14:paraId="10A4A289" w14:textId="77777777" w:rsidR="0041777C" w:rsidRDefault="0041777C">
            <w:pPr>
              <w:jc w:val="both"/>
              <w:rPr>
                <w:rFonts w:ascii="Wingdings" w:eastAsia="Wingdings" w:hAnsi="Wingdings" w:cs="Wingdings"/>
                <w:lang w:val="en-GB"/>
              </w:rPr>
            </w:pPr>
          </w:p>
        </w:tc>
        <w:tc>
          <w:tcPr>
            <w:tcW w:w="467" w:type="dxa"/>
            <w:shd w:val="clear" w:color="auto" w:fill="FDE9D9" w:themeFill="accent6" w:themeFillTint="33"/>
          </w:tcPr>
          <w:p w14:paraId="16FC267B" w14:textId="77777777" w:rsidR="0041777C" w:rsidRDefault="0041777C">
            <w:pPr>
              <w:jc w:val="both"/>
              <w:rPr>
                <w:rFonts w:ascii="Wingdings" w:eastAsia="Wingdings" w:hAnsi="Wingdings" w:cs="Wingdings"/>
                <w:lang w:val="en-GB"/>
              </w:rPr>
            </w:pPr>
          </w:p>
        </w:tc>
        <w:tc>
          <w:tcPr>
            <w:tcW w:w="473" w:type="dxa"/>
            <w:shd w:val="clear" w:color="auto" w:fill="FDE9D9" w:themeFill="accent6" w:themeFillTint="33"/>
          </w:tcPr>
          <w:p w14:paraId="625D05D0" w14:textId="77777777" w:rsidR="0041777C" w:rsidRDefault="00000000">
            <w:pPr>
              <w:jc w:val="both"/>
              <w:rPr>
                <w:lang w:val="en-GB"/>
              </w:rPr>
            </w:pPr>
            <w:r>
              <w:rPr>
                <w:rFonts w:ascii="Wingdings" w:eastAsia="Wingdings" w:hAnsi="Wingdings" w:cs="Wingdings"/>
                <w:lang w:val="en-GB"/>
              </w:rPr>
              <w:sym w:font="Wingdings" w:char="F0FC"/>
            </w:r>
          </w:p>
        </w:tc>
        <w:tc>
          <w:tcPr>
            <w:tcW w:w="476" w:type="dxa"/>
          </w:tcPr>
          <w:p w14:paraId="25B4E131" w14:textId="77777777" w:rsidR="0041777C" w:rsidRDefault="00000000">
            <w:pPr>
              <w:jc w:val="both"/>
              <w:rPr>
                <w:lang w:val="en-GB"/>
              </w:rPr>
            </w:pPr>
            <w:r>
              <w:rPr>
                <w:rFonts w:ascii="Wingdings" w:eastAsia="Wingdings" w:hAnsi="Wingdings" w:cs="Wingdings"/>
                <w:lang w:val="en-GB"/>
              </w:rPr>
              <w:sym w:font="Wingdings" w:char="F0FC"/>
            </w:r>
          </w:p>
        </w:tc>
        <w:tc>
          <w:tcPr>
            <w:tcW w:w="487" w:type="dxa"/>
          </w:tcPr>
          <w:p w14:paraId="272FEC78" w14:textId="77777777" w:rsidR="0041777C" w:rsidRDefault="00000000">
            <w:pPr>
              <w:jc w:val="both"/>
              <w:rPr>
                <w:lang w:val="en-GB"/>
              </w:rPr>
            </w:pPr>
            <w:r>
              <w:rPr>
                <w:rFonts w:ascii="Wingdings" w:eastAsia="Wingdings" w:hAnsi="Wingdings" w:cs="Wingdings"/>
                <w:lang w:val="en-GB"/>
              </w:rPr>
              <w:sym w:font="Wingdings" w:char="F0FC"/>
            </w:r>
          </w:p>
        </w:tc>
        <w:tc>
          <w:tcPr>
            <w:tcW w:w="468" w:type="dxa"/>
          </w:tcPr>
          <w:p w14:paraId="748F7EFF" w14:textId="77777777" w:rsidR="0041777C" w:rsidRDefault="0041777C">
            <w:pPr>
              <w:jc w:val="both"/>
              <w:rPr>
                <w:lang w:val="en-GB"/>
              </w:rPr>
            </w:pPr>
          </w:p>
        </w:tc>
        <w:tc>
          <w:tcPr>
            <w:tcW w:w="489" w:type="dxa"/>
          </w:tcPr>
          <w:p w14:paraId="400800CF" w14:textId="77777777" w:rsidR="0041777C" w:rsidRDefault="0041777C">
            <w:pPr>
              <w:jc w:val="both"/>
              <w:rPr>
                <w:lang w:val="en-GB"/>
              </w:rPr>
            </w:pPr>
          </w:p>
        </w:tc>
      </w:tr>
      <w:tr w:rsidR="0041777C" w14:paraId="64AE4A3A" w14:textId="77777777">
        <w:trPr>
          <w:jc w:val="center"/>
        </w:trPr>
        <w:tc>
          <w:tcPr>
            <w:tcW w:w="2104" w:type="dxa"/>
          </w:tcPr>
          <w:p w14:paraId="2DC1B8E4" w14:textId="77777777" w:rsidR="0041777C" w:rsidRDefault="00000000">
            <w:pPr>
              <w:jc w:val="both"/>
              <w:rPr>
                <w:lang w:val="en-GB"/>
              </w:rPr>
            </w:pPr>
            <w:r>
              <w:rPr>
                <w:lang w:val="en-GB"/>
              </w:rPr>
              <w:t>Siti Zulaiha</w:t>
            </w:r>
          </w:p>
        </w:tc>
        <w:tc>
          <w:tcPr>
            <w:tcW w:w="474" w:type="dxa"/>
            <w:shd w:val="clear" w:color="auto" w:fill="DAEEF3" w:themeFill="accent5" w:themeFillTint="33"/>
          </w:tcPr>
          <w:p w14:paraId="7BDEBE8B" w14:textId="77777777" w:rsidR="0041777C" w:rsidRDefault="00000000">
            <w:pPr>
              <w:jc w:val="both"/>
              <w:rPr>
                <w:lang w:val="en-GB"/>
              </w:rPr>
            </w:pPr>
            <w:r>
              <w:rPr>
                <w:rFonts w:ascii="Wingdings" w:eastAsia="Wingdings" w:hAnsi="Wingdings" w:cs="Wingdings"/>
                <w:lang w:val="en-GB"/>
              </w:rPr>
              <w:sym w:font="Wingdings" w:char="F0FC"/>
            </w:r>
          </w:p>
        </w:tc>
        <w:tc>
          <w:tcPr>
            <w:tcW w:w="474" w:type="dxa"/>
            <w:shd w:val="clear" w:color="auto" w:fill="DAEEF3" w:themeFill="accent5" w:themeFillTint="33"/>
          </w:tcPr>
          <w:p w14:paraId="2B40D1C9" w14:textId="77777777" w:rsidR="0041777C" w:rsidRDefault="0041777C">
            <w:pPr>
              <w:jc w:val="both"/>
              <w:rPr>
                <w:lang w:val="en-GB"/>
              </w:rPr>
            </w:pPr>
          </w:p>
        </w:tc>
        <w:tc>
          <w:tcPr>
            <w:tcW w:w="482" w:type="dxa"/>
          </w:tcPr>
          <w:p w14:paraId="70BCC616" w14:textId="77777777" w:rsidR="0041777C" w:rsidRDefault="00000000">
            <w:pPr>
              <w:jc w:val="both"/>
              <w:rPr>
                <w:lang w:val="en-GB"/>
              </w:rPr>
            </w:pPr>
            <w:r>
              <w:rPr>
                <w:rFonts w:ascii="Wingdings" w:eastAsia="Wingdings" w:hAnsi="Wingdings" w:cs="Wingdings"/>
                <w:lang w:val="en-GB"/>
              </w:rPr>
              <w:sym w:font="Wingdings" w:char="F0FC"/>
            </w:r>
          </w:p>
        </w:tc>
        <w:tc>
          <w:tcPr>
            <w:tcW w:w="488" w:type="dxa"/>
          </w:tcPr>
          <w:p w14:paraId="1508316E" w14:textId="77777777" w:rsidR="0041777C" w:rsidRDefault="00000000">
            <w:pPr>
              <w:jc w:val="both"/>
              <w:rPr>
                <w:lang w:val="en-GB"/>
              </w:rPr>
            </w:pPr>
            <w:r>
              <w:rPr>
                <w:rFonts w:ascii="Wingdings" w:eastAsia="Wingdings" w:hAnsi="Wingdings" w:cs="Wingdings"/>
                <w:lang w:val="en-GB"/>
              </w:rPr>
              <w:sym w:font="Wingdings" w:char="F0FC"/>
            </w:r>
          </w:p>
        </w:tc>
        <w:tc>
          <w:tcPr>
            <w:tcW w:w="486" w:type="dxa"/>
            <w:shd w:val="clear" w:color="auto" w:fill="DAEEF3" w:themeFill="accent5" w:themeFillTint="33"/>
          </w:tcPr>
          <w:p w14:paraId="765D111D" w14:textId="77777777" w:rsidR="0041777C" w:rsidRDefault="0041777C">
            <w:pPr>
              <w:jc w:val="both"/>
              <w:rPr>
                <w:lang w:val="en-GB"/>
              </w:rPr>
            </w:pPr>
          </w:p>
        </w:tc>
        <w:tc>
          <w:tcPr>
            <w:tcW w:w="470" w:type="dxa"/>
            <w:shd w:val="clear" w:color="auto" w:fill="DAEEF3" w:themeFill="accent5" w:themeFillTint="33"/>
          </w:tcPr>
          <w:p w14:paraId="6B6682AA" w14:textId="77777777" w:rsidR="0041777C" w:rsidRDefault="0041777C">
            <w:pPr>
              <w:jc w:val="both"/>
              <w:rPr>
                <w:lang w:val="en-GB"/>
              </w:rPr>
            </w:pPr>
          </w:p>
        </w:tc>
        <w:tc>
          <w:tcPr>
            <w:tcW w:w="466" w:type="dxa"/>
          </w:tcPr>
          <w:p w14:paraId="56AF9AC8" w14:textId="77777777" w:rsidR="0041777C" w:rsidRDefault="00000000">
            <w:pPr>
              <w:jc w:val="both"/>
              <w:rPr>
                <w:lang w:val="en-GB"/>
              </w:rPr>
            </w:pPr>
            <w:r>
              <w:rPr>
                <w:rFonts w:ascii="Wingdings" w:eastAsia="Wingdings" w:hAnsi="Wingdings" w:cs="Wingdings"/>
                <w:lang w:val="en-GB"/>
              </w:rPr>
              <w:sym w:font="Wingdings" w:char="F0FC"/>
            </w:r>
          </w:p>
        </w:tc>
        <w:tc>
          <w:tcPr>
            <w:tcW w:w="474" w:type="dxa"/>
          </w:tcPr>
          <w:p w14:paraId="29D1E192" w14:textId="77777777" w:rsidR="0041777C" w:rsidRDefault="00000000">
            <w:pPr>
              <w:jc w:val="both"/>
              <w:rPr>
                <w:lang w:val="en-GB"/>
              </w:rPr>
            </w:pPr>
            <w:r>
              <w:rPr>
                <w:rFonts w:ascii="Wingdings" w:eastAsia="Wingdings" w:hAnsi="Wingdings" w:cs="Wingdings"/>
                <w:lang w:val="en-GB"/>
              </w:rPr>
              <w:sym w:font="Wingdings" w:char="F0FC"/>
            </w:r>
          </w:p>
        </w:tc>
        <w:tc>
          <w:tcPr>
            <w:tcW w:w="467" w:type="dxa"/>
            <w:shd w:val="clear" w:color="auto" w:fill="FDE9D9" w:themeFill="accent6" w:themeFillTint="33"/>
          </w:tcPr>
          <w:p w14:paraId="73C75BA1" w14:textId="77777777" w:rsidR="0041777C" w:rsidRDefault="0041777C">
            <w:pPr>
              <w:jc w:val="both"/>
              <w:rPr>
                <w:lang w:val="en-GB"/>
              </w:rPr>
            </w:pPr>
          </w:p>
        </w:tc>
        <w:tc>
          <w:tcPr>
            <w:tcW w:w="473" w:type="dxa"/>
            <w:shd w:val="clear" w:color="auto" w:fill="FDE9D9" w:themeFill="accent6" w:themeFillTint="33"/>
          </w:tcPr>
          <w:p w14:paraId="4213152B" w14:textId="77777777" w:rsidR="0041777C" w:rsidRDefault="00000000">
            <w:pPr>
              <w:jc w:val="both"/>
              <w:rPr>
                <w:lang w:val="en-GB"/>
              </w:rPr>
            </w:pPr>
            <w:r>
              <w:rPr>
                <w:rFonts w:ascii="Wingdings" w:eastAsia="Wingdings" w:hAnsi="Wingdings" w:cs="Wingdings"/>
                <w:lang w:val="en-GB"/>
              </w:rPr>
              <w:sym w:font="Wingdings" w:char="F0FC"/>
            </w:r>
          </w:p>
        </w:tc>
        <w:tc>
          <w:tcPr>
            <w:tcW w:w="476" w:type="dxa"/>
          </w:tcPr>
          <w:p w14:paraId="711FD8D4" w14:textId="77777777" w:rsidR="0041777C" w:rsidRDefault="00000000">
            <w:pPr>
              <w:jc w:val="both"/>
              <w:rPr>
                <w:lang w:val="en-GB"/>
              </w:rPr>
            </w:pPr>
            <w:r>
              <w:rPr>
                <w:rFonts w:ascii="Wingdings" w:eastAsia="Wingdings" w:hAnsi="Wingdings" w:cs="Wingdings"/>
                <w:lang w:val="en-GB"/>
              </w:rPr>
              <w:sym w:font="Wingdings" w:char="F0FC"/>
            </w:r>
          </w:p>
        </w:tc>
        <w:tc>
          <w:tcPr>
            <w:tcW w:w="487" w:type="dxa"/>
          </w:tcPr>
          <w:p w14:paraId="6DCE1E6C" w14:textId="77777777" w:rsidR="0041777C" w:rsidRDefault="0041777C">
            <w:pPr>
              <w:jc w:val="both"/>
              <w:rPr>
                <w:lang w:val="en-GB"/>
              </w:rPr>
            </w:pPr>
          </w:p>
        </w:tc>
        <w:tc>
          <w:tcPr>
            <w:tcW w:w="468" w:type="dxa"/>
          </w:tcPr>
          <w:p w14:paraId="1771F42C" w14:textId="77777777" w:rsidR="0041777C" w:rsidRDefault="00000000">
            <w:pPr>
              <w:jc w:val="both"/>
              <w:rPr>
                <w:lang w:val="en-GB"/>
              </w:rPr>
            </w:pPr>
            <w:r>
              <w:rPr>
                <w:rFonts w:ascii="Wingdings" w:eastAsia="Wingdings" w:hAnsi="Wingdings" w:cs="Wingdings"/>
                <w:lang w:val="en-GB"/>
              </w:rPr>
              <w:sym w:font="Wingdings" w:char="F0FC"/>
            </w:r>
          </w:p>
        </w:tc>
        <w:tc>
          <w:tcPr>
            <w:tcW w:w="489" w:type="dxa"/>
          </w:tcPr>
          <w:p w14:paraId="09B0F4DC" w14:textId="77777777" w:rsidR="0041777C" w:rsidRDefault="0041777C">
            <w:pPr>
              <w:jc w:val="both"/>
              <w:rPr>
                <w:lang w:val="en-GB"/>
              </w:rPr>
            </w:pPr>
          </w:p>
        </w:tc>
      </w:tr>
      <w:tr w:rsidR="0041777C" w14:paraId="3F4EFD77" w14:textId="77777777">
        <w:trPr>
          <w:jc w:val="center"/>
        </w:trPr>
        <w:tc>
          <w:tcPr>
            <w:tcW w:w="2104" w:type="dxa"/>
            <w:tcBorders>
              <w:top w:val="nil"/>
            </w:tcBorders>
          </w:tcPr>
          <w:p w14:paraId="0D6276A7" w14:textId="77777777" w:rsidR="0041777C" w:rsidRDefault="00000000">
            <w:pPr>
              <w:jc w:val="both"/>
              <w:rPr>
                <w:lang w:val="en-GB"/>
              </w:rPr>
            </w:pPr>
            <w:r>
              <w:rPr>
                <w:lang w:val="en-GB"/>
              </w:rPr>
              <w:t>Aurelia Sakti Yani</w:t>
            </w:r>
          </w:p>
        </w:tc>
        <w:tc>
          <w:tcPr>
            <w:tcW w:w="474" w:type="dxa"/>
            <w:tcBorders>
              <w:top w:val="nil"/>
            </w:tcBorders>
            <w:shd w:val="clear" w:color="auto" w:fill="DAEEF3" w:themeFill="accent5" w:themeFillTint="33"/>
          </w:tcPr>
          <w:p w14:paraId="156EA782" w14:textId="77777777" w:rsidR="0041777C" w:rsidRDefault="0041777C">
            <w:pPr>
              <w:jc w:val="both"/>
              <w:rPr>
                <w:lang w:val="en-GB"/>
              </w:rPr>
            </w:pPr>
          </w:p>
        </w:tc>
        <w:tc>
          <w:tcPr>
            <w:tcW w:w="474" w:type="dxa"/>
            <w:tcBorders>
              <w:top w:val="nil"/>
            </w:tcBorders>
            <w:shd w:val="clear" w:color="auto" w:fill="DAEEF3" w:themeFill="accent5" w:themeFillTint="33"/>
          </w:tcPr>
          <w:p w14:paraId="511CDA9A" w14:textId="77777777" w:rsidR="0041777C" w:rsidRDefault="0041777C">
            <w:pPr>
              <w:jc w:val="both"/>
              <w:rPr>
                <w:lang w:val="en-GB"/>
              </w:rPr>
            </w:pPr>
          </w:p>
        </w:tc>
        <w:tc>
          <w:tcPr>
            <w:tcW w:w="482" w:type="dxa"/>
            <w:tcBorders>
              <w:top w:val="nil"/>
            </w:tcBorders>
          </w:tcPr>
          <w:p w14:paraId="5AFB1E82" w14:textId="77777777" w:rsidR="0041777C" w:rsidRDefault="00000000">
            <w:pPr>
              <w:jc w:val="both"/>
              <w:rPr>
                <w:lang w:val="en-GB"/>
              </w:rPr>
            </w:pPr>
            <w:r>
              <w:rPr>
                <w:rFonts w:ascii="Wingdings" w:eastAsia="Wingdings" w:hAnsi="Wingdings" w:cs="Wingdings"/>
                <w:lang w:val="en-GB"/>
              </w:rPr>
              <w:sym w:font="Wingdings" w:char="F0FC"/>
            </w:r>
          </w:p>
        </w:tc>
        <w:tc>
          <w:tcPr>
            <w:tcW w:w="488" w:type="dxa"/>
            <w:tcBorders>
              <w:top w:val="nil"/>
            </w:tcBorders>
          </w:tcPr>
          <w:p w14:paraId="6ECE55E3" w14:textId="77777777" w:rsidR="0041777C" w:rsidRDefault="0041777C">
            <w:pPr>
              <w:jc w:val="both"/>
              <w:rPr>
                <w:lang w:val="en-GB"/>
              </w:rPr>
            </w:pPr>
          </w:p>
        </w:tc>
        <w:tc>
          <w:tcPr>
            <w:tcW w:w="486" w:type="dxa"/>
            <w:tcBorders>
              <w:top w:val="nil"/>
            </w:tcBorders>
            <w:shd w:val="clear" w:color="auto" w:fill="DAEEF3" w:themeFill="accent5" w:themeFillTint="33"/>
          </w:tcPr>
          <w:p w14:paraId="7CC1DE8C" w14:textId="77777777" w:rsidR="0041777C" w:rsidRDefault="00000000">
            <w:pPr>
              <w:jc w:val="both"/>
              <w:rPr>
                <w:lang w:val="en-GB"/>
              </w:rPr>
            </w:pPr>
            <w:r>
              <w:rPr>
                <w:rFonts w:ascii="Wingdings" w:eastAsia="Wingdings" w:hAnsi="Wingdings" w:cs="Wingdings"/>
                <w:lang w:val="en-GB"/>
              </w:rPr>
              <w:sym w:font="Wingdings" w:char="F0FC"/>
            </w:r>
          </w:p>
        </w:tc>
        <w:tc>
          <w:tcPr>
            <w:tcW w:w="470" w:type="dxa"/>
            <w:tcBorders>
              <w:top w:val="nil"/>
            </w:tcBorders>
            <w:shd w:val="clear" w:color="auto" w:fill="DAEEF3" w:themeFill="accent5" w:themeFillTint="33"/>
          </w:tcPr>
          <w:p w14:paraId="34838F14" w14:textId="77777777" w:rsidR="0041777C" w:rsidRDefault="00000000">
            <w:pPr>
              <w:jc w:val="both"/>
              <w:rPr>
                <w:lang w:val="en-GB"/>
              </w:rPr>
            </w:pPr>
            <w:r>
              <w:rPr>
                <w:rFonts w:ascii="Wingdings" w:eastAsia="Wingdings" w:hAnsi="Wingdings" w:cs="Wingdings"/>
                <w:lang w:val="en-GB"/>
              </w:rPr>
              <w:sym w:font="Wingdings" w:char="F0FC"/>
            </w:r>
          </w:p>
        </w:tc>
        <w:tc>
          <w:tcPr>
            <w:tcW w:w="466" w:type="dxa"/>
            <w:tcBorders>
              <w:top w:val="nil"/>
            </w:tcBorders>
          </w:tcPr>
          <w:p w14:paraId="3614D399" w14:textId="77777777" w:rsidR="0041777C" w:rsidRDefault="0041777C">
            <w:pPr>
              <w:jc w:val="both"/>
              <w:rPr>
                <w:lang w:val="en-GB"/>
              </w:rPr>
            </w:pPr>
          </w:p>
        </w:tc>
        <w:tc>
          <w:tcPr>
            <w:tcW w:w="474" w:type="dxa"/>
            <w:tcBorders>
              <w:top w:val="nil"/>
            </w:tcBorders>
          </w:tcPr>
          <w:p w14:paraId="58066C8C" w14:textId="77777777" w:rsidR="0041777C" w:rsidRDefault="00000000">
            <w:pPr>
              <w:jc w:val="both"/>
              <w:rPr>
                <w:lang w:val="en-GB"/>
              </w:rPr>
            </w:pPr>
            <w:r>
              <w:rPr>
                <w:rFonts w:ascii="Wingdings" w:eastAsia="Wingdings" w:hAnsi="Wingdings" w:cs="Wingdings"/>
                <w:lang w:val="en-GB"/>
              </w:rPr>
              <w:sym w:font="Wingdings" w:char="F0FC"/>
            </w:r>
          </w:p>
        </w:tc>
        <w:tc>
          <w:tcPr>
            <w:tcW w:w="467" w:type="dxa"/>
            <w:tcBorders>
              <w:top w:val="nil"/>
            </w:tcBorders>
            <w:shd w:val="clear" w:color="auto" w:fill="FDE9D9" w:themeFill="accent6" w:themeFillTint="33"/>
          </w:tcPr>
          <w:p w14:paraId="097F1A25" w14:textId="77777777" w:rsidR="0041777C" w:rsidRDefault="0041777C">
            <w:pPr>
              <w:jc w:val="both"/>
              <w:rPr>
                <w:lang w:val="en-GB"/>
              </w:rPr>
            </w:pPr>
          </w:p>
        </w:tc>
        <w:tc>
          <w:tcPr>
            <w:tcW w:w="473" w:type="dxa"/>
            <w:tcBorders>
              <w:top w:val="nil"/>
            </w:tcBorders>
            <w:shd w:val="clear" w:color="auto" w:fill="FDE9D9" w:themeFill="accent6" w:themeFillTint="33"/>
          </w:tcPr>
          <w:p w14:paraId="6C1AA467" w14:textId="77777777" w:rsidR="0041777C" w:rsidRDefault="0041777C">
            <w:pPr>
              <w:jc w:val="both"/>
              <w:rPr>
                <w:lang w:val="en-GB"/>
              </w:rPr>
            </w:pPr>
          </w:p>
        </w:tc>
        <w:tc>
          <w:tcPr>
            <w:tcW w:w="476" w:type="dxa"/>
            <w:tcBorders>
              <w:top w:val="nil"/>
            </w:tcBorders>
          </w:tcPr>
          <w:p w14:paraId="5521EEA4" w14:textId="77777777" w:rsidR="0041777C" w:rsidRDefault="0041777C">
            <w:pPr>
              <w:jc w:val="both"/>
              <w:rPr>
                <w:lang w:val="en-GB"/>
              </w:rPr>
            </w:pPr>
          </w:p>
        </w:tc>
        <w:tc>
          <w:tcPr>
            <w:tcW w:w="487" w:type="dxa"/>
            <w:tcBorders>
              <w:top w:val="nil"/>
            </w:tcBorders>
          </w:tcPr>
          <w:p w14:paraId="11CCE0B9" w14:textId="77777777" w:rsidR="0041777C" w:rsidRDefault="0041777C">
            <w:pPr>
              <w:jc w:val="both"/>
              <w:rPr>
                <w:lang w:val="en-GB"/>
              </w:rPr>
            </w:pPr>
          </w:p>
        </w:tc>
        <w:tc>
          <w:tcPr>
            <w:tcW w:w="468" w:type="dxa"/>
            <w:tcBorders>
              <w:top w:val="nil"/>
            </w:tcBorders>
          </w:tcPr>
          <w:p w14:paraId="7BD5D632" w14:textId="77777777" w:rsidR="0041777C" w:rsidRDefault="00000000">
            <w:pPr>
              <w:jc w:val="both"/>
              <w:rPr>
                <w:lang w:val="en-GB"/>
              </w:rPr>
            </w:pPr>
            <w:r>
              <w:rPr>
                <w:rFonts w:ascii="Wingdings" w:eastAsia="Wingdings" w:hAnsi="Wingdings" w:cs="Wingdings"/>
                <w:lang w:val="en-GB"/>
              </w:rPr>
              <w:sym w:font="Wingdings" w:char="F0FC"/>
            </w:r>
          </w:p>
        </w:tc>
        <w:tc>
          <w:tcPr>
            <w:tcW w:w="489" w:type="dxa"/>
            <w:tcBorders>
              <w:top w:val="nil"/>
            </w:tcBorders>
          </w:tcPr>
          <w:p w14:paraId="558736D2" w14:textId="77777777" w:rsidR="0041777C" w:rsidRDefault="0041777C">
            <w:pPr>
              <w:jc w:val="both"/>
              <w:rPr>
                <w:lang w:val="en-GB"/>
              </w:rPr>
            </w:pPr>
          </w:p>
        </w:tc>
      </w:tr>
    </w:tbl>
    <w:p w14:paraId="545E9CA4" w14:textId="77777777" w:rsidR="0041777C" w:rsidRDefault="0041777C">
      <w:pPr>
        <w:tabs>
          <w:tab w:val="left" w:pos="284"/>
          <w:tab w:val="left" w:pos="426"/>
        </w:tabs>
        <w:jc w:val="both"/>
        <w:rPr>
          <w:lang w:val="en-GB"/>
        </w:rPr>
      </w:pPr>
    </w:p>
    <w:tbl>
      <w:tblPr>
        <w:tblStyle w:val="TableGrid"/>
        <w:tblW w:w="8768" w:type="dxa"/>
        <w:jc w:val="center"/>
        <w:tblLayout w:type="fixed"/>
        <w:tblLook w:val="04A0" w:firstRow="1" w:lastRow="0" w:firstColumn="1" w:lastColumn="0" w:noHBand="0" w:noVBand="1"/>
      </w:tblPr>
      <w:tblGrid>
        <w:gridCol w:w="2860"/>
        <w:gridCol w:w="3260"/>
        <w:gridCol w:w="2648"/>
      </w:tblGrid>
      <w:tr w:rsidR="0041777C" w14:paraId="59FACD6D" w14:textId="77777777">
        <w:trPr>
          <w:jc w:val="center"/>
        </w:trPr>
        <w:tc>
          <w:tcPr>
            <w:tcW w:w="2860" w:type="dxa"/>
            <w:tcBorders>
              <w:top w:val="nil"/>
              <w:left w:val="nil"/>
              <w:bottom w:val="nil"/>
              <w:right w:val="nil"/>
            </w:tcBorders>
          </w:tcPr>
          <w:p w14:paraId="4CAC1452" w14:textId="77777777" w:rsidR="0041777C" w:rsidRDefault="00000000">
            <w:pPr>
              <w:tabs>
                <w:tab w:val="left" w:pos="284"/>
                <w:tab w:val="left" w:pos="426"/>
              </w:tabs>
              <w:jc w:val="both"/>
              <w:rPr>
                <w:lang w:val="en-GB"/>
              </w:rPr>
            </w:pPr>
            <w:r>
              <w:rPr>
                <w:lang w:val="en-GB"/>
              </w:rPr>
              <w:t>C</w:t>
            </w:r>
            <w:r>
              <w:rPr>
                <w:lang w:val="en-GB"/>
              </w:rPr>
              <w:tab/>
              <w:t xml:space="preserve">: </w:t>
            </w:r>
            <w:r>
              <w:rPr>
                <w:lang w:val="en-GB"/>
              </w:rPr>
              <w:tab/>
            </w:r>
            <w:r>
              <w:rPr>
                <w:b/>
                <w:bCs/>
                <w:lang w:val="en-GB"/>
              </w:rPr>
              <w:t>C</w:t>
            </w:r>
            <w:r>
              <w:rPr>
                <w:sz w:val="16"/>
                <w:szCs w:val="16"/>
                <w:lang w:val="en-GB"/>
              </w:rPr>
              <w:t>onceptualization</w:t>
            </w:r>
          </w:p>
          <w:p w14:paraId="00947857" w14:textId="77777777" w:rsidR="0041777C" w:rsidRDefault="00000000">
            <w:pPr>
              <w:tabs>
                <w:tab w:val="left" w:pos="284"/>
                <w:tab w:val="left" w:pos="426"/>
              </w:tabs>
              <w:jc w:val="both"/>
              <w:rPr>
                <w:lang w:val="en-GB"/>
              </w:rPr>
            </w:pPr>
            <w:r>
              <w:rPr>
                <w:lang w:val="en-GB"/>
              </w:rPr>
              <w:t>M</w:t>
            </w:r>
            <w:r>
              <w:rPr>
                <w:lang w:val="en-GB"/>
              </w:rPr>
              <w:tab/>
              <w:t xml:space="preserve">: </w:t>
            </w:r>
            <w:r>
              <w:rPr>
                <w:lang w:val="en-GB"/>
              </w:rPr>
              <w:tab/>
            </w:r>
            <w:r>
              <w:rPr>
                <w:b/>
                <w:bCs/>
                <w:lang w:val="en-GB"/>
              </w:rPr>
              <w:t>M</w:t>
            </w:r>
            <w:r>
              <w:rPr>
                <w:sz w:val="16"/>
                <w:szCs w:val="16"/>
                <w:lang w:val="en-GB"/>
              </w:rPr>
              <w:t>ethodology</w:t>
            </w:r>
          </w:p>
          <w:p w14:paraId="5AD96052" w14:textId="77777777" w:rsidR="0041777C" w:rsidRDefault="00000000">
            <w:pPr>
              <w:tabs>
                <w:tab w:val="left" w:pos="284"/>
                <w:tab w:val="left" w:pos="426"/>
              </w:tabs>
              <w:jc w:val="both"/>
              <w:rPr>
                <w:lang w:val="en-GB"/>
              </w:rPr>
            </w:pPr>
            <w:r>
              <w:rPr>
                <w:lang w:val="en-GB"/>
              </w:rPr>
              <w:t>So</w:t>
            </w:r>
            <w:r>
              <w:rPr>
                <w:lang w:val="en-GB"/>
              </w:rPr>
              <w:tab/>
              <w:t xml:space="preserve">: </w:t>
            </w:r>
            <w:r>
              <w:rPr>
                <w:lang w:val="en-GB"/>
              </w:rPr>
              <w:tab/>
            </w:r>
            <w:r>
              <w:rPr>
                <w:b/>
                <w:bCs/>
                <w:lang w:val="en-GB"/>
              </w:rPr>
              <w:t>So</w:t>
            </w:r>
            <w:r>
              <w:rPr>
                <w:sz w:val="16"/>
                <w:szCs w:val="16"/>
                <w:lang w:val="en-GB"/>
              </w:rPr>
              <w:t>ftware</w:t>
            </w:r>
          </w:p>
          <w:p w14:paraId="605104E7" w14:textId="77777777" w:rsidR="0041777C" w:rsidRDefault="00000000">
            <w:pPr>
              <w:tabs>
                <w:tab w:val="left" w:pos="284"/>
                <w:tab w:val="left" w:pos="426"/>
              </w:tabs>
              <w:jc w:val="both"/>
              <w:rPr>
                <w:lang w:val="en-GB"/>
              </w:rPr>
            </w:pPr>
            <w:r>
              <w:rPr>
                <w:lang w:val="en-GB"/>
              </w:rPr>
              <w:t>Va</w:t>
            </w:r>
            <w:r>
              <w:rPr>
                <w:lang w:val="en-GB"/>
              </w:rPr>
              <w:tab/>
              <w:t xml:space="preserve">: </w:t>
            </w:r>
            <w:r>
              <w:rPr>
                <w:lang w:val="en-GB"/>
              </w:rPr>
              <w:tab/>
            </w:r>
            <w:r>
              <w:rPr>
                <w:b/>
                <w:bCs/>
                <w:lang w:val="en-GB"/>
              </w:rPr>
              <w:t>Va</w:t>
            </w:r>
            <w:r>
              <w:rPr>
                <w:sz w:val="16"/>
                <w:szCs w:val="16"/>
                <w:lang w:val="en-GB"/>
              </w:rPr>
              <w:t>lidation</w:t>
            </w:r>
          </w:p>
          <w:p w14:paraId="1F35F26E" w14:textId="77777777" w:rsidR="0041777C" w:rsidRDefault="00000000">
            <w:pPr>
              <w:tabs>
                <w:tab w:val="left" w:pos="284"/>
                <w:tab w:val="left" w:pos="426"/>
              </w:tabs>
              <w:jc w:val="both"/>
              <w:rPr>
                <w:lang w:val="en-GB"/>
              </w:rPr>
            </w:pPr>
            <w:r>
              <w:rPr>
                <w:lang w:val="en-GB"/>
              </w:rPr>
              <w:t>Fo</w:t>
            </w:r>
            <w:r>
              <w:rPr>
                <w:lang w:val="en-GB"/>
              </w:rPr>
              <w:tab/>
              <w:t xml:space="preserve">: </w:t>
            </w:r>
            <w:r>
              <w:rPr>
                <w:lang w:val="en-GB"/>
              </w:rPr>
              <w:tab/>
            </w:r>
            <w:r>
              <w:rPr>
                <w:b/>
                <w:bCs/>
                <w:lang w:val="en-GB"/>
              </w:rPr>
              <w:t>Fo</w:t>
            </w:r>
            <w:r>
              <w:rPr>
                <w:sz w:val="16"/>
                <w:szCs w:val="16"/>
                <w:lang w:val="en-GB"/>
              </w:rPr>
              <w:t>rmal analysis</w:t>
            </w:r>
          </w:p>
        </w:tc>
        <w:tc>
          <w:tcPr>
            <w:tcW w:w="3260" w:type="dxa"/>
            <w:tcBorders>
              <w:top w:val="nil"/>
              <w:left w:val="nil"/>
              <w:bottom w:val="nil"/>
              <w:right w:val="nil"/>
            </w:tcBorders>
          </w:tcPr>
          <w:p w14:paraId="73A217A3" w14:textId="77777777" w:rsidR="0041777C" w:rsidRDefault="00000000">
            <w:pPr>
              <w:tabs>
                <w:tab w:val="left" w:pos="284"/>
                <w:tab w:val="left" w:pos="426"/>
              </w:tabs>
              <w:jc w:val="both"/>
              <w:rPr>
                <w:lang w:val="en-GB"/>
              </w:rPr>
            </w:pPr>
            <w:r>
              <w:rPr>
                <w:lang w:val="en-GB"/>
              </w:rPr>
              <w:t>I</w:t>
            </w:r>
            <w:r>
              <w:rPr>
                <w:lang w:val="en-GB"/>
              </w:rPr>
              <w:tab/>
              <w:t xml:space="preserve">: </w:t>
            </w:r>
            <w:r>
              <w:rPr>
                <w:lang w:val="en-GB"/>
              </w:rPr>
              <w:tab/>
            </w:r>
            <w:r>
              <w:rPr>
                <w:b/>
                <w:bCs/>
                <w:lang w:val="en-GB"/>
              </w:rPr>
              <w:t>I</w:t>
            </w:r>
            <w:r>
              <w:rPr>
                <w:sz w:val="16"/>
                <w:szCs w:val="16"/>
                <w:lang w:val="en-GB"/>
              </w:rPr>
              <w:t>nvestigation</w:t>
            </w:r>
          </w:p>
          <w:p w14:paraId="2C71B277" w14:textId="77777777" w:rsidR="0041777C" w:rsidRDefault="00000000">
            <w:pPr>
              <w:tabs>
                <w:tab w:val="left" w:pos="284"/>
                <w:tab w:val="left" w:pos="426"/>
              </w:tabs>
              <w:jc w:val="both"/>
              <w:rPr>
                <w:lang w:val="en-GB"/>
              </w:rPr>
            </w:pPr>
            <w:r>
              <w:rPr>
                <w:lang w:val="en-GB"/>
              </w:rPr>
              <w:t>R</w:t>
            </w:r>
            <w:r>
              <w:rPr>
                <w:lang w:val="en-GB"/>
              </w:rPr>
              <w:tab/>
              <w:t xml:space="preserve">: </w:t>
            </w:r>
            <w:r>
              <w:rPr>
                <w:lang w:val="en-GB"/>
              </w:rPr>
              <w:tab/>
            </w:r>
            <w:r>
              <w:rPr>
                <w:b/>
                <w:bCs/>
                <w:lang w:val="en-GB"/>
              </w:rPr>
              <w:t>R</w:t>
            </w:r>
            <w:r>
              <w:rPr>
                <w:sz w:val="16"/>
                <w:szCs w:val="16"/>
                <w:lang w:val="en-GB"/>
              </w:rPr>
              <w:t>esources</w:t>
            </w:r>
          </w:p>
          <w:p w14:paraId="20D84896" w14:textId="77777777" w:rsidR="0041777C" w:rsidRDefault="00000000">
            <w:pPr>
              <w:tabs>
                <w:tab w:val="left" w:pos="284"/>
                <w:tab w:val="left" w:pos="426"/>
              </w:tabs>
              <w:jc w:val="both"/>
              <w:rPr>
                <w:lang w:val="en-GB"/>
              </w:rPr>
            </w:pPr>
            <w:r>
              <w:rPr>
                <w:lang w:val="en-GB"/>
              </w:rPr>
              <w:t>D</w:t>
            </w:r>
            <w:r>
              <w:rPr>
                <w:lang w:val="en-GB"/>
              </w:rPr>
              <w:tab/>
              <w:t>:</w:t>
            </w:r>
            <w:r>
              <w:rPr>
                <w:lang w:val="en-GB"/>
              </w:rPr>
              <w:tab/>
            </w:r>
            <w:r>
              <w:rPr>
                <w:b/>
                <w:bCs/>
                <w:lang w:val="en-GB"/>
              </w:rPr>
              <w:t>D</w:t>
            </w:r>
            <w:r>
              <w:rPr>
                <w:sz w:val="16"/>
                <w:szCs w:val="16"/>
                <w:lang w:val="en-GB"/>
              </w:rPr>
              <w:t>ata Curation</w:t>
            </w:r>
          </w:p>
          <w:p w14:paraId="246575AA" w14:textId="77777777" w:rsidR="0041777C" w:rsidRDefault="00000000">
            <w:pPr>
              <w:tabs>
                <w:tab w:val="left" w:pos="284"/>
                <w:tab w:val="left" w:pos="426"/>
              </w:tabs>
              <w:jc w:val="both"/>
              <w:rPr>
                <w:lang w:val="en-GB"/>
              </w:rPr>
            </w:pPr>
            <w:r>
              <w:rPr>
                <w:lang w:val="en-GB"/>
              </w:rPr>
              <w:t>O</w:t>
            </w:r>
            <w:r>
              <w:rPr>
                <w:lang w:val="en-GB"/>
              </w:rPr>
              <w:tab/>
              <w:t>:</w:t>
            </w:r>
            <w:r>
              <w:rPr>
                <w:lang w:val="en-GB"/>
              </w:rPr>
              <w:tab/>
            </w:r>
            <w:r>
              <w:rPr>
                <w:sz w:val="16"/>
                <w:szCs w:val="16"/>
                <w:lang w:val="en-GB"/>
              </w:rPr>
              <w:t>Writing -</w:t>
            </w:r>
            <w:r>
              <w:rPr>
                <w:lang w:val="en-GB"/>
              </w:rPr>
              <w:t xml:space="preserve"> </w:t>
            </w:r>
            <w:r>
              <w:rPr>
                <w:b/>
                <w:bCs/>
                <w:lang w:val="en-GB"/>
              </w:rPr>
              <w:t>O</w:t>
            </w:r>
            <w:r>
              <w:rPr>
                <w:sz w:val="16"/>
                <w:szCs w:val="16"/>
                <w:lang w:val="en-GB"/>
              </w:rPr>
              <w:t>riginal Draft</w:t>
            </w:r>
          </w:p>
          <w:p w14:paraId="635FC60F" w14:textId="77777777" w:rsidR="0041777C" w:rsidRDefault="00000000">
            <w:pPr>
              <w:tabs>
                <w:tab w:val="left" w:pos="284"/>
                <w:tab w:val="left" w:pos="426"/>
              </w:tabs>
              <w:jc w:val="both"/>
              <w:rPr>
                <w:lang w:val="en-GB"/>
              </w:rPr>
            </w:pPr>
            <w:r>
              <w:rPr>
                <w:lang w:val="en-GB"/>
              </w:rPr>
              <w:t>E</w:t>
            </w:r>
            <w:r>
              <w:rPr>
                <w:lang w:val="en-GB"/>
              </w:rPr>
              <w:tab/>
              <w:t>:</w:t>
            </w:r>
            <w:r>
              <w:rPr>
                <w:lang w:val="en-GB"/>
              </w:rPr>
              <w:tab/>
            </w:r>
            <w:r>
              <w:rPr>
                <w:sz w:val="16"/>
                <w:szCs w:val="16"/>
                <w:lang w:val="en-GB"/>
              </w:rPr>
              <w:t>Writing - Review &amp;</w:t>
            </w:r>
            <w:r>
              <w:rPr>
                <w:lang w:val="en-GB"/>
              </w:rPr>
              <w:t xml:space="preserve"> </w:t>
            </w:r>
            <w:r>
              <w:rPr>
                <w:b/>
                <w:bCs/>
                <w:lang w:val="en-GB"/>
              </w:rPr>
              <w:t>E</w:t>
            </w:r>
            <w:r>
              <w:rPr>
                <w:sz w:val="16"/>
                <w:szCs w:val="16"/>
                <w:lang w:val="en-GB"/>
              </w:rPr>
              <w:t>diting</w:t>
            </w:r>
          </w:p>
        </w:tc>
        <w:tc>
          <w:tcPr>
            <w:tcW w:w="2648" w:type="dxa"/>
            <w:tcBorders>
              <w:top w:val="nil"/>
              <w:left w:val="nil"/>
              <w:bottom w:val="nil"/>
              <w:right w:val="nil"/>
            </w:tcBorders>
          </w:tcPr>
          <w:p w14:paraId="6C3E1C57" w14:textId="77777777" w:rsidR="0041777C" w:rsidRDefault="00000000">
            <w:pPr>
              <w:tabs>
                <w:tab w:val="left" w:pos="284"/>
                <w:tab w:val="left" w:pos="426"/>
              </w:tabs>
              <w:jc w:val="both"/>
              <w:rPr>
                <w:lang w:val="en-GB"/>
              </w:rPr>
            </w:pPr>
            <w:r>
              <w:rPr>
                <w:lang w:val="en-GB"/>
              </w:rPr>
              <w:t>Vi</w:t>
            </w:r>
            <w:r>
              <w:rPr>
                <w:lang w:val="en-GB"/>
              </w:rPr>
              <w:tab/>
              <w:t xml:space="preserve">: </w:t>
            </w:r>
            <w:r>
              <w:rPr>
                <w:lang w:val="en-GB"/>
              </w:rPr>
              <w:tab/>
            </w:r>
            <w:r>
              <w:rPr>
                <w:b/>
                <w:bCs/>
                <w:lang w:val="en-GB"/>
              </w:rPr>
              <w:t>Vi</w:t>
            </w:r>
            <w:r>
              <w:rPr>
                <w:sz w:val="16"/>
                <w:szCs w:val="16"/>
                <w:lang w:val="en-GB"/>
              </w:rPr>
              <w:t>sualization</w:t>
            </w:r>
          </w:p>
          <w:p w14:paraId="25D22F37" w14:textId="77777777" w:rsidR="0041777C" w:rsidRDefault="00000000">
            <w:pPr>
              <w:tabs>
                <w:tab w:val="left" w:pos="284"/>
                <w:tab w:val="left" w:pos="426"/>
              </w:tabs>
              <w:jc w:val="both"/>
              <w:rPr>
                <w:lang w:val="en-GB"/>
              </w:rPr>
            </w:pPr>
            <w:r>
              <w:rPr>
                <w:lang w:val="en-GB"/>
              </w:rPr>
              <w:t>Su</w:t>
            </w:r>
            <w:r>
              <w:rPr>
                <w:lang w:val="en-GB"/>
              </w:rPr>
              <w:tab/>
              <w:t xml:space="preserve">: </w:t>
            </w:r>
            <w:r>
              <w:rPr>
                <w:lang w:val="en-GB"/>
              </w:rPr>
              <w:tab/>
            </w:r>
            <w:r>
              <w:rPr>
                <w:b/>
                <w:bCs/>
                <w:lang w:val="en-GB"/>
              </w:rPr>
              <w:t>Su</w:t>
            </w:r>
            <w:r>
              <w:rPr>
                <w:sz w:val="16"/>
                <w:szCs w:val="16"/>
                <w:lang w:val="en-GB"/>
              </w:rPr>
              <w:t>pervision</w:t>
            </w:r>
          </w:p>
          <w:p w14:paraId="0B6A2355" w14:textId="77777777" w:rsidR="0041777C" w:rsidRDefault="00000000">
            <w:pPr>
              <w:tabs>
                <w:tab w:val="left" w:pos="284"/>
                <w:tab w:val="left" w:pos="426"/>
              </w:tabs>
              <w:jc w:val="both"/>
              <w:rPr>
                <w:lang w:val="en-GB"/>
              </w:rPr>
            </w:pPr>
            <w:r>
              <w:rPr>
                <w:lang w:val="en-GB"/>
              </w:rPr>
              <w:t>P</w:t>
            </w:r>
            <w:r>
              <w:rPr>
                <w:lang w:val="en-GB"/>
              </w:rPr>
              <w:tab/>
              <w:t xml:space="preserve">: </w:t>
            </w:r>
            <w:r>
              <w:rPr>
                <w:lang w:val="en-GB"/>
              </w:rPr>
              <w:tab/>
            </w:r>
            <w:r>
              <w:rPr>
                <w:b/>
                <w:bCs/>
                <w:lang w:val="en-GB"/>
              </w:rPr>
              <w:t>P</w:t>
            </w:r>
            <w:r>
              <w:rPr>
                <w:sz w:val="16"/>
                <w:szCs w:val="16"/>
                <w:lang w:val="en-GB"/>
              </w:rPr>
              <w:t>roject administration</w:t>
            </w:r>
          </w:p>
          <w:p w14:paraId="01DA18E6" w14:textId="77777777" w:rsidR="0041777C" w:rsidRDefault="00000000">
            <w:pPr>
              <w:tabs>
                <w:tab w:val="left" w:pos="284"/>
                <w:tab w:val="left" w:pos="426"/>
              </w:tabs>
              <w:jc w:val="both"/>
              <w:rPr>
                <w:lang w:val="en-GB"/>
              </w:rPr>
            </w:pPr>
            <w:r>
              <w:rPr>
                <w:lang w:val="en-GB"/>
              </w:rPr>
              <w:t>Fu</w:t>
            </w:r>
            <w:r>
              <w:rPr>
                <w:lang w:val="en-GB"/>
              </w:rPr>
              <w:tab/>
              <w:t xml:space="preserve">: </w:t>
            </w:r>
            <w:r>
              <w:rPr>
                <w:lang w:val="en-GB"/>
              </w:rPr>
              <w:tab/>
            </w:r>
            <w:r>
              <w:rPr>
                <w:b/>
                <w:bCs/>
                <w:lang w:val="en-GB"/>
              </w:rPr>
              <w:t>Fu</w:t>
            </w:r>
            <w:r>
              <w:rPr>
                <w:sz w:val="16"/>
                <w:szCs w:val="16"/>
                <w:lang w:val="en-GB"/>
              </w:rPr>
              <w:t>nding acquisition</w:t>
            </w:r>
          </w:p>
          <w:p w14:paraId="26F9D8B1" w14:textId="77777777" w:rsidR="0041777C" w:rsidRDefault="0041777C">
            <w:pPr>
              <w:tabs>
                <w:tab w:val="left" w:pos="284"/>
                <w:tab w:val="left" w:pos="426"/>
              </w:tabs>
              <w:jc w:val="both"/>
              <w:rPr>
                <w:lang w:val="en-GB"/>
              </w:rPr>
            </w:pPr>
          </w:p>
        </w:tc>
      </w:tr>
    </w:tbl>
    <w:p w14:paraId="05A7B840" w14:textId="77777777" w:rsidR="0041777C" w:rsidRDefault="0041777C">
      <w:pPr>
        <w:jc w:val="both"/>
        <w:rPr>
          <w:b/>
          <w:bCs/>
          <w:lang w:val="en-GB"/>
        </w:rPr>
      </w:pPr>
    </w:p>
    <w:p w14:paraId="0E542713" w14:textId="77777777" w:rsidR="0041777C" w:rsidRDefault="00000000">
      <w:pPr>
        <w:jc w:val="both"/>
        <w:rPr>
          <w:lang w:val="en-GB"/>
        </w:rPr>
      </w:pPr>
      <w:r>
        <w:rPr>
          <w:b/>
          <w:bCs/>
          <w:lang w:val="en-GB"/>
        </w:rPr>
        <w:t>CONFLICT OF INTEREST STATEMENT</w:t>
      </w:r>
    </w:p>
    <w:p w14:paraId="4D6BC3BE" w14:textId="77777777" w:rsidR="0041777C" w:rsidRDefault="00000000">
      <w:pPr>
        <w:tabs>
          <w:tab w:val="left" w:pos="284"/>
          <w:tab w:val="left" w:pos="426"/>
        </w:tabs>
        <w:ind w:firstLine="709"/>
        <w:jc w:val="both"/>
        <w:rPr>
          <w:lang w:val="en-GB"/>
        </w:rPr>
      </w:pPr>
      <w:r>
        <w:rPr>
          <w:lang w:val="en-GB"/>
        </w:rPr>
        <w:t xml:space="preserve"> The authors state that they have no conflict of interest.</w:t>
      </w:r>
    </w:p>
    <w:p w14:paraId="3A412092" w14:textId="77777777" w:rsidR="0041777C" w:rsidRDefault="0041777C">
      <w:pPr>
        <w:tabs>
          <w:tab w:val="left" w:pos="284"/>
          <w:tab w:val="left" w:pos="426"/>
        </w:tabs>
        <w:jc w:val="both"/>
        <w:rPr>
          <w:lang w:val="en-GB"/>
        </w:rPr>
      </w:pPr>
    </w:p>
    <w:p w14:paraId="6F8B64FE" w14:textId="77777777" w:rsidR="0041777C" w:rsidRDefault="00000000">
      <w:pPr>
        <w:jc w:val="both"/>
        <w:rPr>
          <w:lang w:val="en-GB"/>
        </w:rPr>
      </w:pPr>
      <w:r>
        <w:rPr>
          <w:b/>
          <w:bCs/>
          <w:lang w:val="en-GB"/>
        </w:rPr>
        <w:t>INFORMED CONSENT</w:t>
      </w:r>
    </w:p>
    <w:p w14:paraId="51AE49F3" w14:textId="77777777" w:rsidR="0041777C" w:rsidRDefault="00000000">
      <w:pPr>
        <w:tabs>
          <w:tab w:val="left" w:pos="284"/>
          <w:tab w:val="left" w:pos="426"/>
        </w:tabs>
        <w:ind w:firstLine="709"/>
        <w:jc w:val="both"/>
        <w:rPr>
          <w:lang w:val="en-GB"/>
        </w:rPr>
      </w:pPr>
      <w:r>
        <w:rPr>
          <w:lang w:val="en-GB"/>
        </w:rPr>
        <w:t xml:space="preserve"> All student participants were provided with a written informed consent form prior to their involvement in the study. By signing the form, they confirmed their voluntary participation and acknowledged that their learning activities would be observed and documented as part of the research process.</w:t>
      </w:r>
    </w:p>
    <w:p w14:paraId="2657DBDA" w14:textId="77777777" w:rsidR="0041777C" w:rsidRDefault="0041777C">
      <w:pPr>
        <w:jc w:val="both"/>
        <w:rPr>
          <w:b/>
          <w:bCs/>
          <w:lang w:val="en-GB"/>
        </w:rPr>
      </w:pPr>
    </w:p>
    <w:p w14:paraId="1399F53E" w14:textId="77777777" w:rsidR="0041777C" w:rsidRDefault="00000000">
      <w:pPr>
        <w:jc w:val="both"/>
        <w:rPr>
          <w:lang w:val="en-GB"/>
        </w:rPr>
      </w:pPr>
      <w:r>
        <w:rPr>
          <w:b/>
          <w:bCs/>
          <w:lang w:val="en-GB"/>
        </w:rPr>
        <w:t>ETHICAL APPROVAL</w:t>
      </w:r>
    </w:p>
    <w:p w14:paraId="14620419" w14:textId="77777777" w:rsidR="0041777C" w:rsidRDefault="00000000">
      <w:pPr>
        <w:tabs>
          <w:tab w:val="left" w:pos="284"/>
          <w:tab w:val="left" w:pos="426"/>
        </w:tabs>
        <w:ind w:firstLine="709"/>
        <w:jc w:val="both"/>
        <w:rPr>
          <w:lang w:val="en-GB"/>
        </w:rPr>
      </w:pPr>
      <w:r>
        <w:rPr>
          <w:lang w:val="en-GB"/>
        </w:rPr>
        <w:t xml:space="preserve">This study </w:t>
      </w:r>
      <w:proofErr w:type="gramStart"/>
      <w:r>
        <w:rPr>
          <w:lang w:val="en-GB"/>
        </w:rPr>
        <w:t>involved  university</w:t>
      </w:r>
      <w:proofErr w:type="gramEnd"/>
      <w:r>
        <w:rPr>
          <w:lang w:val="en-GB"/>
        </w:rPr>
        <w:t xml:space="preserve"> students and was conducted in accordance with relevant institutional guidelines for educational research, including voluntary participation, anonymity, confidentiality, and non-evaluative participation. No separate ethics approval number was reported in the study records used for this manuscript.</w:t>
      </w:r>
    </w:p>
    <w:p w14:paraId="0F43EBE2" w14:textId="77777777" w:rsidR="0041777C" w:rsidRDefault="0041777C">
      <w:pPr>
        <w:jc w:val="both"/>
        <w:rPr>
          <w:b/>
          <w:bCs/>
          <w:lang w:val="en-GB"/>
        </w:rPr>
      </w:pPr>
    </w:p>
    <w:p w14:paraId="3BBCE471" w14:textId="77777777" w:rsidR="0041777C" w:rsidRDefault="0041777C">
      <w:pPr>
        <w:jc w:val="both"/>
        <w:rPr>
          <w:b/>
          <w:bCs/>
          <w:lang w:val="en-GB"/>
        </w:rPr>
      </w:pPr>
    </w:p>
    <w:p w14:paraId="58948463" w14:textId="77777777" w:rsidR="0041777C" w:rsidRDefault="00000000">
      <w:pPr>
        <w:jc w:val="both"/>
        <w:rPr>
          <w:lang w:val="en-GB"/>
        </w:rPr>
      </w:pPr>
      <w:r>
        <w:rPr>
          <w:b/>
          <w:bCs/>
          <w:lang w:val="en-GB"/>
        </w:rPr>
        <w:t>DATA AVAILABILITY</w:t>
      </w:r>
    </w:p>
    <w:p w14:paraId="54A7B2CA" w14:textId="77777777" w:rsidR="0041777C" w:rsidRDefault="00000000">
      <w:pPr>
        <w:tabs>
          <w:tab w:val="left" w:pos="284"/>
          <w:tab w:val="left" w:pos="426"/>
        </w:tabs>
        <w:ind w:firstLine="709"/>
        <w:jc w:val="both"/>
        <w:rPr>
          <w:lang w:val="en-GB"/>
        </w:rPr>
      </w:pPr>
      <w:r>
        <w:rPr>
          <w:lang w:val="en-GB"/>
        </w:rPr>
        <w:t>The data that support the findings of this study are available from the corresponding author upon reasonable request. The data are not publicly available because they contain information that could compromise the privacy of research participants.</w:t>
      </w:r>
    </w:p>
    <w:p w14:paraId="4082CDA5" w14:textId="77777777" w:rsidR="0041777C" w:rsidRDefault="0041777C">
      <w:pPr>
        <w:tabs>
          <w:tab w:val="left" w:pos="284"/>
          <w:tab w:val="left" w:pos="426"/>
        </w:tabs>
        <w:jc w:val="both"/>
        <w:rPr>
          <w:lang w:val="en-GB"/>
        </w:rPr>
      </w:pPr>
    </w:p>
    <w:p w14:paraId="7517F9BF" w14:textId="77777777" w:rsidR="0041777C" w:rsidRDefault="0041777C">
      <w:pPr>
        <w:jc w:val="both"/>
        <w:rPr>
          <w:lang w:val="en-GB"/>
        </w:rPr>
      </w:pPr>
    </w:p>
    <w:p w14:paraId="33D5072E" w14:textId="77777777" w:rsidR="0041777C" w:rsidRDefault="00000000">
      <w:pPr>
        <w:jc w:val="both"/>
      </w:pPr>
      <w:bookmarkStart w:id="3" w:name="_Hlk78354977"/>
      <w:r>
        <w:rPr>
          <w:rStyle w:val="apple-style-span"/>
          <w:b/>
          <w:color w:val="000000"/>
          <w:lang w:val="en-GB"/>
        </w:rPr>
        <w:t>REFERENCES</w:t>
      </w:r>
      <w:bookmarkEnd w:id="3"/>
    </w:p>
    <w:p w14:paraId="0E812DAE" w14:textId="77777777" w:rsidR="0041777C" w:rsidRPr="00691A14" w:rsidRDefault="00000000">
      <w:pPr>
        <w:pStyle w:val="BodyText"/>
        <w:spacing w:after="0"/>
        <w:ind w:left="567" w:hanging="567"/>
        <w:jc w:val="both"/>
        <w:rPr>
          <w:highlight w:val="lightGray"/>
        </w:rPr>
      </w:pPr>
      <w:hyperlink r:id="rId14">
        <w:r w:rsidRPr="00691A14">
          <w:rPr>
            <w:rStyle w:val="Hyperlink"/>
            <w:color w:val="1F0909"/>
            <w:highlight w:val="lightGray"/>
            <w:u w:val="none"/>
            <w:shd w:val="clear" w:color="auto" w:fill="B2B2B2"/>
            <w:lang w:val="en-GB" w:eastAsia="en-US"/>
          </w:rPr>
          <w:t xml:space="preserve">[1] </w:t>
        </w:r>
        <w:r w:rsidRPr="00691A14">
          <w:rPr>
            <w:rStyle w:val="Hyperlink"/>
            <w:color w:val="1F0909"/>
            <w:highlight w:val="lightGray"/>
            <w:u w:val="none"/>
            <w:shd w:val="clear" w:color="auto" w:fill="B2B2B2"/>
            <w:lang w:val="en-GB" w:eastAsia="en-US"/>
          </w:rPr>
          <w:tab/>
          <w:t xml:space="preserve">Menteri Pendidikan dan Kebudayaan Republik Indonesia, </w:t>
        </w:r>
      </w:hyperlink>
      <w:proofErr w:type="spellStart"/>
      <w:r w:rsidRPr="00691A14">
        <w:rPr>
          <w:rStyle w:val="Emphasis"/>
          <w:i w:val="0"/>
          <w:color w:val="1F0909"/>
          <w:highlight w:val="lightGray"/>
          <w:shd w:val="clear" w:color="auto" w:fill="B2B2B2"/>
          <w:lang w:val="en-GB" w:eastAsia="en-US"/>
        </w:rPr>
        <w:t>Peraturan</w:t>
      </w:r>
      <w:proofErr w:type="spellEnd"/>
      <w:r w:rsidRPr="00691A14">
        <w:rPr>
          <w:rStyle w:val="Emphasis"/>
          <w:i w:val="0"/>
          <w:color w:val="1F0909"/>
          <w:highlight w:val="lightGray"/>
          <w:shd w:val="clear" w:color="auto" w:fill="B2B2B2"/>
          <w:lang w:val="en-GB" w:eastAsia="en-US"/>
        </w:rPr>
        <w:t xml:space="preserve"> Menteri Pendidikan dan </w:t>
      </w:r>
      <w:proofErr w:type="spellStart"/>
      <w:r w:rsidRPr="00691A14">
        <w:rPr>
          <w:rStyle w:val="Emphasis"/>
          <w:i w:val="0"/>
          <w:color w:val="1F0909"/>
          <w:highlight w:val="lightGray"/>
          <w:shd w:val="clear" w:color="auto" w:fill="B2B2B2"/>
          <w:lang w:val="en-GB" w:eastAsia="en-US"/>
        </w:rPr>
        <w:t>Kebudayaan</w:t>
      </w:r>
      <w:proofErr w:type="spellEnd"/>
      <w:r w:rsidRPr="00691A14">
        <w:rPr>
          <w:rStyle w:val="Emphasis"/>
          <w:i w:val="0"/>
          <w:color w:val="1F0909"/>
          <w:highlight w:val="lightGray"/>
          <w:shd w:val="clear" w:color="auto" w:fill="B2B2B2"/>
          <w:lang w:val="en-GB" w:eastAsia="en-US"/>
        </w:rPr>
        <w:t xml:space="preserve"> Republik Indonesia </w:t>
      </w:r>
      <w:proofErr w:type="spellStart"/>
      <w:r w:rsidRPr="00691A14">
        <w:rPr>
          <w:rStyle w:val="Emphasis"/>
          <w:i w:val="0"/>
          <w:color w:val="1F0909"/>
          <w:highlight w:val="lightGray"/>
          <w:shd w:val="clear" w:color="auto" w:fill="B2B2B2"/>
          <w:lang w:val="en-GB" w:eastAsia="en-US"/>
        </w:rPr>
        <w:t>Nomor</w:t>
      </w:r>
      <w:proofErr w:type="spellEnd"/>
      <w:r w:rsidRPr="00691A14">
        <w:rPr>
          <w:rStyle w:val="Emphasis"/>
          <w:i w:val="0"/>
          <w:color w:val="1F0909"/>
          <w:highlight w:val="lightGray"/>
          <w:shd w:val="clear" w:color="auto" w:fill="B2B2B2"/>
          <w:lang w:val="en-GB" w:eastAsia="en-US"/>
        </w:rPr>
        <w:t xml:space="preserve"> 3 </w:t>
      </w:r>
      <w:proofErr w:type="spellStart"/>
      <w:r w:rsidRPr="00691A14">
        <w:rPr>
          <w:rStyle w:val="Emphasis"/>
          <w:i w:val="0"/>
          <w:color w:val="1F0909"/>
          <w:highlight w:val="lightGray"/>
          <w:shd w:val="clear" w:color="auto" w:fill="B2B2B2"/>
          <w:lang w:val="en-GB" w:eastAsia="en-US"/>
        </w:rPr>
        <w:t>Tahun</w:t>
      </w:r>
      <w:proofErr w:type="spellEnd"/>
      <w:r w:rsidRPr="00691A14">
        <w:rPr>
          <w:rStyle w:val="Emphasis"/>
          <w:i w:val="0"/>
          <w:color w:val="1F0909"/>
          <w:highlight w:val="lightGray"/>
          <w:shd w:val="clear" w:color="auto" w:fill="B2B2B2"/>
          <w:lang w:val="en-GB" w:eastAsia="en-US"/>
        </w:rPr>
        <w:t xml:space="preserve"> 2020 </w:t>
      </w:r>
      <w:proofErr w:type="spellStart"/>
      <w:r w:rsidRPr="00691A14">
        <w:rPr>
          <w:rStyle w:val="Emphasis"/>
          <w:i w:val="0"/>
          <w:color w:val="1F0909"/>
          <w:highlight w:val="lightGray"/>
          <w:shd w:val="clear" w:color="auto" w:fill="B2B2B2"/>
          <w:lang w:val="en-GB" w:eastAsia="en-US"/>
        </w:rPr>
        <w:t>tentang</w:t>
      </w:r>
      <w:proofErr w:type="spellEnd"/>
      <w:r w:rsidRPr="00691A14">
        <w:rPr>
          <w:rStyle w:val="Emphasis"/>
          <w:i w:val="0"/>
          <w:color w:val="1F0909"/>
          <w:highlight w:val="lightGray"/>
          <w:shd w:val="clear" w:color="auto" w:fill="B2B2B2"/>
          <w:lang w:val="en-GB" w:eastAsia="en-US"/>
        </w:rPr>
        <w:t xml:space="preserve"> </w:t>
      </w:r>
      <w:proofErr w:type="spellStart"/>
      <w:r w:rsidRPr="00691A14">
        <w:rPr>
          <w:rStyle w:val="Emphasis"/>
          <w:i w:val="0"/>
          <w:color w:val="1F0909"/>
          <w:highlight w:val="lightGray"/>
          <w:shd w:val="clear" w:color="auto" w:fill="B2B2B2"/>
          <w:lang w:val="en-GB" w:eastAsia="en-US"/>
        </w:rPr>
        <w:t>Standar</w:t>
      </w:r>
      <w:proofErr w:type="spellEnd"/>
      <w:r w:rsidRPr="00691A14">
        <w:rPr>
          <w:rStyle w:val="Emphasis"/>
          <w:i w:val="0"/>
          <w:color w:val="1F0909"/>
          <w:highlight w:val="lightGray"/>
          <w:shd w:val="clear" w:color="auto" w:fill="B2B2B2"/>
          <w:lang w:val="en-GB" w:eastAsia="en-US"/>
        </w:rPr>
        <w:t xml:space="preserve"> Nasional Pendidikan Tinggi</w:t>
      </w:r>
      <w:r w:rsidRPr="00691A14">
        <w:rPr>
          <w:rStyle w:val="Hyperlink"/>
          <w:color w:val="1F0909"/>
          <w:highlight w:val="lightGray"/>
          <w:u w:val="none"/>
          <w:shd w:val="clear" w:color="auto" w:fill="B2B2B2"/>
          <w:lang w:val="en-GB" w:eastAsia="en-US"/>
        </w:rPr>
        <w:t xml:space="preserve">, 2020. [Online]. Available: </w:t>
      </w:r>
      <w:hyperlink r:id="rId15">
        <w:r w:rsidRPr="00691A14">
          <w:rPr>
            <w:rStyle w:val="Hyperlink"/>
            <w:color w:val="065588"/>
            <w:highlight w:val="lightGray"/>
            <w:u w:val="none"/>
            <w:shd w:val="clear" w:color="auto" w:fill="B2B2B2"/>
            <w:lang w:val="en-GB" w:eastAsia="en-US"/>
          </w:rPr>
          <w:t>https://peraturan.bpk.go.id/Details/163703/permendikbud-no-3-tahun-2020</w:t>
        </w:r>
      </w:hyperlink>
    </w:p>
    <w:p w14:paraId="0CC22802"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[2] </w:t>
      </w:r>
      <w:r w:rsidRPr="00691A14">
        <w:rPr>
          <w:color w:val="1F0909"/>
          <w:highlight w:val="lightGray"/>
          <w:shd w:val="clear" w:color="auto" w:fill="B2B2B2"/>
          <w:lang w:val="en-GB" w:eastAsia="en-US"/>
        </w:rPr>
        <w:tab/>
        <w:t>A. Gunawan, M. Yamin, and M. M. Hidayatullah, "</w:t>
      </w:r>
      <w:proofErr w:type="spellStart"/>
      <w:r w:rsidRPr="00691A14">
        <w:rPr>
          <w:color w:val="1F0909"/>
          <w:highlight w:val="lightGray"/>
          <w:shd w:val="clear" w:color="auto" w:fill="B2B2B2"/>
          <w:lang w:val="en-GB" w:eastAsia="en-US"/>
        </w:rPr>
        <w:t>Analisis</w:t>
      </w:r>
      <w:proofErr w:type="spellEnd"/>
      <w:r w:rsidRPr="00691A14">
        <w:rPr>
          <w:color w:val="1F0909"/>
          <w:highlight w:val="lightGray"/>
          <w:shd w:val="clear" w:color="auto" w:fill="B2B2B2"/>
          <w:lang w:val="en-GB" w:eastAsia="en-US"/>
        </w:rPr>
        <w:t xml:space="preserve"> </w:t>
      </w:r>
      <w:proofErr w:type="spellStart"/>
      <w:r w:rsidRPr="00691A14">
        <w:rPr>
          <w:color w:val="1F0909"/>
          <w:highlight w:val="lightGray"/>
          <w:shd w:val="clear" w:color="auto" w:fill="B2B2B2"/>
          <w:lang w:val="en-GB" w:eastAsia="en-US"/>
        </w:rPr>
        <w:t>kemampuan</w:t>
      </w:r>
      <w:proofErr w:type="spellEnd"/>
      <w:r w:rsidRPr="00691A14">
        <w:rPr>
          <w:color w:val="1F0909"/>
          <w:highlight w:val="lightGray"/>
          <w:shd w:val="clear" w:color="auto" w:fill="B2B2B2"/>
          <w:lang w:val="en-GB" w:eastAsia="en-US"/>
        </w:rPr>
        <w:t xml:space="preserve"> </w:t>
      </w:r>
      <w:proofErr w:type="spellStart"/>
      <w:r w:rsidRPr="00691A14">
        <w:rPr>
          <w:color w:val="1F0909"/>
          <w:highlight w:val="lightGray"/>
          <w:shd w:val="clear" w:color="auto" w:fill="B2B2B2"/>
          <w:lang w:val="en-GB" w:eastAsia="en-US"/>
        </w:rPr>
        <w:t>berbicara</w:t>
      </w:r>
      <w:proofErr w:type="spellEnd"/>
      <w:r w:rsidRPr="00691A14">
        <w:rPr>
          <w:color w:val="1F0909"/>
          <w:highlight w:val="lightGray"/>
          <w:shd w:val="clear" w:color="auto" w:fill="B2B2B2"/>
          <w:lang w:val="en-GB" w:eastAsia="en-US"/>
        </w:rPr>
        <w:t xml:space="preserve"> </w:t>
      </w:r>
      <w:proofErr w:type="spellStart"/>
      <w:r w:rsidRPr="00691A14">
        <w:rPr>
          <w:color w:val="1F0909"/>
          <w:highlight w:val="lightGray"/>
          <w:shd w:val="clear" w:color="auto" w:fill="B2B2B2"/>
          <w:lang w:val="en-GB" w:eastAsia="en-US"/>
        </w:rPr>
        <w:t>dalam</w:t>
      </w:r>
      <w:proofErr w:type="spellEnd"/>
      <w:r w:rsidRPr="00691A14">
        <w:rPr>
          <w:color w:val="1F0909"/>
          <w:highlight w:val="lightGray"/>
          <w:shd w:val="clear" w:color="auto" w:fill="B2B2B2"/>
          <w:lang w:val="en-GB" w:eastAsia="en-US"/>
        </w:rPr>
        <w:t xml:space="preserve"> </w:t>
      </w:r>
      <w:proofErr w:type="spellStart"/>
      <w:r w:rsidRPr="00691A14">
        <w:rPr>
          <w:color w:val="1F0909"/>
          <w:highlight w:val="lightGray"/>
          <w:shd w:val="clear" w:color="auto" w:fill="B2B2B2"/>
          <w:lang w:val="en-GB" w:eastAsia="en-US"/>
        </w:rPr>
        <w:t>presentasi</w:t>
      </w:r>
      <w:proofErr w:type="spellEnd"/>
      <w:r w:rsidRPr="00691A14">
        <w:rPr>
          <w:color w:val="1F0909"/>
          <w:highlight w:val="lightGray"/>
          <w:shd w:val="clear" w:color="auto" w:fill="B2B2B2"/>
          <w:lang w:val="en-GB" w:eastAsia="en-US"/>
        </w:rPr>
        <w:t xml:space="preserve"> </w:t>
      </w:r>
      <w:proofErr w:type="spellStart"/>
      <w:r w:rsidRPr="00691A14">
        <w:rPr>
          <w:color w:val="1F0909"/>
          <w:highlight w:val="lightGray"/>
          <w:shd w:val="clear" w:color="auto" w:fill="B2B2B2"/>
          <w:lang w:val="en-GB" w:eastAsia="en-US"/>
        </w:rPr>
        <w:t>ilmiah</w:t>
      </w:r>
      <w:proofErr w:type="spellEnd"/>
      <w:r w:rsidRPr="00691A14">
        <w:rPr>
          <w:color w:val="1F0909"/>
          <w:highlight w:val="lightGray"/>
          <w:shd w:val="clear" w:color="auto" w:fill="B2B2B2"/>
          <w:lang w:val="en-GB" w:eastAsia="en-US"/>
        </w:rPr>
        <w:t xml:space="preserve"> </w:t>
      </w:r>
      <w:proofErr w:type="spellStart"/>
      <w:r w:rsidRPr="00691A14">
        <w:rPr>
          <w:color w:val="1F0909"/>
          <w:highlight w:val="lightGray"/>
          <w:shd w:val="clear" w:color="auto" w:fill="B2B2B2"/>
          <w:lang w:val="en-GB" w:eastAsia="en-US"/>
        </w:rPr>
        <w:t>mahasiswa</w:t>
      </w:r>
      <w:proofErr w:type="spellEnd"/>
      <w:r w:rsidRPr="00691A14">
        <w:rPr>
          <w:color w:val="1F0909"/>
          <w:highlight w:val="lightGray"/>
          <w:shd w:val="clear" w:color="auto" w:fill="B2B2B2"/>
          <w:lang w:val="en-GB" w:eastAsia="en-US"/>
        </w:rPr>
        <w:t xml:space="preserve"> Program Studi Pendidikan </w:t>
      </w:r>
      <w:proofErr w:type="spellStart"/>
      <w:r w:rsidRPr="00691A14">
        <w:rPr>
          <w:color w:val="1F0909"/>
          <w:highlight w:val="lightGray"/>
          <w:shd w:val="clear" w:color="auto" w:fill="B2B2B2"/>
          <w:lang w:val="en-GB" w:eastAsia="en-US"/>
        </w:rPr>
        <w:t>Teknologi</w:t>
      </w:r>
      <w:proofErr w:type="spellEnd"/>
      <w:r w:rsidRPr="00691A14">
        <w:rPr>
          <w:color w:val="1F0909"/>
          <w:highlight w:val="lightGray"/>
          <w:shd w:val="clear" w:color="auto" w:fill="B2B2B2"/>
          <w:lang w:val="en-GB" w:eastAsia="en-US"/>
        </w:rPr>
        <w:t xml:space="preserve"> </w:t>
      </w:r>
      <w:proofErr w:type="spellStart"/>
      <w:r w:rsidRPr="00691A14">
        <w:rPr>
          <w:color w:val="1F0909"/>
          <w:highlight w:val="lightGray"/>
          <w:shd w:val="clear" w:color="auto" w:fill="B2B2B2"/>
          <w:lang w:val="en-GB" w:eastAsia="en-US"/>
        </w:rPr>
        <w:t>Informasi</w:t>
      </w:r>
      <w:proofErr w:type="spellEnd"/>
      <w:r w:rsidRPr="00691A14">
        <w:rPr>
          <w:color w:val="1F0909"/>
          <w:highlight w:val="lightGray"/>
          <w:shd w:val="clear" w:color="auto" w:fill="B2B2B2"/>
          <w:lang w:val="en-GB" w:eastAsia="en-US"/>
        </w:rPr>
        <w:t xml:space="preserve"> STKIP Taman </w:t>
      </w:r>
      <w:proofErr w:type="spellStart"/>
      <w:r w:rsidRPr="00691A14">
        <w:rPr>
          <w:color w:val="1F0909"/>
          <w:highlight w:val="lightGray"/>
          <w:shd w:val="clear" w:color="auto" w:fill="B2B2B2"/>
          <w:lang w:val="en-GB" w:eastAsia="en-US"/>
        </w:rPr>
        <w:t>Siswa</w:t>
      </w:r>
      <w:proofErr w:type="spellEnd"/>
      <w:r w:rsidRPr="00691A14">
        <w:rPr>
          <w:color w:val="1F0909"/>
          <w:highlight w:val="lightGray"/>
          <w:shd w:val="clear" w:color="auto" w:fill="B2B2B2"/>
          <w:lang w:val="en-GB" w:eastAsia="en-US"/>
        </w:rPr>
        <w:t xml:space="preserve"> Bima," 2023. [Online]. Available: </w:t>
      </w:r>
      <w:hyperlink r:id="rId16">
        <w:r w:rsidRPr="00691A14">
          <w:rPr>
            <w:rStyle w:val="Hyperlink"/>
            <w:color w:val="065588"/>
            <w:highlight w:val="lightGray"/>
            <w:u w:val="none"/>
            <w:shd w:val="clear" w:color="auto" w:fill="B2B2B2"/>
            <w:lang w:val="en-GB" w:eastAsia="en-US"/>
          </w:rPr>
          <w:t>https://download.garuda.kemdikbud.go.id/article.php?article=3454585&amp;val=30103&amp;title=Analisis%20Kemampuan%20Berbicara%20dalam%20Presentasi%20Ilmiah%20Mahasiswa%20Program%20Studi%20Pendidikan%20Teknologi%20Informasi%20STKIP%20Taman%20Siswa%20Bima</w:t>
        </w:r>
      </w:hyperlink>
    </w:p>
    <w:p w14:paraId="0F858642"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[3] </w:t>
      </w:r>
      <w:r w:rsidRPr="00691A14">
        <w:rPr>
          <w:color w:val="1F0909"/>
          <w:highlight w:val="lightGray"/>
          <w:shd w:val="clear" w:color="auto" w:fill="B2B2B2"/>
          <w:lang w:val="en-GB" w:eastAsia="en-US"/>
        </w:rPr>
        <w:tab/>
        <w:t xml:space="preserve">C. C. M. Goh, "Research into practice: Scaffolding learning processes to improve speaking performance," </w:t>
      </w:r>
      <w:r w:rsidRPr="00691A14">
        <w:rPr>
          <w:rStyle w:val="Emphasis"/>
          <w:i w:val="0"/>
          <w:color w:val="1F0909"/>
          <w:highlight w:val="lightGray"/>
          <w:shd w:val="clear" w:color="auto" w:fill="B2B2B2"/>
          <w:lang w:val="en-GB" w:eastAsia="en-US"/>
        </w:rPr>
        <w:t>Language Teaching</w:t>
      </w:r>
      <w:r w:rsidRPr="00691A14">
        <w:rPr>
          <w:color w:val="1F0909"/>
          <w:highlight w:val="lightGray"/>
          <w:shd w:val="clear" w:color="auto" w:fill="B2B2B2"/>
          <w:lang w:val="en-GB" w:eastAsia="en-US"/>
        </w:rPr>
        <w:t xml:space="preserve">, vol. 50, no. 2, pp. 247-260, 2017,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10.1017/S0261444816000483.</w:t>
      </w:r>
    </w:p>
    <w:p w14:paraId="107C47EE"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[4]</w:t>
      </w:r>
      <w:r w:rsidRPr="00691A14">
        <w:rPr>
          <w:color w:val="1F0909"/>
          <w:highlight w:val="lightGray"/>
          <w:shd w:val="clear" w:color="auto" w:fill="B2B2B2"/>
          <w:lang w:val="en-GB" w:eastAsia="en-US"/>
        </w:rPr>
        <w:tab/>
        <w:t xml:space="preserve">J. H. Flavell, "Metacognition and cognitive monitoring: A new area of cognitive-developmental inquiry," </w:t>
      </w:r>
      <w:r w:rsidRPr="00691A14">
        <w:rPr>
          <w:rStyle w:val="Emphasis"/>
          <w:i w:val="0"/>
          <w:color w:val="1F0909"/>
          <w:highlight w:val="lightGray"/>
          <w:shd w:val="clear" w:color="auto" w:fill="B2B2B2"/>
          <w:lang w:val="en-GB" w:eastAsia="en-US"/>
        </w:rPr>
        <w:t>American Psychologist</w:t>
      </w:r>
      <w:r w:rsidRPr="00691A14">
        <w:rPr>
          <w:color w:val="1F0909"/>
          <w:highlight w:val="lightGray"/>
          <w:shd w:val="clear" w:color="auto" w:fill="B2B2B2"/>
          <w:lang w:val="en-GB" w:eastAsia="en-US"/>
        </w:rPr>
        <w:t xml:space="preserve">, vol. 34, no. 10, pp. 906-911, 1979,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10.1037/0003-066X.34.10.906.</w:t>
      </w:r>
    </w:p>
    <w:p w14:paraId="0AE0208C"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[5] </w:t>
      </w:r>
      <w:r w:rsidRPr="00691A14">
        <w:rPr>
          <w:color w:val="1F0909"/>
          <w:highlight w:val="lightGray"/>
          <w:shd w:val="clear" w:color="auto" w:fill="B2B2B2"/>
          <w:lang w:val="en-GB" w:eastAsia="en-US"/>
        </w:rPr>
        <w:tab/>
        <w:t xml:space="preserve">B. J. Zimmerman, "Becoming a self-regulated learner: An overview," </w:t>
      </w:r>
      <w:r w:rsidRPr="00691A14">
        <w:rPr>
          <w:rStyle w:val="Emphasis"/>
          <w:i w:val="0"/>
          <w:color w:val="1F0909"/>
          <w:highlight w:val="lightGray"/>
          <w:shd w:val="clear" w:color="auto" w:fill="B2B2B2"/>
          <w:lang w:val="en-GB" w:eastAsia="en-US"/>
        </w:rPr>
        <w:t xml:space="preserve">Theory </w:t>
      </w:r>
      <w:proofErr w:type="gramStart"/>
      <w:r w:rsidRPr="00691A14">
        <w:rPr>
          <w:rStyle w:val="Emphasis"/>
          <w:i w:val="0"/>
          <w:color w:val="1F0909"/>
          <w:highlight w:val="lightGray"/>
          <w:shd w:val="clear" w:color="auto" w:fill="B2B2B2"/>
          <w:lang w:val="en-GB" w:eastAsia="en-US"/>
        </w:rPr>
        <w:t>Into</w:t>
      </w:r>
      <w:proofErr w:type="gramEnd"/>
      <w:r w:rsidRPr="00691A14">
        <w:rPr>
          <w:rStyle w:val="Emphasis"/>
          <w:i w:val="0"/>
          <w:color w:val="1F0909"/>
          <w:highlight w:val="lightGray"/>
          <w:shd w:val="clear" w:color="auto" w:fill="B2B2B2"/>
          <w:lang w:val="en-GB" w:eastAsia="en-US"/>
        </w:rPr>
        <w:t xml:space="preserve"> Practice</w:t>
      </w:r>
      <w:r w:rsidRPr="00691A14">
        <w:rPr>
          <w:color w:val="1F0909"/>
          <w:highlight w:val="lightGray"/>
          <w:shd w:val="clear" w:color="auto" w:fill="B2B2B2"/>
          <w:lang w:val="en-GB" w:eastAsia="en-US"/>
        </w:rPr>
        <w:t xml:space="preserve">, vol. 41, no. 2, pp. 64-70, 2002,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10.1207/s15430421tip4102_2.</w:t>
      </w:r>
    </w:p>
    <w:p w14:paraId="534D5F58"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[6] </w:t>
      </w:r>
      <w:r w:rsidRPr="00691A14">
        <w:rPr>
          <w:color w:val="1F0909"/>
          <w:highlight w:val="lightGray"/>
          <w:shd w:val="clear" w:color="auto" w:fill="B2B2B2"/>
          <w:lang w:val="en-GB" w:eastAsia="en-US"/>
        </w:rPr>
        <w:tab/>
        <w:t xml:space="preserve">R. Paterson, "Prompting metacognitive reflection to facilitate speaking improvements in learners of English as a foreign language," </w:t>
      </w:r>
      <w:r w:rsidRPr="00691A14">
        <w:rPr>
          <w:rStyle w:val="Emphasis"/>
          <w:i w:val="0"/>
          <w:color w:val="1F0909"/>
          <w:highlight w:val="lightGray"/>
          <w:shd w:val="clear" w:color="auto" w:fill="B2B2B2"/>
          <w:lang w:val="en-GB" w:eastAsia="en-US"/>
        </w:rPr>
        <w:t>English Teaching &amp; Learning</w:t>
      </w:r>
      <w:r w:rsidRPr="00691A14">
        <w:rPr>
          <w:color w:val="1F0909"/>
          <w:highlight w:val="lightGray"/>
          <w:shd w:val="clear" w:color="auto" w:fill="B2B2B2"/>
          <w:lang w:val="en-GB" w:eastAsia="en-US"/>
        </w:rPr>
        <w:t xml:space="preserve">, vol. 46, no. 2, pp. 157-177, 2022,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10.1007/s42321-021-00086-2.</w:t>
      </w:r>
    </w:p>
    <w:p w14:paraId="5A4F8D8E"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[7] </w:t>
      </w:r>
      <w:r w:rsidRPr="00691A14">
        <w:rPr>
          <w:color w:val="1F0909"/>
          <w:highlight w:val="lightGray"/>
          <w:shd w:val="clear" w:color="auto" w:fill="B2B2B2"/>
          <w:lang w:val="en-GB" w:eastAsia="en-US"/>
        </w:rPr>
        <w:tab/>
        <w:t xml:space="preserve">W. Zhang, M. Zhao, and Y. Zhu, "Understanding individual differences in metacognitive strategy use, task demand, and performance in integrated L2 speaking assessment tasks," </w:t>
      </w:r>
      <w:r w:rsidRPr="00691A14">
        <w:rPr>
          <w:rStyle w:val="Emphasis"/>
          <w:i w:val="0"/>
          <w:color w:val="1F0909"/>
          <w:highlight w:val="lightGray"/>
          <w:shd w:val="clear" w:color="auto" w:fill="B2B2B2"/>
          <w:lang w:val="en-GB" w:eastAsia="en-US"/>
        </w:rPr>
        <w:t>Frontiers in Psychology</w:t>
      </w:r>
      <w:r w:rsidRPr="00691A14">
        <w:rPr>
          <w:color w:val="1F0909"/>
          <w:highlight w:val="lightGray"/>
          <w:shd w:val="clear" w:color="auto" w:fill="B2B2B2"/>
          <w:lang w:val="en-GB" w:eastAsia="en-US"/>
        </w:rPr>
        <w:t xml:space="preserve">, vol. 13, art. 876208, 2022,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10.3389/fpsyg.2022.876208.</w:t>
      </w:r>
    </w:p>
    <w:p w14:paraId="38F67194"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[8] </w:t>
      </w:r>
      <w:r w:rsidRPr="00691A14">
        <w:rPr>
          <w:color w:val="1F0909"/>
          <w:highlight w:val="lightGray"/>
          <w:shd w:val="clear" w:color="auto" w:fill="B2B2B2"/>
          <w:lang w:val="en-GB" w:eastAsia="en-US"/>
        </w:rPr>
        <w:tab/>
        <w:t xml:space="preserve">M. Safari and S. Fitriati, "Learning strategies used by learners with different speaking performance for developing speaking ability," </w:t>
      </w:r>
      <w:r w:rsidRPr="00691A14">
        <w:rPr>
          <w:rStyle w:val="Emphasis"/>
          <w:i w:val="0"/>
          <w:color w:val="1F0909"/>
          <w:highlight w:val="lightGray"/>
          <w:shd w:val="clear" w:color="auto" w:fill="B2B2B2"/>
          <w:lang w:val="en-GB" w:eastAsia="en-US"/>
        </w:rPr>
        <w:t>English Education Journal</w:t>
      </w:r>
      <w:r w:rsidRPr="00691A14">
        <w:rPr>
          <w:color w:val="1F0909"/>
          <w:highlight w:val="lightGray"/>
          <w:shd w:val="clear" w:color="auto" w:fill="B2B2B2"/>
          <w:lang w:val="en-GB" w:eastAsia="en-US"/>
        </w:rPr>
        <w:t xml:space="preserve">, vol. 6, no. 2, pp. 87-100, 2017. [Online]. Available: </w:t>
      </w:r>
      <w:hyperlink r:id="rId17">
        <w:r w:rsidRPr="00691A14">
          <w:rPr>
            <w:rStyle w:val="Hyperlink"/>
            <w:color w:val="065588"/>
            <w:highlight w:val="lightGray"/>
            <w:u w:val="none"/>
            <w:shd w:val="clear" w:color="auto" w:fill="B2B2B2"/>
            <w:lang w:val="en-GB" w:eastAsia="en-US"/>
          </w:rPr>
          <w:t>https://journal.unnes.ac.id/sju/index.php/eej/article/view/13060</w:t>
        </w:r>
      </w:hyperlink>
    </w:p>
    <w:p w14:paraId="6170114E"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[9] </w:t>
      </w:r>
      <w:r w:rsidRPr="00691A14">
        <w:rPr>
          <w:color w:val="1F0909"/>
          <w:highlight w:val="lightGray"/>
          <w:shd w:val="clear" w:color="auto" w:fill="B2B2B2"/>
          <w:lang w:val="en-GB" w:eastAsia="en-US"/>
        </w:rPr>
        <w:tab/>
        <w:t xml:space="preserve">K. Leong, A. Sung, D. Au, and C. Blanchard, "A review of the trend of microlearning," </w:t>
      </w:r>
      <w:r w:rsidRPr="00691A14">
        <w:rPr>
          <w:rStyle w:val="Emphasis"/>
          <w:i w:val="0"/>
          <w:color w:val="1F0909"/>
          <w:highlight w:val="lightGray"/>
          <w:shd w:val="clear" w:color="auto" w:fill="B2B2B2"/>
          <w:lang w:val="en-GB" w:eastAsia="en-US"/>
        </w:rPr>
        <w:t>Journal of Work-Applied Management</w:t>
      </w:r>
      <w:r w:rsidRPr="00691A14">
        <w:rPr>
          <w:color w:val="1F0909"/>
          <w:highlight w:val="lightGray"/>
          <w:shd w:val="clear" w:color="auto" w:fill="B2B2B2"/>
          <w:lang w:val="en-GB" w:eastAsia="en-US"/>
        </w:rPr>
        <w:t xml:space="preserve">, vol. 13, no. 1, pp. 88-102, 2020,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10.1108/JWAM-10-2020-0044.</w:t>
      </w:r>
    </w:p>
    <w:p w14:paraId="2354D5AC"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[10] </w:t>
      </w:r>
      <w:r w:rsidRPr="00691A14">
        <w:rPr>
          <w:color w:val="1F0909"/>
          <w:highlight w:val="lightGray"/>
          <w:shd w:val="clear" w:color="auto" w:fill="B2B2B2"/>
          <w:lang w:val="en-GB" w:eastAsia="en-US"/>
        </w:rPr>
        <w:tab/>
        <w:t xml:space="preserve">A.-d. Taylor and W. Hung, "The effects of microlearning: A scoping review," </w:t>
      </w:r>
      <w:r w:rsidRPr="00691A14">
        <w:rPr>
          <w:rStyle w:val="Emphasis"/>
          <w:i w:val="0"/>
          <w:color w:val="1F0909"/>
          <w:highlight w:val="lightGray"/>
          <w:shd w:val="clear" w:color="auto" w:fill="B2B2B2"/>
          <w:lang w:val="en-GB" w:eastAsia="en-US"/>
        </w:rPr>
        <w:t>Educational Technology Research and Development</w:t>
      </w:r>
      <w:r w:rsidRPr="00691A14">
        <w:rPr>
          <w:color w:val="1F0909"/>
          <w:highlight w:val="lightGray"/>
          <w:shd w:val="clear" w:color="auto" w:fill="B2B2B2"/>
          <w:lang w:val="en-GB" w:eastAsia="en-US"/>
        </w:rPr>
        <w:t xml:space="preserve">, vol. 70, no. 2, pp. 363-395, 2022,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10.1007/s11423-022-10084-1.</w:t>
      </w:r>
    </w:p>
    <w:p w14:paraId="0895F663"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[11] </w:t>
      </w:r>
      <w:r w:rsidRPr="00691A14">
        <w:rPr>
          <w:color w:val="1F0909"/>
          <w:highlight w:val="lightGray"/>
          <w:shd w:val="clear" w:color="auto" w:fill="B2B2B2"/>
          <w:lang w:val="en-GB" w:eastAsia="en-US"/>
        </w:rPr>
        <w:tab/>
        <w:t xml:space="preserve">Y. M. Lee, "Mobile microlearning: A systematic literature review and its implications," </w:t>
      </w:r>
      <w:r w:rsidRPr="00691A14">
        <w:rPr>
          <w:rStyle w:val="Emphasis"/>
          <w:i w:val="0"/>
          <w:color w:val="1F0909"/>
          <w:highlight w:val="lightGray"/>
          <w:shd w:val="clear" w:color="auto" w:fill="B2B2B2"/>
          <w:lang w:val="en-GB" w:eastAsia="en-US"/>
        </w:rPr>
        <w:t>Interactive Learning Environments</w:t>
      </w:r>
      <w:r w:rsidRPr="00691A14">
        <w:rPr>
          <w:color w:val="1F0909"/>
          <w:highlight w:val="lightGray"/>
          <w:shd w:val="clear" w:color="auto" w:fill="B2B2B2"/>
          <w:lang w:val="en-GB" w:eastAsia="en-US"/>
        </w:rPr>
        <w:t xml:space="preserve">, vol. 31, no. 7, pp. 4636-4651, 2023,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10.1080/10494820.2021.1977964.</w:t>
      </w:r>
    </w:p>
    <w:p w14:paraId="7C19F1B4"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[12] </w:t>
      </w:r>
      <w:r w:rsidRPr="00691A14">
        <w:rPr>
          <w:color w:val="1F0909"/>
          <w:highlight w:val="lightGray"/>
          <w:shd w:val="clear" w:color="auto" w:fill="B2B2B2"/>
          <w:lang w:val="en-GB" w:eastAsia="en-US"/>
        </w:rPr>
        <w:tab/>
        <w:t xml:space="preserve">N. F. Alias and R. A. Razak, "Exploring the pedagogical aspects of microlearning in educational settings: A systematic literature review," </w:t>
      </w:r>
      <w:r w:rsidRPr="00691A14">
        <w:rPr>
          <w:rStyle w:val="Emphasis"/>
          <w:i w:val="0"/>
          <w:color w:val="1F0909"/>
          <w:highlight w:val="lightGray"/>
          <w:shd w:val="clear" w:color="auto" w:fill="B2B2B2"/>
          <w:lang w:val="en-GB" w:eastAsia="en-US"/>
        </w:rPr>
        <w:t>Malaysian Journal of Learning and Instruction</w:t>
      </w:r>
      <w:r w:rsidRPr="00691A14">
        <w:rPr>
          <w:color w:val="1F0909"/>
          <w:highlight w:val="lightGray"/>
          <w:shd w:val="clear" w:color="auto" w:fill="B2B2B2"/>
          <w:lang w:val="en-GB" w:eastAsia="en-US"/>
        </w:rPr>
        <w:t xml:space="preserve">, vol. 20, no. 2, pp. 267-294, 2023,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10.32890/mjli2023.20.2.3.</w:t>
      </w:r>
    </w:p>
    <w:p w14:paraId="0A5A7A02"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[13] </w:t>
      </w:r>
      <w:r w:rsidRPr="00691A14">
        <w:rPr>
          <w:color w:val="1F0909"/>
          <w:highlight w:val="lightGray"/>
          <w:shd w:val="clear" w:color="auto" w:fill="B2B2B2"/>
          <w:lang w:val="en-GB" w:eastAsia="en-US"/>
        </w:rPr>
        <w:tab/>
        <w:t xml:space="preserve">P. </w:t>
      </w:r>
      <w:proofErr w:type="spellStart"/>
      <w:r w:rsidRPr="00691A14">
        <w:rPr>
          <w:color w:val="1F0909"/>
          <w:highlight w:val="lightGray"/>
          <w:shd w:val="clear" w:color="auto" w:fill="B2B2B2"/>
          <w:lang w:val="en-GB" w:eastAsia="en-US"/>
        </w:rPr>
        <w:t>Prasittichok</w:t>
      </w:r>
      <w:proofErr w:type="spellEnd"/>
      <w:r w:rsidRPr="00691A14">
        <w:rPr>
          <w:color w:val="1F0909"/>
          <w:highlight w:val="lightGray"/>
          <w:shd w:val="clear" w:color="auto" w:fill="B2B2B2"/>
          <w:lang w:val="en-GB" w:eastAsia="en-US"/>
        </w:rPr>
        <w:t xml:space="preserve"> and P. N. </w:t>
      </w:r>
      <w:proofErr w:type="spellStart"/>
      <w:r w:rsidRPr="00691A14">
        <w:rPr>
          <w:color w:val="1F0909"/>
          <w:highlight w:val="lightGray"/>
          <w:shd w:val="clear" w:color="auto" w:fill="B2B2B2"/>
          <w:lang w:val="en-GB" w:eastAsia="en-US"/>
        </w:rPr>
        <w:t>Smithsarakarn</w:t>
      </w:r>
      <w:proofErr w:type="spellEnd"/>
      <w:r w:rsidRPr="00691A14">
        <w:rPr>
          <w:color w:val="1F0909"/>
          <w:highlight w:val="lightGray"/>
          <w:shd w:val="clear" w:color="auto" w:fill="B2B2B2"/>
          <w:lang w:val="en-GB" w:eastAsia="en-US"/>
        </w:rPr>
        <w:t xml:space="preserve">, "The effects of microlearning on EFL students' English speaking: A systematic review and meta-analysis," </w:t>
      </w:r>
      <w:r w:rsidRPr="00691A14">
        <w:rPr>
          <w:rStyle w:val="Emphasis"/>
          <w:i w:val="0"/>
          <w:color w:val="1F0909"/>
          <w:highlight w:val="lightGray"/>
          <w:shd w:val="clear" w:color="auto" w:fill="B2B2B2"/>
          <w:lang w:val="en-GB" w:eastAsia="en-US"/>
        </w:rPr>
        <w:t>International Journal of Learning, Teaching and Educational Research</w:t>
      </w:r>
      <w:r w:rsidRPr="00691A14">
        <w:rPr>
          <w:color w:val="1F0909"/>
          <w:highlight w:val="lightGray"/>
          <w:shd w:val="clear" w:color="auto" w:fill="B2B2B2"/>
          <w:lang w:val="en-GB" w:eastAsia="en-US"/>
        </w:rPr>
        <w:t xml:space="preserve">, vol. 23, no. 4, 2024. [Online]. Available: </w:t>
      </w:r>
      <w:hyperlink r:id="rId18">
        <w:r w:rsidRPr="00691A14">
          <w:rPr>
            <w:rStyle w:val="Hyperlink"/>
            <w:color w:val="065588"/>
            <w:highlight w:val="lightGray"/>
            <w:u w:val="none"/>
            <w:shd w:val="clear" w:color="auto" w:fill="B2B2B2"/>
            <w:lang w:val="en-GB" w:eastAsia="en-US"/>
          </w:rPr>
          <w:t>https://www.ijlter.org/index.php/ijlter/article/view/10006</w:t>
        </w:r>
      </w:hyperlink>
    </w:p>
    <w:p w14:paraId="4C075CB1"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[14] </w:t>
      </w:r>
      <w:r w:rsidRPr="00691A14">
        <w:rPr>
          <w:color w:val="1F0909"/>
          <w:highlight w:val="lightGray"/>
          <w:shd w:val="clear" w:color="auto" w:fill="B2B2B2"/>
          <w:lang w:val="en-GB" w:eastAsia="en-US"/>
        </w:rPr>
        <w:tab/>
        <w:t xml:space="preserve">L. Fiorella and R. E. Mayer, </w:t>
      </w:r>
      <w:proofErr w:type="gramStart"/>
      <w:r w:rsidRPr="00691A14">
        <w:rPr>
          <w:rStyle w:val="Emphasis"/>
          <w:i w:val="0"/>
          <w:color w:val="1F0909"/>
          <w:highlight w:val="lightGray"/>
          <w:shd w:val="clear" w:color="auto" w:fill="B2B2B2"/>
          <w:lang w:val="en-GB" w:eastAsia="en-US"/>
        </w:rPr>
        <w:t>Learning</w:t>
      </w:r>
      <w:proofErr w:type="gramEnd"/>
      <w:r w:rsidRPr="00691A14">
        <w:rPr>
          <w:rStyle w:val="Emphasis"/>
          <w:i w:val="0"/>
          <w:color w:val="1F0909"/>
          <w:highlight w:val="lightGray"/>
          <w:shd w:val="clear" w:color="auto" w:fill="B2B2B2"/>
          <w:lang w:val="en-GB" w:eastAsia="en-US"/>
        </w:rPr>
        <w:t xml:space="preserve"> as a Generative Activity: Eight Learning Strategies that Promote Understanding</w:t>
      </w:r>
      <w:r w:rsidRPr="00691A14">
        <w:rPr>
          <w:color w:val="1F0909"/>
          <w:highlight w:val="lightGray"/>
          <w:shd w:val="clear" w:color="auto" w:fill="B2B2B2"/>
          <w:lang w:val="en-GB" w:eastAsia="en-US"/>
        </w:rPr>
        <w:t xml:space="preserve">. Cambridge, U.K.: Cambridge Univ. Press, 2016,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10.1017/CBO9781107707085.</w:t>
      </w:r>
    </w:p>
    <w:p w14:paraId="517BD475"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[15] </w:t>
      </w:r>
      <w:r w:rsidRPr="00691A14">
        <w:rPr>
          <w:color w:val="1F0909"/>
          <w:highlight w:val="lightGray"/>
          <w:shd w:val="clear" w:color="auto" w:fill="B2B2B2"/>
          <w:lang w:val="en-GB" w:eastAsia="en-US"/>
        </w:rPr>
        <w:tab/>
        <w:t xml:space="preserve">A. Lachner, M. </w:t>
      </w:r>
      <w:proofErr w:type="spellStart"/>
      <w:r w:rsidRPr="00691A14">
        <w:rPr>
          <w:color w:val="1F0909"/>
          <w:highlight w:val="lightGray"/>
          <w:shd w:val="clear" w:color="auto" w:fill="B2B2B2"/>
          <w:lang w:val="en-GB" w:eastAsia="en-US"/>
        </w:rPr>
        <w:t>Weinhuber</w:t>
      </w:r>
      <w:proofErr w:type="spellEnd"/>
      <w:r w:rsidRPr="00691A14">
        <w:rPr>
          <w:color w:val="1F0909"/>
          <w:highlight w:val="lightGray"/>
          <w:shd w:val="clear" w:color="auto" w:fill="B2B2B2"/>
          <w:lang w:val="en-GB" w:eastAsia="en-US"/>
        </w:rPr>
        <w:t xml:space="preserve">, V. </w:t>
      </w:r>
      <w:proofErr w:type="spellStart"/>
      <w:r w:rsidRPr="00691A14">
        <w:rPr>
          <w:color w:val="1F0909"/>
          <w:highlight w:val="lightGray"/>
          <w:shd w:val="clear" w:color="auto" w:fill="B2B2B2"/>
          <w:lang w:val="en-GB" w:eastAsia="en-US"/>
        </w:rPr>
        <w:t>Hoogerheide</w:t>
      </w:r>
      <w:proofErr w:type="spellEnd"/>
      <w:r w:rsidRPr="00691A14">
        <w:rPr>
          <w:color w:val="1F0909"/>
          <w:highlight w:val="lightGray"/>
          <w:shd w:val="clear" w:color="auto" w:fill="B2B2B2"/>
          <w:lang w:val="en-GB" w:eastAsia="en-US"/>
        </w:rPr>
        <w:t xml:space="preserve">, and A. Renkl, "Benefits of writing an explanation during pauses in multimedia lessons," </w:t>
      </w:r>
      <w:r w:rsidRPr="00691A14">
        <w:rPr>
          <w:rStyle w:val="Emphasis"/>
          <w:i w:val="0"/>
          <w:color w:val="1F0909"/>
          <w:highlight w:val="lightGray"/>
          <w:shd w:val="clear" w:color="auto" w:fill="B2B2B2"/>
          <w:lang w:val="en-GB" w:eastAsia="en-US"/>
        </w:rPr>
        <w:t>Educational Psychology Review</w:t>
      </w:r>
      <w:r w:rsidRPr="00691A14">
        <w:rPr>
          <w:color w:val="1F0909"/>
          <w:highlight w:val="lightGray"/>
          <w:shd w:val="clear" w:color="auto" w:fill="B2B2B2"/>
          <w:lang w:val="en-GB" w:eastAsia="en-US"/>
        </w:rPr>
        <w:t xml:space="preserve">, vol. 33, pp. 1859-1885, 2021,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10.1007/s10648-021-09594-w.</w:t>
      </w:r>
    </w:p>
    <w:p w14:paraId="16926466"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[16] </w:t>
      </w:r>
      <w:r w:rsidRPr="00691A14">
        <w:rPr>
          <w:color w:val="1F0909"/>
          <w:highlight w:val="lightGray"/>
          <w:shd w:val="clear" w:color="auto" w:fill="B2B2B2"/>
          <w:lang w:val="en-GB" w:eastAsia="en-US"/>
        </w:rPr>
        <w:tab/>
        <w:t xml:space="preserve">C. Bai, J. Yang, and Y. Tang, "Embedding self-explanation prompts to support learning via instructional video," </w:t>
      </w:r>
      <w:r w:rsidRPr="00691A14">
        <w:rPr>
          <w:rStyle w:val="Emphasis"/>
          <w:i w:val="0"/>
          <w:color w:val="1F0909"/>
          <w:highlight w:val="lightGray"/>
          <w:shd w:val="clear" w:color="auto" w:fill="B2B2B2"/>
          <w:lang w:val="en-GB" w:eastAsia="en-US"/>
        </w:rPr>
        <w:t>Instructional Science</w:t>
      </w:r>
      <w:r w:rsidRPr="00691A14">
        <w:rPr>
          <w:color w:val="1F0909"/>
          <w:highlight w:val="lightGray"/>
          <w:shd w:val="clear" w:color="auto" w:fill="B2B2B2"/>
          <w:lang w:val="en-GB" w:eastAsia="en-US"/>
        </w:rPr>
        <w:t xml:space="preserve">, vol. 50, no. 5, pp. 681-701, 2022. [Online]. Available: </w:t>
      </w:r>
      <w:hyperlink r:id="rId19">
        <w:r w:rsidRPr="00691A14">
          <w:rPr>
            <w:rStyle w:val="Hyperlink"/>
            <w:color w:val="065588"/>
            <w:highlight w:val="lightGray"/>
            <w:u w:val="none"/>
            <w:shd w:val="clear" w:color="auto" w:fill="B2B2B2"/>
            <w:lang w:val="en-GB" w:eastAsia="en-US"/>
          </w:rPr>
          <w:t>https://eric.ed.gov/?id=EJ1350050</w:t>
        </w:r>
      </w:hyperlink>
    </w:p>
    <w:p w14:paraId="09225302"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[17] </w:t>
      </w:r>
      <w:r w:rsidRPr="00691A14">
        <w:rPr>
          <w:color w:val="1F0909"/>
          <w:highlight w:val="lightGray"/>
          <w:shd w:val="clear" w:color="auto" w:fill="B2B2B2"/>
          <w:lang w:val="en-GB" w:eastAsia="en-US"/>
        </w:rPr>
        <w:tab/>
        <w:t xml:space="preserve">R. E. Mayer, Ed., </w:t>
      </w:r>
      <w:r w:rsidRPr="00691A14">
        <w:rPr>
          <w:rStyle w:val="Emphasis"/>
          <w:i w:val="0"/>
          <w:color w:val="1F0909"/>
          <w:highlight w:val="lightGray"/>
          <w:shd w:val="clear" w:color="auto" w:fill="B2B2B2"/>
          <w:lang w:val="en-GB" w:eastAsia="en-US"/>
        </w:rPr>
        <w:t>The Cambridge Handbook of Multimedia Learning</w:t>
      </w:r>
      <w:r w:rsidRPr="00691A14">
        <w:rPr>
          <w:color w:val="1F0909"/>
          <w:highlight w:val="lightGray"/>
          <w:shd w:val="clear" w:color="auto" w:fill="B2B2B2"/>
          <w:lang w:val="en-GB" w:eastAsia="en-US"/>
        </w:rPr>
        <w:t xml:space="preserve">, 2nd ed. Cambridge, U.K.: Cambridge Univ. Press, 2014,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10.1017/CBO9781139547369.</w:t>
      </w:r>
    </w:p>
    <w:p w14:paraId="04D71ED0"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[18] </w:t>
      </w:r>
      <w:r w:rsidRPr="00691A14">
        <w:rPr>
          <w:color w:val="1F0909"/>
          <w:highlight w:val="lightGray"/>
          <w:shd w:val="clear" w:color="auto" w:fill="B2B2B2"/>
          <w:lang w:val="en-GB" w:eastAsia="en-US"/>
        </w:rPr>
        <w:tab/>
        <w:t xml:space="preserve">Design-Based Research Collective, "Design-based research: An emerging paradigm for educational inquiry," </w:t>
      </w:r>
      <w:r w:rsidRPr="00691A14">
        <w:rPr>
          <w:rStyle w:val="Emphasis"/>
          <w:i w:val="0"/>
          <w:color w:val="1F0909"/>
          <w:highlight w:val="lightGray"/>
          <w:shd w:val="clear" w:color="auto" w:fill="B2B2B2"/>
          <w:lang w:val="en-GB" w:eastAsia="en-US"/>
        </w:rPr>
        <w:t>Educational Researcher</w:t>
      </w:r>
      <w:r w:rsidRPr="00691A14">
        <w:rPr>
          <w:color w:val="1F0909"/>
          <w:highlight w:val="lightGray"/>
          <w:shd w:val="clear" w:color="auto" w:fill="B2B2B2"/>
          <w:lang w:val="en-GB" w:eastAsia="en-US"/>
        </w:rPr>
        <w:t xml:space="preserve">, vol. 32, no. 1, pp. 5-8, 2003,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10.3102/0013189X032001005.</w:t>
      </w:r>
    </w:p>
    <w:p w14:paraId="4BC5D60C"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[19] </w:t>
      </w:r>
      <w:r w:rsidRPr="00691A14">
        <w:rPr>
          <w:color w:val="1F0909"/>
          <w:highlight w:val="lightGray"/>
          <w:shd w:val="clear" w:color="auto" w:fill="B2B2B2"/>
          <w:lang w:val="en-GB" w:eastAsia="en-US"/>
        </w:rPr>
        <w:tab/>
        <w:t xml:space="preserve">S. McKenney and T. C. Reeves, </w:t>
      </w:r>
      <w:r w:rsidRPr="00691A14">
        <w:rPr>
          <w:rStyle w:val="Emphasis"/>
          <w:i w:val="0"/>
          <w:color w:val="1F0909"/>
          <w:highlight w:val="lightGray"/>
          <w:shd w:val="clear" w:color="auto" w:fill="B2B2B2"/>
          <w:lang w:val="en-GB" w:eastAsia="en-US"/>
        </w:rPr>
        <w:t>Conducting Educational Design Research</w:t>
      </w:r>
      <w:r w:rsidRPr="00691A14">
        <w:rPr>
          <w:color w:val="1F0909"/>
          <w:highlight w:val="lightGray"/>
          <w:shd w:val="clear" w:color="auto" w:fill="B2B2B2"/>
          <w:lang w:val="en-GB" w:eastAsia="en-US"/>
        </w:rPr>
        <w:t xml:space="preserve">, 2nd ed. New York, NY, USA: Routledge, 2019,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10.4324/9781315105642.</w:t>
      </w:r>
    </w:p>
    <w:p w14:paraId="7FB164F2"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[20] </w:t>
      </w:r>
      <w:r w:rsidRPr="00691A14">
        <w:rPr>
          <w:color w:val="1F0909"/>
          <w:highlight w:val="lightGray"/>
          <w:shd w:val="clear" w:color="auto" w:fill="B2B2B2"/>
          <w:lang w:val="en-GB" w:eastAsia="en-US"/>
        </w:rPr>
        <w:tab/>
        <w:t xml:space="preserve">V. Braun and V. Clarke, "Using thematic analysis in psychology," </w:t>
      </w:r>
      <w:r w:rsidRPr="00691A14">
        <w:rPr>
          <w:rStyle w:val="Emphasis"/>
          <w:i w:val="0"/>
          <w:color w:val="1F0909"/>
          <w:highlight w:val="lightGray"/>
          <w:shd w:val="clear" w:color="auto" w:fill="B2B2B2"/>
          <w:lang w:val="en-GB" w:eastAsia="en-US"/>
        </w:rPr>
        <w:t>Qualitative Research in Psychology</w:t>
      </w:r>
      <w:r w:rsidRPr="00691A14">
        <w:rPr>
          <w:color w:val="1F0909"/>
          <w:highlight w:val="lightGray"/>
          <w:shd w:val="clear" w:color="auto" w:fill="B2B2B2"/>
          <w:lang w:val="en-GB" w:eastAsia="en-US"/>
        </w:rPr>
        <w:t xml:space="preserve">, vol. 3, no. 2, pp. 77-101, 2006,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10.1191/1478088706qp063oa.</w:t>
      </w:r>
    </w:p>
    <w:p w14:paraId="537A88E8"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[21]</w:t>
      </w:r>
      <w:r w:rsidRPr="00691A14">
        <w:rPr>
          <w:color w:val="1F0909"/>
          <w:highlight w:val="lightGray"/>
          <w:shd w:val="clear" w:color="auto" w:fill="B2B2B2"/>
          <w:lang w:val="en-GB" w:eastAsia="en-US"/>
        </w:rPr>
        <w:tab/>
        <w:t xml:space="preserve">S. </w:t>
      </w:r>
      <w:proofErr w:type="spellStart"/>
      <w:r w:rsidRPr="00691A14">
        <w:rPr>
          <w:color w:val="1F0909"/>
          <w:highlight w:val="lightGray"/>
          <w:shd w:val="clear" w:color="auto" w:fill="B2B2B2"/>
          <w:lang w:val="en-GB" w:eastAsia="en-US"/>
        </w:rPr>
        <w:t>Adipat</w:t>
      </w:r>
      <w:proofErr w:type="spellEnd"/>
      <w:r w:rsidRPr="00691A14">
        <w:rPr>
          <w:color w:val="1F0909"/>
          <w:highlight w:val="lightGray"/>
          <w:shd w:val="clear" w:color="auto" w:fill="B2B2B2"/>
          <w:lang w:val="en-GB" w:eastAsia="en-US"/>
        </w:rPr>
        <w:t xml:space="preserve">, "An artificial intelligence-enhanced phenomenon-based learning approach for interdisciplinary understanding and speaking skills," </w:t>
      </w:r>
      <w:r w:rsidRPr="00691A14">
        <w:rPr>
          <w:rStyle w:val="Emphasis"/>
          <w:i w:val="0"/>
          <w:color w:val="1F0909"/>
          <w:highlight w:val="lightGray"/>
          <w:shd w:val="clear" w:color="auto" w:fill="B2B2B2"/>
          <w:lang w:val="en-GB" w:eastAsia="en-US"/>
        </w:rPr>
        <w:t>International Journal of Instruction</w:t>
      </w:r>
      <w:r w:rsidRPr="00691A14">
        <w:rPr>
          <w:color w:val="1F0909"/>
          <w:highlight w:val="lightGray"/>
          <w:shd w:val="clear" w:color="auto" w:fill="B2B2B2"/>
          <w:lang w:val="en-GB" w:eastAsia="en-US"/>
        </w:rPr>
        <w:t xml:space="preserve">, vol. 16, no. 3, pp. 531-550, 2023,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10.29333/iji.2023.16329a.</w:t>
      </w:r>
    </w:p>
    <w:p w14:paraId="1EE302D3"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[22] </w:t>
      </w:r>
      <w:r w:rsidRPr="00691A14">
        <w:rPr>
          <w:color w:val="1F0909"/>
          <w:highlight w:val="lightGray"/>
          <w:shd w:val="clear" w:color="auto" w:fill="B2B2B2"/>
          <w:lang w:val="en-GB" w:eastAsia="en-US"/>
        </w:rPr>
        <w:tab/>
        <w:t xml:space="preserve">S. </w:t>
      </w:r>
      <w:proofErr w:type="spellStart"/>
      <w:r w:rsidRPr="00691A14">
        <w:rPr>
          <w:color w:val="1F0909"/>
          <w:highlight w:val="lightGray"/>
          <w:shd w:val="clear" w:color="auto" w:fill="B2B2B2"/>
          <w:lang w:val="en-GB" w:eastAsia="en-US"/>
        </w:rPr>
        <w:t>Menggo</w:t>
      </w:r>
      <w:proofErr w:type="spellEnd"/>
      <w:r w:rsidRPr="00691A14">
        <w:rPr>
          <w:color w:val="1F0909"/>
          <w:highlight w:val="lightGray"/>
          <w:shd w:val="clear" w:color="auto" w:fill="B2B2B2"/>
          <w:lang w:val="en-GB" w:eastAsia="en-US"/>
        </w:rPr>
        <w:t xml:space="preserve">, A. Basir, and Y. S. Halum, "Video-based tasks in strengthening speaking skills of EFL college students," </w:t>
      </w:r>
      <w:r w:rsidRPr="00691A14">
        <w:rPr>
          <w:rStyle w:val="Emphasis"/>
          <w:i w:val="0"/>
          <w:color w:val="1F0909"/>
          <w:highlight w:val="lightGray"/>
          <w:shd w:val="clear" w:color="auto" w:fill="B2B2B2"/>
          <w:lang w:val="en-GB" w:eastAsia="en-US"/>
        </w:rPr>
        <w:t>Indonesian Journal of EFL and Linguistics</w:t>
      </w:r>
      <w:r w:rsidRPr="00691A14">
        <w:rPr>
          <w:color w:val="1F0909"/>
          <w:highlight w:val="lightGray"/>
          <w:shd w:val="clear" w:color="auto" w:fill="B2B2B2"/>
          <w:lang w:val="en-GB" w:eastAsia="en-US"/>
        </w:rPr>
        <w:t xml:space="preserve">, vol. 7, no. 2, pp. 279-297, 2022,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10.21462/</w:t>
      </w:r>
      <w:proofErr w:type="gramStart"/>
      <w:r w:rsidRPr="00691A14">
        <w:rPr>
          <w:color w:val="1F0909"/>
          <w:highlight w:val="lightGray"/>
          <w:shd w:val="clear" w:color="auto" w:fill="B2B2B2"/>
          <w:lang w:val="en-GB" w:eastAsia="en-US"/>
        </w:rPr>
        <w:t>ijefl.v</w:t>
      </w:r>
      <w:proofErr w:type="gramEnd"/>
      <w:r w:rsidRPr="00691A14">
        <w:rPr>
          <w:color w:val="1F0909"/>
          <w:highlight w:val="lightGray"/>
          <w:shd w:val="clear" w:color="auto" w:fill="B2B2B2"/>
          <w:lang w:val="en-GB" w:eastAsia="en-US"/>
        </w:rPr>
        <w:t>7i2.510.</w:t>
      </w:r>
    </w:p>
    <w:p w14:paraId="05F02AA1"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[23] </w:t>
      </w:r>
      <w:r w:rsidRPr="00691A14">
        <w:rPr>
          <w:color w:val="1F0909"/>
          <w:highlight w:val="lightGray"/>
          <w:shd w:val="clear" w:color="auto" w:fill="B2B2B2"/>
          <w:lang w:val="en-GB" w:eastAsia="en-US"/>
        </w:rPr>
        <w:tab/>
        <w:t xml:space="preserve">S. Y. Gao, Y. Y. Tsai, J. H. Huang, Y. X. Ma, and T. L. Wu, "TikTok for developing learning motivation and oral proficiency in MICE learners," </w:t>
      </w:r>
      <w:r w:rsidRPr="00691A14">
        <w:rPr>
          <w:rStyle w:val="Emphasis"/>
          <w:i w:val="0"/>
          <w:color w:val="1F0909"/>
          <w:highlight w:val="lightGray"/>
          <w:shd w:val="clear" w:color="auto" w:fill="B2B2B2"/>
          <w:lang w:val="en-GB" w:eastAsia="en-US"/>
        </w:rPr>
        <w:t>Journal of Hospitality, Leisure, Sport &amp; Tourism Education</w:t>
      </w:r>
      <w:r w:rsidRPr="00691A14">
        <w:rPr>
          <w:color w:val="1F0909"/>
          <w:highlight w:val="lightGray"/>
          <w:shd w:val="clear" w:color="auto" w:fill="B2B2B2"/>
          <w:lang w:val="en-GB" w:eastAsia="en-US"/>
        </w:rPr>
        <w:t xml:space="preserve">, vol. 32, art. 100415, 2023,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10.1016/j.jhlste.2022.100415.</w:t>
      </w:r>
    </w:p>
    <w:p w14:paraId="69A00B06"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lastRenderedPageBreak/>
        <w:t>[24]</w:t>
      </w:r>
      <w:r w:rsidRPr="00691A14">
        <w:rPr>
          <w:color w:val="1F0909"/>
          <w:highlight w:val="lightGray"/>
          <w:shd w:val="clear" w:color="auto" w:fill="B2B2B2"/>
          <w:lang w:val="en-GB" w:eastAsia="en-US"/>
        </w:rPr>
        <w:tab/>
        <w:t xml:space="preserve">W. Hanafiah, M. Aswad, H. Sahib, A. H. Yassi, and M. S. Mousavi, "The impact of CALL on vocabulary learning, speaking skill, and foreign language speaking anxiety: The case study of Indonesian EFL learners," </w:t>
      </w:r>
      <w:r w:rsidRPr="00691A14">
        <w:rPr>
          <w:rStyle w:val="Emphasis"/>
          <w:i w:val="0"/>
          <w:color w:val="1F0909"/>
          <w:highlight w:val="lightGray"/>
          <w:shd w:val="clear" w:color="auto" w:fill="B2B2B2"/>
          <w:lang w:val="en-GB" w:eastAsia="en-US"/>
        </w:rPr>
        <w:t>Education Research International</w:t>
      </w:r>
      <w:r w:rsidRPr="00691A14">
        <w:rPr>
          <w:color w:val="1F0909"/>
          <w:highlight w:val="lightGray"/>
          <w:shd w:val="clear" w:color="auto" w:fill="B2B2B2"/>
          <w:lang w:val="en-GB" w:eastAsia="en-US"/>
        </w:rPr>
        <w:t xml:space="preserve">, vol. 2022, art. 5500077, 2022,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10.1155/2022/5500077.</w:t>
      </w:r>
    </w:p>
    <w:p w14:paraId="3BD3C949"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[25] </w:t>
      </w:r>
      <w:r w:rsidRPr="00691A14">
        <w:rPr>
          <w:color w:val="1F0909"/>
          <w:highlight w:val="lightGray"/>
          <w:shd w:val="clear" w:color="auto" w:fill="B2B2B2"/>
          <w:lang w:val="en-GB" w:eastAsia="en-US"/>
        </w:rPr>
        <w:tab/>
        <w:t xml:space="preserve">M. J. </w:t>
      </w:r>
      <w:proofErr w:type="spellStart"/>
      <w:r w:rsidRPr="00691A14">
        <w:rPr>
          <w:color w:val="1F0909"/>
          <w:highlight w:val="lightGray"/>
          <w:shd w:val="clear" w:color="auto" w:fill="B2B2B2"/>
          <w:lang w:val="en-GB" w:eastAsia="en-US"/>
        </w:rPr>
        <w:t>Dolasinski</w:t>
      </w:r>
      <w:proofErr w:type="spellEnd"/>
      <w:r w:rsidRPr="00691A14">
        <w:rPr>
          <w:color w:val="1F0909"/>
          <w:highlight w:val="lightGray"/>
          <w:shd w:val="clear" w:color="auto" w:fill="B2B2B2"/>
          <w:lang w:val="en-GB" w:eastAsia="en-US"/>
        </w:rPr>
        <w:t xml:space="preserve"> and J. Reynolds, "Microlearning: A new learning model," </w:t>
      </w:r>
      <w:r w:rsidRPr="00691A14">
        <w:rPr>
          <w:rStyle w:val="Emphasis"/>
          <w:i w:val="0"/>
          <w:color w:val="1F0909"/>
          <w:highlight w:val="lightGray"/>
          <w:shd w:val="clear" w:color="auto" w:fill="B2B2B2"/>
          <w:lang w:val="en-GB" w:eastAsia="en-US"/>
        </w:rPr>
        <w:t>Journal of Hospitality &amp; Tourism Research</w:t>
      </w:r>
      <w:r w:rsidRPr="00691A14">
        <w:rPr>
          <w:color w:val="1F0909"/>
          <w:highlight w:val="lightGray"/>
          <w:shd w:val="clear" w:color="auto" w:fill="B2B2B2"/>
          <w:lang w:val="en-GB" w:eastAsia="en-US"/>
        </w:rPr>
        <w:t xml:space="preserve">, vol. 44, no. 3, pp. 551-561, 2020,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10.1177/1096348020901579.</w:t>
      </w:r>
    </w:p>
    <w:p w14:paraId="46DDC2C5" w14:textId="77777777" w:rsidR="0041777C" w:rsidRPr="00691A14" w:rsidRDefault="00000000">
      <w:pPr>
        <w:pStyle w:val="BodyText"/>
        <w:spacing w:after="0"/>
        <w:ind w:left="567" w:hanging="567"/>
        <w:jc w:val="both"/>
        <w:rPr>
          <w:highlight w:val="lightGray"/>
        </w:rPr>
      </w:pPr>
      <w:r w:rsidRPr="00691A14">
        <w:rPr>
          <w:color w:val="1F0909"/>
          <w:highlight w:val="lightGray"/>
          <w:shd w:val="clear" w:color="auto" w:fill="B2B2B2"/>
          <w:lang w:val="en-GB" w:eastAsia="en-US"/>
        </w:rPr>
        <w:t xml:space="preserve">[26] </w:t>
      </w:r>
      <w:r w:rsidRPr="00691A14">
        <w:rPr>
          <w:color w:val="1F0909"/>
          <w:highlight w:val="lightGray"/>
          <w:shd w:val="clear" w:color="auto" w:fill="B2B2B2"/>
          <w:lang w:val="en-GB" w:eastAsia="en-US"/>
        </w:rPr>
        <w:tab/>
        <w:t xml:space="preserve">A. D. Samala, L. Bojic, D. </w:t>
      </w:r>
      <w:proofErr w:type="spellStart"/>
      <w:r w:rsidRPr="00691A14">
        <w:rPr>
          <w:color w:val="1F0909"/>
          <w:highlight w:val="lightGray"/>
          <w:shd w:val="clear" w:color="auto" w:fill="B2B2B2"/>
          <w:lang w:val="en-GB" w:eastAsia="en-US"/>
        </w:rPr>
        <w:t>Bekiroğlu</w:t>
      </w:r>
      <w:proofErr w:type="spellEnd"/>
      <w:r w:rsidRPr="00691A14">
        <w:rPr>
          <w:color w:val="1F0909"/>
          <w:highlight w:val="lightGray"/>
          <w:shd w:val="clear" w:color="auto" w:fill="B2B2B2"/>
          <w:lang w:val="en-GB" w:eastAsia="en-US"/>
        </w:rPr>
        <w:t xml:space="preserve">, R. </w:t>
      </w:r>
      <w:proofErr w:type="spellStart"/>
      <w:r w:rsidRPr="00691A14">
        <w:rPr>
          <w:color w:val="1F0909"/>
          <w:highlight w:val="lightGray"/>
          <w:shd w:val="clear" w:color="auto" w:fill="B2B2B2"/>
          <w:lang w:val="en-GB" w:eastAsia="en-US"/>
        </w:rPr>
        <w:t>Watrianthos</w:t>
      </w:r>
      <w:proofErr w:type="spellEnd"/>
      <w:r w:rsidRPr="00691A14">
        <w:rPr>
          <w:color w:val="1F0909"/>
          <w:highlight w:val="lightGray"/>
          <w:shd w:val="clear" w:color="auto" w:fill="B2B2B2"/>
          <w:lang w:val="en-GB" w:eastAsia="en-US"/>
        </w:rPr>
        <w:t xml:space="preserve">, and Y. </w:t>
      </w:r>
      <w:proofErr w:type="spellStart"/>
      <w:r w:rsidRPr="00691A14">
        <w:rPr>
          <w:color w:val="1F0909"/>
          <w:highlight w:val="lightGray"/>
          <w:shd w:val="clear" w:color="auto" w:fill="B2B2B2"/>
          <w:lang w:val="en-GB" w:eastAsia="en-US"/>
        </w:rPr>
        <w:t>Hendriyani</w:t>
      </w:r>
      <w:proofErr w:type="spellEnd"/>
      <w:r w:rsidRPr="00691A14">
        <w:rPr>
          <w:color w:val="1F0909"/>
          <w:highlight w:val="lightGray"/>
          <w:shd w:val="clear" w:color="auto" w:fill="B2B2B2"/>
          <w:lang w:val="en-GB" w:eastAsia="en-US"/>
        </w:rPr>
        <w:t xml:space="preserve">, "Microlearning: Transforming education with bite-sized learning on the go-insights and applications," </w:t>
      </w:r>
      <w:r w:rsidRPr="00691A14">
        <w:rPr>
          <w:rStyle w:val="Emphasis"/>
          <w:i w:val="0"/>
          <w:color w:val="1F0909"/>
          <w:highlight w:val="lightGray"/>
          <w:shd w:val="clear" w:color="auto" w:fill="B2B2B2"/>
          <w:lang w:val="en-GB" w:eastAsia="en-US"/>
        </w:rPr>
        <w:t>International Journal of Interactive Mobile Technologies</w:t>
      </w:r>
      <w:r w:rsidRPr="00691A14">
        <w:rPr>
          <w:color w:val="1F0909"/>
          <w:highlight w:val="lightGray"/>
          <w:shd w:val="clear" w:color="auto" w:fill="B2B2B2"/>
          <w:lang w:val="en-GB" w:eastAsia="en-US"/>
        </w:rPr>
        <w:t xml:space="preserve">, vol. 17, no. 21, pp. 4-24, 2023,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10.3991/</w:t>
      </w:r>
      <w:proofErr w:type="gramStart"/>
      <w:r w:rsidRPr="00691A14">
        <w:rPr>
          <w:color w:val="1F0909"/>
          <w:highlight w:val="lightGray"/>
          <w:shd w:val="clear" w:color="auto" w:fill="B2B2B2"/>
          <w:lang w:val="en-GB" w:eastAsia="en-US"/>
        </w:rPr>
        <w:t>ijim.v</w:t>
      </w:r>
      <w:proofErr w:type="gramEnd"/>
      <w:r w:rsidRPr="00691A14">
        <w:rPr>
          <w:color w:val="1F0909"/>
          <w:highlight w:val="lightGray"/>
          <w:shd w:val="clear" w:color="auto" w:fill="B2B2B2"/>
          <w:lang w:val="en-GB" w:eastAsia="en-US"/>
        </w:rPr>
        <w:t>17i21.42951.</w:t>
      </w:r>
    </w:p>
    <w:p w14:paraId="4485E3D2" w14:textId="77777777" w:rsidR="0041777C" w:rsidRDefault="00000000">
      <w:pPr>
        <w:pStyle w:val="BodyText"/>
        <w:spacing w:after="0"/>
        <w:ind w:left="567" w:hanging="567"/>
        <w:jc w:val="both"/>
      </w:pPr>
      <w:r w:rsidRPr="00691A14">
        <w:rPr>
          <w:color w:val="1F0909"/>
          <w:highlight w:val="lightGray"/>
          <w:shd w:val="clear" w:color="auto" w:fill="B2B2B2"/>
          <w:lang w:val="en-GB" w:eastAsia="en-US"/>
        </w:rPr>
        <w:t xml:space="preserve">[27] I. Karpovich, O. </w:t>
      </w:r>
      <w:proofErr w:type="spellStart"/>
      <w:r w:rsidRPr="00691A14">
        <w:rPr>
          <w:color w:val="1F0909"/>
          <w:highlight w:val="lightGray"/>
          <w:shd w:val="clear" w:color="auto" w:fill="B2B2B2"/>
          <w:lang w:val="en-GB" w:eastAsia="en-US"/>
        </w:rPr>
        <w:t>Sheredekina</w:t>
      </w:r>
      <w:proofErr w:type="spellEnd"/>
      <w:r w:rsidRPr="00691A14">
        <w:rPr>
          <w:color w:val="1F0909"/>
          <w:highlight w:val="lightGray"/>
          <w:shd w:val="clear" w:color="auto" w:fill="B2B2B2"/>
          <w:lang w:val="en-GB" w:eastAsia="en-US"/>
        </w:rPr>
        <w:t xml:space="preserve">, T. </w:t>
      </w:r>
      <w:proofErr w:type="spellStart"/>
      <w:r w:rsidRPr="00691A14">
        <w:rPr>
          <w:color w:val="1F0909"/>
          <w:highlight w:val="lightGray"/>
          <w:shd w:val="clear" w:color="auto" w:fill="B2B2B2"/>
          <w:lang w:val="en-GB" w:eastAsia="en-US"/>
        </w:rPr>
        <w:t>Krepkaia</w:t>
      </w:r>
      <w:proofErr w:type="spellEnd"/>
      <w:r w:rsidRPr="00691A14">
        <w:rPr>
          <w:color w:val="1F0909"/>
          <w:highlight w:val="lightGray"/>
          <w:shd w:val="clear" w:color="auto" w:fill="B2B2B2"/>
          <w:lang w:val="en-GB" w:eastAsia="en-US"/>
        </w:rPr>
        <w:t xml:space="preserve">, and L. Voronova, "The use of monologue speaking tasks to improve first-year students' English-speaking skills," </w:t>
      </w:r>
      <w:r w:rsidRPr="00691A14">
        <w:rPr>
          <w:rStyle w:val="Emphasis"/>
          <w:i w:val="0"/>
          <w:color w:val="1F0909"/>
          <w:highlight w:val="lightGray"/>
          <w:shd w:val="clear" w:color="auto" w:fill="B2B2B2"/>
          <w:lang w:val="en-GB" w:eastAsia="en-US"/>
        </w:rPr>
        <w:t>Education Sciences</w:t>
      </w:r>
      <w:r w:rsidRPr="00691A14">
        <w:rPr>
          <w:color w:val="1F0909"/>
          <w:highlight w:val="lightGray"/>
          <w:shd w:val="clear" w:color="auto" w:fill="B2B2B2"/>
          <w:lang w:val="en-GB" w:eastAsia="en-US"/>
        </w:rPr>
        <w:t xml:space="preserve">, vol. 11, no. 6, art. 298, 2021, </w:t>
      </w:r>
      <w:proofErr w:type="spellStart"/>
      <w:r w:rsidRPr="00691A14">
        <w:rPr>
          <w:color w:val="1F0909"/>
          <w:highlight w:val="lightGray"/>
          <w:shd w:val="clear" w:color="auto" w:fill="B2B2B2"/>
          <w:lang w:val="en-GB" w:eastAsia="en-US"/>
        </w:rPr>
        <w:t>doi</w:t>
      </w:r>
      <w:proofErr w:type="spellEnd"/>
      <w:r w:rsidRPr="00691A14">
        <w:rPr>
          <w:color w:val="1F0909"/>
          <w:highlight w:val="lightGray"/>
          <w:shd w:val="clear" w:color="auto" w:fill="B2B2B2"/>
          <w:lang w:val="en-GB" w:eastAsia="en-US"/>
        </w:rPr>
        <w:t>: 10.3390/educsci11060298.</w:t>
      </w:r>
      <w:r>
        <w:br w:type="page"/>
      </w:r>
    </w:p>
    <w:p w14:paraId="5F81CA7A" w14:textId="77777777" w:rsidR="0041777C" w:rsidRDefault="00000000">
      <w:pPr>
        <w:ind w:left="426" w:hanging="426"/>
        <w:jc w:val="both"/>
        <w:rPr>
          <w:lang w:val="en-GB"/>
        </w:rPr>
      </w:pPr>
      <w:r>
        <w:rPr>
          <w:b/>
          <w:color w:val="000000"/>
          <w:lang w:val="en-GB"/>
        </w:rPr>
        <w:lastRenderedPageBreak/>
        <w:t>BIOGRAPHIES OF AUTHORS</w:t>
      </w:r>
    </w:p>
    <w:p w14:paraId="11418656" w14:textId="77777777" w:rsidR="0041777C" w:rsidRDefault="0041777C">
      <w:pPr>
        <w:rPr>
          <w:i/>
          <w:iCs/>
          <w:lang w:val="en-GB"/>
        </w:rPr>
      </w:pPr>
    </w:p>
    <w:tbl>
      <w:tblPr>
        <w:tblW w:w="5000" w:type="pct"/>
        <w:tblInd w:w="103" w:type="dxa"/>
        <w:tblLayout w:type="fixed"/>
        <w:tblLook w:val="04A0" w:firstRow="1" w:lastRow="0" w:firstColumn="1" w:lastColumn="0" w:noHBand="0" w:noVBand="1"/>
      </w:tblPr>
      <w:tblGrid>
        <w:gridCol w:w="1972"/>
        <w:gridCol w:w="7031"/>
      </w:tblGrid>
      <w:tr w:rsidR="0041777C" w14:paraId="1524EE49" w14:textId="77777777">
        <w:trPr>
          <w:trHeight w:val="2668"/>
        </w:trPr>
        <w:tc>
          <w:tcPr>
            <w:tcW w:w="1925" w:type="dxa"/>
            <w:tcBorders>
              <w:top w:val="single" w:sz="4" w:space="0" w:color="000000"/>
              <w:left w:val="single" w:sz="4" w:space="0" w:color="000000"/>
              <w:bottom w:val="single" w:sz="4" w:space="0" w:color="000000"/>
              <w:right w:val="single" w:sz="4" w:space="0" w:color="000000"/>
            </w:tcBorders>
          </w:tcPr>
          <w:p w14:paraId="19CB46D2" w14:textId="0E08EF09" w:rsidR="0041777C" w:rsidRDefault="008072DC">
            <w:pPr>
              <w:jc w:val="center"/>
              <w:rPr>
                <w:lang w:val="en-GB"/>
              </w:rPr>
            </w:pPr>
            <w:r>
              <w:rPr>
                <w:noProof/>
                <w:lang w:val="en-GB"/>
              </w:rPr>
              <w:drawing>
                <wp:inline distT="0" distB="0" distL="0" distR="0" wp14:anchorId="07C6EFEF" wp14:editId="4D0782C9">
                  <wp:extent cx="1169035" cy="1559560"/>
                  <wp:effectExtent l="0" t="0" r="0" b="254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169035" cy="1559560"/>
                          </a:xfrm>
                          <a:prstGeom prst="rect">
                            <a:avLst/>
                          </a:prstGeom>
                          <a:noFill/>
                        </pic:spPr>
                      </pic:pic>
                    </a:graphicData>
                  </a:graphic>
                </wp:inline>
              </w:drawing>
            </w:r>
          </w:p>
        </w:tc>
        <w:tc>
          <w:tcPr>
            <w:tcW w:w="6862" w:type="dxa"/>
            <w:tcBorders>
              <w:top w:val="single" w:sz="4" w:space="0" w:color="000000"/>
              <w:left w:val="single" w:sz="4" w:space="0" w:color="000000"/>
              <w:bottom w:val="single" w:sz="4" w:space="0" w:color="000000"/>
              <w:right w:val="single" w:sz="4" w:space="0" w:color="000000"/>
            </w:tcBorders>
          </w:tcPr>
          <w:p w14:paraId="266894E5" w14:textId="77777777" w:rsidR="0041777C" w:rsidRDefault="00000000">
            <w:pPr>
              <w:jc w:val="both"/>
              <w:rPr>
                <w:lang w:val="en-GB"/>
              </w:rPr>
            </w:pPr>
            <w:r>
              <w:rPr>
                <w:b/>
                <w:bCs/>
                <w:color w:val="000000"/>
                <w:sz w:val="18"/>
                <w:szCs w:val="18"/>
                <w:lang w:val="en-GB"/>
              </w:rPr>
              <w:t xml:space="preserve">Restu Bias Primandhika </w:t>
            </w:r>
            <w:r>
              <w:rPr>
                <w:noProof/>
              </w:rPr>
              <w:drawing>
                <wp:inline distT="0" distB="0" distL="0" distR="0" wp14:anchorId="3638E390" wp14:editId="3F7ED92A">
                  <wp:extent cx="114935" cy="114935"/>
                  <wp:effectExtent l="0" t="0" r="0" b="0"/>
                  <wp:docPr id="7" name="Picture 20">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
                            <a:hlinkClick r:id="rId21"/>
                          </pic:cNvPr>
                          <pic:cNvPicPr>
                            <a:picLocks noChangeAspect="1" noChangeArrowheads="1"/>
                          </pic:cNvPicPr>
                        </pic:nvPicPr>
                        <pic:blipFill>
                          <a:blip r:embed="rId22"/>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noProof/>
              </w:rPr>
              <w:drawing>
                <wp:inline distT="0" distB="0" distL="0" distR="0" wp14:anchorId="005DEF89" wp14:editId="2EBB14FD">
                  <wp:extent cx="114935" cy="114935"/>
                  <wp:effectExtent l="0" t="0" r="0" b="0"/>
                  <wp:docPr id="8" name="Picture 19">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a:hlinkClick r:id="rId23"/>
                          </pic:cNvPr>
                          <pic:cNvPicPr>
                            <a:picLocks noChangeAspect="1" noChangeArrowheads="1"/>
                          </pic:cNvPicPr>
                        </pic:nvPicPr>
                        <pic:blipFill>
                          <a:blip r:embed="rId24"/>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noProof/>
              </w:rPr>
              <w:drawing>
                <wp:inline distT="0" distB="0" distL="0" distR="0" wp14:anchorId="5A210CEB" wp14:editId="40F987E3">
                  <wp:extent cx="114935" cy="114935"/>
                  <wp:effectExtent l="0" t="0" r="0" b="0"/>
                  <wp:docPr id="9" name="Graphic 18">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18">
                            <a:hlinkClick r:id="rId25"/>
                          </pic:cNvPr>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noProof/>
              </w:rPr>
              <w:drawing>
                <wp:inline distT="0" distB="0" distL="0" distR="0" wp14:anchorId="3FDED440" wp14:editId="62816B59">
                  <wp:extent cx="114935" cy="114935"/>
                  <wp:effectExtent l="0" t="0" r="0" b="0"/>
                  <wp:docPr id="10" name="Picture 17">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a:hlinkClick r:id="rId28"/>
                          </pic:cNvPr>
                          <pic:cNvPicPr>
                            <a:picLocks noChangeAspect="1" noChangeArrowheads="1"/>
                          </pic:cNvPicPr>
                        </pic:nvPicPr>
                        <pic:blipFill>
                          <a:blip r:embed="rId29"/>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is a lecturer </w:t>
            </w:r>
            <w:proofErr w:type="spellStart"/>
            <w:r>
              <w:rPr>
                <w:color w:val="000000"/>
                <w:sz w:val="18"/>
                <w:szCs w:val="18"/>
                <w:lang w:val="en-GB"/>
              </w:rPr>
              <w:t>expertised</w:t>
            </w:r>
            <w:proofErr w:type="spellEnd"/>
            <w:r>
              <w:rPr>
                <w:color w:val="000000"/>
                <w:sz w:val="18"/>
                <w:szCs w:val="18"/>
                <w:lang w:val="en-GB"/>
              </w:rPr>
              <w:t xml:space="preserve"> in Language Learning, Linguistics and Digital Learning Media. He received his master's degree in Indonesian Language Education of IKIP </w:t>
            </w:r>
            <w:proofErr w:type="spellStart"/>
            <w:r>
              <w:rPr>
                <w:color w:val="000000"/>
                <w:sz w:val="18"/>
                <w:szCs w:val="18"/>
                <w:lang w:val="en-GB"/>
              </w:rPr>
              <w:t>Siliwangi</w:t>
            </w:r>
            <w:proofErr w:type="spellEnd"/>
            <w:r>
              <w:rPr>
                <w:color w:val="000000"/>
                <w:sz w:val="18"/>
                <w:szCs w:val="18"/>
                <w:lang w:val="en-GB"/>
              </w:rPr>
              <w:t xml:space="preserve"> and is a </w:t>
            </w:r>
            <w:proofErr w:type="gramStart"/>
            <w:r>
              <w:rPr>
                <w:color w:val="000000"/>
                <w:sz w:val="18"/>
                <w:szCs w:val="18"/>
                <w:lang w:val="en-GB"/>
              </w:rPr>
              <w:t>doctoral students</w:t>
            </w:r>
            <w:proofErr w:type="gramEnd"/>
            <w:r>
              <w:rPr>
                <w:color w:val="000000"/>
                <w:sz w:val="18"/>
                <w:szCs w:val="18"/>
                <w:lang w:val="en-GB"/>
              </w:rPr>
              <w:t xml:space="preserve"> in Universitas Muhammadiyah Prof. Dr. Hamka. In 2018 he joined the Faculty of Language Education of IKIP </w:t>
            </w:r>
            <w:proofErr w:type="spellStart"/>
            <w:r>
              <w:rPr>
                <w:color w:val="000000"/>
                <w:sz w:val="18"/>
                <w:szCs w:val="18"/>
                <w:lang w:val="en-GB"/>
              </w:rPr>
              <w:t>Siliwangi</w:t>
            </w:r>
            <w:proofErr w:type="spellEnd"/>
            <w:r>
              <w:rPr>
                <w:color w:val="000000"/>
                <w:sz w:val="18"/>
                <w:szCs w:val="18"/>
                <w:lang w:val="en-GB"/>
              </w:rPr>
              <w:t xml:space="preserve"> as lecturer. He has written several papers in the areas of the impact of learning technology on cognitive abilities: exploring digital media preferences of Indonesian language education students, AI’s impact on students’ oral presentation skills: Indonesian lecturers’ pedagogical responses, experiment on a transformer model Indonesian-to-</w:t>
            </w:r>
            <w:proofErr w:type="spellStart"/>
            <w:r>
              <w:rPr>
                <w:color w:val="000000"/>
                <w:sz w:val="18"/>
                <w:szCs w:val="18"/>
                <w:lang w:val="en-GB"/>
              </w:rPr>
              <w:t>sundanese</w:t>
            </w:r>
            <w:proofErr w:type="spellEnd"/>
            <w:r>
              <w:rPr>
                <w:color w:val="000000"/>
                <w:sz w:val="18"/>
                <w:szCs w:val="18"/>
                <w:lang w:val="en-GB"/>
              </w:rPr>
              <w:t xml:space="preserve"> neural machine translation with Sundanese speech level evaluation. His research interests also include digital learning media, Indonesian language education, learning technology, pedagogical innovations, artificial intelligence in education, machine translation, etc. He can be contacted at email: restubiasprimandhika@uhamka.ac.id.</w:t>
            </w:r>
          </w:p>
        </w:tc>
      </w:tr>
      <w:tr w:rsidR="0041777C" w14:paraId="5D4104BA" w14:textId="77777777">
        <w:trPr>
          <w:trHeight w:val="109"/>
        </w:trPr>
        <w:tc>
          <w:tcPr>
            <w:tcW w:w="1925" w:type="dxa"/>
            <w:tcBorders>
              <w:top w:val="single" w:sz="4" w:space="0" w:color="000000"/>
              <w:left w:val="single" w:sz="4" w:space="0" w:color="000000"/>
              <w:bottom w:val="single" w:sz="4" w:space="0" w:color="000000"/>
              <w:right w:val="single" w:sz="4" w:space="0" w:color="000000"/>
            </w:tcBorders>
          </w:tcPr>
          <w:p w14:paraId="44D618DF" w14:textId="77777777" w:rsidR="0041777C" w:rsidRDefault="0041777C">
            <w:pPr>
              <w:jc w:val="center"/>
              <w:rPr>
                <w:lang w:val="en-GB"/>
              </w:rPr>
            </w:pPr>
          </w:p>
        </w:tc>
        <w:tc>
          <w:tcPr>
            <w:tcW w:w="6862" w:type="dxa"/>
            <w:tcBorders>
              <w:top w:val="single" w:sz="4" w:space="0" w:color="000000"/>
              <w:left w:val="single" w:sz="4" w:space="0" w:color="000000"/>
              <w:bottom w:val="single" w:sz="4" w:space="0" w:color="000000"/>
              <w:right w:val="single" w:sz="4" w:space="0" w:color="000000"/>
            </w:tcBorders>
          </w:tcPr>
          <w:p w14:paraId="6484FF3F" w14:textId="77777777" w:rsidR="0041777C" w:rsidRDefault="0041777C">
            <w:pPr>
              <w:jc w:val="both"/>
              <w:rPr>
                <w:lang w:val="en-GB"/>
              </w:rPr>
            </w:pPr>
          </w:p>
        </w:tc>
      </w:tr>
      <w:tr w:rsidR="0041777C" w14:paraId="7EFD5E7B" w14:textId="77777777">
        <w:trPr>
          <w:trHeight w:val="2551"/>
        </w:trPr>
        <w:tc>
          <w:tcPr>
            <w:tcW w:w="1925" w:type="dxa"/>
            <w:tcBorders>
              <w:left w:val="single" w:sz="4" w:space="0" w:color="000000"/>
              <w:bottom w:val="single" w:sz="4" w:space="0" w:color="000000"/>
              <w:right w:val="single" w:sz="4" w:space="0" w:color="000000"/>
            </w:tcBorders>
          </w:tcPr>
          <w:p w14:paraId="225F428B" w14:textId="77777777" w:rsidR="0041777C" w:rsidRDefault="00000000">
            <w:pPr>
              <w:jc w:val="center"/>
              <w:rPr>
                <w:lang w:val="en-GB"/>
              </w:rPr>
            </w:pPr>
            <w:r>
              <w:rPr>
                <w:noProof/>
                <w:lang w:val="en-GB"/>
              </w:rPr>
              <w:drawing>
                <wp:inline distT="0" distB="0" distL="0" distR="0" wp14:anchorId="1A0015D8" wp14:editId="0C26F166">
                  <wp:extent cx="1183005" cy="1576070"/>
                  <wp:effectExtent l="0" t="0" r="0" b="5080"/>
                  <wp:docPr id="1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1183005" cy="1576070"/>
                          </a:xfrm>
                          <a:prstGeom prst="rect">
                            <a:avLst/>
                          </a:prstGeom>
                          <a:noFill/>
                        </pic:spPr>
                      </pic:pic>
                    </a:graphicData>
                  </a:graphic>
                </wp:inline>
              </w:drawing>
            </w:r>
          </w:p>
        </w:tc>
        <w:tc>
          <w:tcPr>
            <w:tcW w:w="6862" w:type="dxa"/>
            <w:tcBorders>
              <w:left w:val="single" w:sz="4" w:space="0" w:color="000000"/>
              <w:bottom w:val="single" w:sz="4" w:space="0" w:color="000000"/>
              <w:right w:val="single" w:sz="4" w:space="0" w:color="000000"/>
            </w:tcBorders>
          </w:tcPr>
          <w:p w14:paraId="3B888259" w14:textId="77777777" w:rsidR="0041777C" w:rsidRDefault="00000000">
            <w:pPr>
              <w:jc w:val="both"/>
              <w:rPr>
                <w:lang w:val="en-GB"/>
              </w:rPr>
            </w:pPr>
            <w:r>
              <w:rPr>
                <w:b/>
                <w:bCs/>
                <w:color w:val="000000"/>
                <w:sz w:val="18"/>
                <w:szCs w:val="18"/>
                <w:lang w:val="en-GB"/>
              </w:rPr>
              <w:t xml:space="preserve">Nani </w:t>
            </w:r>
            <w:proofErr w:type="spellStart"/>
            <w:r>
              <w:rPr>
                <w:b/>
                <w:bCs/>
                <w:color w:val="000000"/>
                <w:sz w:val="18"/>
                <w:szCs w:val="18"/>
                <w:lang w:val="en-GB"/>
              </w:rPr>
              <w:t>Solihati</w:t>
            </w:r>
            <w:proofErr w:type="spellEnd"/>
            <w:r>
              <w:rPr>
                <w:b/>
                <w:bCs/>
                <w:color w:val="000000"/>
                <w:sz w:val="18"/>
                <w:szCs w:val="18"/>
                <w:lang w:val="en-GB"/>
              </w:rPr>
              <w:t xml:space="preserve"> </w:t>
            </w:r>
            <w:r>
              <w:rPr>
                <w:noProof/>
              </w:rPr>
              <w:drawing>
                <wp:inline distT="0" distB="0" distL="0" distR="0" wp14:anchorId="4F62C2B0" wp14:editId="1AD3C982">
                  <wp:extent cx="114935" cy="114935"/>
                  <wp:effectExtent l="0" t="0" r="0" b="0"/>
                  <wp:docPr id="12" name="Picture 16">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a:hlinkClick r:id="rId31"/>
                          </pic:cNvPr>
                          <pic:cNvPicPr>
                            <a:picLocks noChangeAspect="1" noChangeArrowheads="1"/>
                          </pic:cNvPicPr>
                        </pic:nvPicPr>
                        <pic:blipFill>
                          <a:blip r:embed="rId22"/>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noProof/>
              </w:rPr>
              <w:drawing>
                <wp:inline distT="0" distB="0" distL="0" distR="0" wp14:anchorId="49E64576" wp14:editId="2203936A">
                  <wp:extent cx="114935" cy="114935"/>
                  <wp:effectExtent l="0" t="0" r="0" b="0"/>
                  <wp:docPr id="13" name="Picture 10">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a:hlinkClick r:id="rId32"/>
                          </pic:cNvPr>
                          <pic:cNvPicPr>
                            <a:picLocks noChangeAspect="1" noChangeArrowheads="1"/>
                          </pic:cNvPicPr>
                        </pic:nvPicPr>
                        <pic:blipFill>
                          <a:blip r:embed="rId24"/>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noProof/>
              </w:rPr>
              <w:drawing>
                <wp:inline distT="0" distB="0" distL="0" distR="0" wp14:anchorId="7E3B1149" wp14:editId="3B131E2C">
                  <wp:extent cx="114935" cy="114935"/>
                  <wp:effectExtent l="0" t="0" r="0" b="0"/>
                  <wp:docPr id="14" name="Graphic 9">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9">
                            <a:hlinkClick r:id="rId33"/>
                          </pic:cNvPr>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noProof/>
              </w:rPr>
              <w:drawing>
                <wp:inline distT="0" distB="0" distL="0" distR="0" wp14:anchorId="6779532D" wp14:editId="3478D358">
                  <wp:extent cx="114935" cy="114935"/>
                  <wp:effectExtent l="0" t="0" r="0" b="0"/>
                  <wp:docPr id="15" name="Picture 7">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a:hlinkClick r:id="rId28"/>
                          </pic:cNvPr>
                          <pic:cNvPicPr>
                            <a:picLocks noChangeAspect="1" noChangeArrowheads="1"/>
                          </pic:cNvPicPr>
                        </pic:nvPicPr>
                        <pic:blipFill>
                          <a:blip r:embed="rId29"/>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is a professor in Indonesian Language and Literature Education at the Post-Graduate School, Universitas Muhammadiyah Prof. DR. Hamka (UHAMKA). She has researched extensively and has widely published in the areas of critical thinking tasks in language textbooks, literary psychology, gender inequality in literature, and character education through traditional games. She can be contacted at email: nani_solihati@uhamka.ac.id.</w:t>
            </w:r>
          </w:p>
        </w:tc>
      </w:tr>
      <w:tr w:rsidR="0041777C" w14:paraId="5BDB8E91" w14:textId="77777777">
        <w:trPr>
          <w:trHeight w:val="23"/>
        </w:trPr>
        <w:tc>
          <w:tcPr>
            <w:tcW w:w="1925" w:type="dxa"/>
            <w:tcBorders>
              <w:top w:val="single" w:sz="4" w:space="0" w:color="000000"/>
              <w:left w:val="single" w:sz="4" w:space="0" w:color="000000"/>
              <w:bottom w:val="single" w:sz="4" w:space="0" w:color="000000"/>
              <w:right w:val="single" w:sz="4" w:space="0" w:color="000000"/>
            </w:tcBorders>
          </w:tcPr>
          <w:p w14:paraId="591E7FD4" w14:textId="77777777" w:rsidR="0041777C" w:rsidRDefault="0041777C">
            <w:pPr>
              <w:jc w:val="center"/>
              <w:rPr>
                <w:lang w:val="en-GB"/>
              </w:rPr>
            </w:pPr>
          </w:p>
        </w:tc>
        <w:tc>
          <w:tcPr>
            <w:tcW w:w="6862" w:type="dxa"/>
            <w:tcBorders>
              <w:top w:val="single" w:sz="4" w:space="0" w:color="000000"/>
              <w:left w:val="single" w:sz="4" w:space="0" w:color="000000"/>
              <w:bottom w:val="single" w:sz="4" w:space="0" w:color="000000"/>
              <w:right w:val="single" w:sz="4" w:space="0" w:color="000000"/>
            </w:tcBorders>
          </w:tcPr>
          <w:p w14:paraId="021ADEA2" w14:textId="77777777" w:rsidR="0041777C" w:rsidRDefault="0041777C">
            <w:pPr>
              <w:jc w:val="both"/>
              <w:rPr>
                <w:lang w:val="en-GB"/>
              </w:rPr>
            </w:pPr>
          </w:p>
        </w:tc>
      </w:tr>
      <w:tr w:rsidR="0041777C" w14:paraId="2C2D9942" w14:textId="77777777">
        <w:trPr>
          <w:trHeight w:val="23"/>
        </w:trPr>
        <w:tc>
          <w:tcPr>
            <w:tcW w:w="1925" w:type="dxa"/>
            <w:tcBorders>
              <w:left w:val="single" w:sz="4" w:space="0" w:color="000000"/>
              <w:bottom w:val="single" w:sz="4" w:space="0" w:color="000000"/>
              <w:right w:val="single" w:sz="4" w:space="0" w:color="000000"/>
            </w:tcBorders>
          </w:tcPr>
          <w:p w14:paraId="10F946D8" w14:textId="77777777" w:rsidR="0041777C" w:rsidRDefault="00000000">
            <w:pPr>
              <w:jc w:val="center"/>
              <w:rPr>
                <w:lang w:val="en-GB"/>
              </w:rPr>
            </w:pPr>
            <w:r>
              <w:rPr>
                <w:noProof/>
                <w:lang w:val="en-GB"/>
              </w:rPr>
              <w:drawing>
                <wp:inline distT="0" distB="0" distL="0" distR="0" wp14:anchorId="1A50A353" wp14:editId="170F319D">
                  <wp:extent cx="1192530" cy="1591310"/>
                  <wp:effectExtent l="0" t="0" r="7620" b="8890"/>
                  <wp:docPr id="1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1192530" cy="1591310"/>
                          </a:xfrm>
                          <a:prstGeom prst="rect">
                            <a:avLst/>
                          </a:prstGeom>
                          <a:noFill/>
                        </pic:spPr>
                      </pic:pic>
                    </a:graphicData>
                  </a:graphic>
                </wp:inline>
              </w:drawing>
            </w:r>
          </w:p>
        </w:tc>
        <w:tc>
          <w:tcPr>
            <w:tcW w:w="6862" w:type="dxa"/>
            <w:tcBorders>
              <w:left w:val="single" w:sz="4" w:space="0" w:color="000000"/>
              <w:bottom w:val="single" w:sz="4" w:space="0" w:color="000000"/>
              <w:right w:val="single" w:sz="4" w:space="0" w:color="000000"/>
            </w:tcBorders>
          </w:tcPr>
          <w:p w14:paraId="461F81BE" w14:textId="77777777" w:rsidR="0041777C" w:rsidRDefault="00000000">
            <w:pPr>
              <w:jc w:val="both"/>
              <w:rPr>
                <w:lang w:val="en-GB"/>
              </w:rPr>
            </w:pPr>
            <w:r>
              <w:rPr>
                <w:b/>
                <w:bCs/>
                <w:sz w:val="18"/>
                <w:szCs w:val="18"/>
                <w:lang w:val="en-GB"/>
              </w:rPr>
              <w:t xml:space="preserve">Siti Zulaiha </w:t>
            </w:r>
            <w:r>
              <w:rPr>
                <w:noProof/>
              </w:rPr>
              <w:drawing>
                <wp:inline distT="0" distB="0" distL="0" distR="0" wp14:anchorId="7DA6BE14" wp14:editId="00D70326">
                  <wp:extent cx="114935" cy="114935"/>
                  <wp:effectExtent l="0" t="0" r="0" b="0"/>
                  <wp:docPr id="17" name="Picture 23">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3">
                            <a:hlinkClick r:id="rId35"/>
                          </pic:cNvPr>
                          <pic:cNvPicPr>
                            <a:picLocks noChangeAspect="1" noChangeArrowheads="1"/>
                          </pic:cNvPicPr>
                        </pic:nvPicPr>
                        <pic:blipFill>
                          <a:blip r:embed="rId22"/>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noProof/>
              </w:rPr>
              <w:drawing>
                <wp:inline distT="0" distB="0" distL="0" distR="0" wp14:anchorId="53A08246" wp14:editId="4FB29D7C">
                  <wp:extent cx="114935" cy="114935"/>
                  <wp:effectExtent l="0" t="0" r="0" b="0"/>
                  <wp:docPr id="18" name="Picture 24">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a:hlinkClick r:id="rId36"/>
                          </pic:cNvPr>
                          <pic:cNvPicPr>
                            <a:picLocks noChangeAspect="1" noChangeArrowheads="1"/>
                          </pic:cNvPicPr>
                        </pic:nvPicPr>
                        <pic:blipFill>
                          <a:blip r:embed="rId24"/>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noProof/>
              </w:rPr>
              <w:drawing>
                <wp:inline distT="0" distB="0" distL="0" distR="0" wp14:anchorId="12506C20" wp14:editId="3250C571">
                  <wp:extent cx="114935" cy="114935"/>
                  <wp:effectExtent l="0" t="0" r="0" b="0"/>
                  <wp:docPr id="19" name="Image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a:hlinkClick r:id="rId37"/>
                          </pic:cNvPr>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noProof/>
              </w:rPr>
              <w:drawing>
                <wp:inline distT="0" distB="0" distL="0" distR="0" wp14:anchorId="5FB35445" wp14:editId="7DB4BB32">
                  <wp:extent cx="114935" cy="114935"/>
                  <wp:effectExtent l="0" t="0" r="0" b="0"/>
                  <wp:docPr id="20" name="HTTPS://PUBLONS.COM/RESEARCHER/">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TTPS://PUBLONS.COM/RESEARCHER/">
                            <a:hlinkClick r:id="rId28"/>
                          </pic:cNvPr>
                          <pic:cNvPicPr>
                            <a:picLocks noChangeAspect="1" noChangeArrowheads="1"/>
                          </pic:cNvPicPr>
                        </pic:nvPicPr>
                        <pic:blipFill>
                          <a:blip r:embed="rId29"/>
                          <a:stretch>
                            <a:fillRect/>
                          </a:stretch>
                        </pic:blipFill>
                        <pic:spPr bwMode="auto">
                          <a:xfrm>
                            <a:off x="0" y="0"/>
                            <a:ext cx="114935" cy="114935"/>
                          </a:xfrm>
                          <a:prstGeom prst="rect">
                            <a:avLst/>
                          </a:prstGeom>
                          <a:noFill/>
                        </pic:spPr>
                      </pic:pic>
                    </a:graphicData>
                  </a:graphic>
                </wp:inline>
              </w:drawing>
            </w:r>
            <w:r>
              <w:rPr>
                <w:bCs/>
                <w:sz w:val="18"/>
                <w:szCs w:val="18"/>
                <w:lang w:val="en-GB"/>
              </w:rPr>
              <w:t xml:space="preserve"> is an Associate Professor, the Head of the Master’s Degree Program in English Education, and a senior lecturer at the Graduate School of Universitas Muhammadiyah Prof. DR. HAMKA (UHAMKA). She conducts research on primary school foreign language learning, teaching, and assessment, implementation of next-generation assessment models, English curriculum development, and the perceptions and pedagogical challenges faced by EFL teachers in language classrooms. These studies have been published in various refereed articles, book chapters, and academic publications, including insights on language assessment and English linguistics.</w:t>
            </w:r>
          </w:p>
          <w:p w14:paraId="41C1357B" w14:textId="77777777" w:rsidR="0041777C" w:rsidRDefault="00000000">
            <w:pPr>
              <w:jc w:val="both"/>
              <w:rPr>
                <w:bCs/>
                <w:sz w:val="18"/>
                <w:szCs w:val="18"/>
                <w:lang w:val="en-GB"/>
              </w:rPr>
            </w:pPr>
            <w:r>
              <w:rPr>
                <w:bCs/>
                <w:sz w:val="18"/>
                <w:szCs w:val="18"/>
                <w:lang w:val="en-GB"/>
              </w:rPr>
              <w:t>She can be contacted at email: siti.zulaiha@uhamka.ac.id.</w:t>
            </w:r>
          </w:p>
        </w:tc>
      </w:tr>
      <w:tr w:rsidR="0041777C" w14:paraId="1C8D65E0" w14:textId="77777777">
        <w:trPr>
          <w:trHeight w:val="100"/>
        </w:trPr>
        <w:tc>
          <w:tcPr>
            <w:tcW w:w="1925" w:type="dxa"/>
            <w:tcBorders>
              <w:left w:val="single" w:sz="4" w:space="0" w:color="000000"/>
              <w:bottom w:val="single" w:sz="4" w:space="0" w:color="000000"/>
              <w:right w:val="single" w:sz="4" w:space="0" w:color="000000"/>
            </w:tcBorders>
          </w:tcPr>
          <w:p w14:paraId="6C5D5031" w14:textId="77777777" w:rsidR="0041777C" w:rsidRDefault="0041777C">
            <w:pPr>
              <w:jc w:val="center"/>
              <w:rPr>
                <w:lang w:val="en-GB"/>
              </w:rPr>
            </w:pPr>
          </w:p>
        </w:tc>
        <w:tc>
          <w:tcPr>
            <w:tcW w:w="6862" w:type="dxa"/>
            <w:tcBorders>
              <w:left w:val="single" w:sz="4" w:space="0" w:color="000000"/>
              <w:bottom w:val="single" w:sz="4" w:space="0" w:color="000000"/>
              <w:right w:val="single" w:sz="4" w:space="0" w:color="000000"/>
            </w:tcBorders>
          </w:tcPr>
          <w:p w14:paraId="52DA5220" w14:textId="77777777" w:rsidR="0041777C" w:rsidRDefault="0041777C">
            <w:pPr>
              <w:jc w:val="both"/>
              <w:rPr>
                <w:lang w:val="en-GB"/>
              </w:rPr>
            </w:pPr>
          </w:p>
        </w:tc>
      </w:tr>
      <w:tr w:rsidR="0041777C" w14:paraId="30F2470C" w14:textId="77777777">
        <w:trPr>
          <w:trHeight w:val="2822"/>
        </w:trPr>
        <w:tc>
          <w:tcPr>
            <w:tcW w:w="1925" w:type="dxa"/>
            <w:tcBorders>
              <w:left w:val="single" w:sz="4" w:space="0" w:color="000000"/>
              <w:bottom w:val="single" w:sz="4" w:space="0" w:color="000000"/>
              <w:right w:val="single" w:sz="4" w:space="0" w:color="000000"/>
            </w:tcBorders>
          </w:tcPr>
          <w:p w14:paraId="778A0A74" w14:textId="77777777" w:rsidR="0041777C" w:rsidRDefault="00000000">
            <w:pPr>
              <w:jc w:val="center"/>
              <w:rPr>
                <w:lang w:val="en-GB"/>
              </w:rPr>
            </w:pPr>
            <w:r>
              <w:rPr>
                <w:noProof/>
                <w:lang w:val="en-GB"/>
              </w:rPr>
              <w:drawing>
                <wp:inline distT="0" distB="0" distL="0" distR="0" wp14:anchorId="197E6F18" wp14:editId="7B0F11B3">
                  <wp:extent cx="1195070" cy="1593850"/>
                  <wp:effectExtent l="0" t="0" r="5080" b="6350"/>
                  <wp:docPr id="2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1195070" cy="1593850"/>
                          </a:xfrm>
                          <a:prstGeom prst="rect">
                            <a:avLst/>
                          </a:prstGeom>
                          <a:noFill/>
                        </pic:spPr>
                      </pic:pic>
                    </a:graphicData>
                  </a:graphic>
                </wp:inline>
              </w:drawing>
            </w:r>
          </w:p>
        </w:tc>
        <w:tc>
          <w:tcPr>
            <w:tcW w:w="6862" w:type="dxa"/>
            <w:tcBorders>
              <w:left w:val="single" w:sz="4" w:space="0" w:color="000000"/>
              <w:bottom w:val="single" w:sz="4" w:space="0" w:color="000000"/>
              <w:right w:val="single" w:sz="4" w:space="0" w:color="000000"/>
            </w:tcBorders>
          </w:tcPr>
          <w:p w14:paraId="05BFFA4E" w14:textId="77777777" w:rsidR="0041777C" w:rsidRDefault="00000000">
            <w:pPr>
              <w:jc w:val="both"/>
              <w:rPr>
                <w:lang w:val="en-GB"/>
              </w:rPr>
            </w:pPr>
            <w:r>
              <w:rPr>
                <w:b/>
                <w:bCs/>
                <w:sz w:val="18"/>
                <w:szCs w:val="18"/>
                <w:lang w:val="en-GB"/>
              </w:rPr>
              <w:t xml:space="preserve">Aurelia Sakti Yani </w:t>
            </w:r>
            <w:r>
              <w:rPr>
                <w:noProof/>
              </w:rPr>
              <w:drawing>
                <wp:inline distT="0" distB="0" distL="0" distR="0" wp14:anchorId="085214E9" wp14:editId="4FF8D6E1">
                  <wp:extent cx="114935" cy="114935"/>
                  <wp:effectExtent l="0" t="0" r="0" b="0"/>
                  <wp:docPr id="22" name="Picture 23 Copy 1">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Copy 1">
                            <a:hlinkClick r:id="rId39"/>
                          </pic:cNvPr>
                          <pic:cNvPicPr>
                            <a:picLocks noChangeAspect="1" noChangeArrowheads="1"/>
                          </pic:cNvPicPr>
                        </pic:nvPicPr>
                        <pic:blipFill>
                          <a:blip r:embed="rId22"/>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noProof/>
                <w:color w:val="000000"/>
                <w:sz w:val="18"/>
                <w:szCs w:val="18"/>
                <w:lang w:val="en-GB"/>
              </w:rPr>
              <w:drawing>
                <wp:inline distT="0" distB="0" distL="0" distR="0" wp14:anchorId="18586456" wp14:editId="120DEE9E">
                  <wp:extent cx="114935" cy="114935"/>
                  <wp:effectExtent l="0" t="0" r="0" b="0"/>
                  <wp:docPr id="23" name="Picture 24 Copy 1">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Copy 1">
                            <a:hlinkClick r:id="rId40"/>
                          </pic:cNvPr>
                          <pic:cNvPicPr>
                            <a:picLocks noChangeAspect="1" noChangeArrowheads="1"/>
                          </pic:cNvPicPr>
                        </pic:nvPicPr>
                        <pic:blipFill>
                          <a:blip r:embed="rId24"/>
                          <a:stretch>
                            <a:fillRect/>
                          </a:stretch>
                        </pic:blipFill>
                        <pic:spPr bwMode="auto">
                          <a:xfrm>
                            <a:off x="0" y="0"/>
                            <a:ext cx="114935" cy="114935"/>
                          </a:xfrm>
                          <a:prstGeom prst="rect">
                            <a:avLst/>
                          </a:prstGeom>
                          <a:noFill/>
                        </pic:spPr>
                      </pic:pic>
                    </a:graphicData>
                  </a:graphic>
                </wp:inline>
              </w:drawing>
            </w:r>
            <w:r>
              <w:rPr>
                <w:color w:val="000000"/>
                <w:sz w:val="18"/>
                <w:szCs w:val="18"/>
                <w:lang w:val="en-GB"/>
              </w:rPr>
              <w:t xml:space="preserve"> </w:t>
            </w:r>
            <w:r>
              <w:rPr>
                <w:noProof/>
              </w:rPr>
              <w:drawing>
                <wp:inline distT="0" distB="0" distL="0" distR="0" wp14:anchorId="3B87DFCB" wp14:editId="66A131A8">
                  <wp:extent cx="114935" cy="114935"/>
                  <wp:effectExtent l="0" t="0" r="0" b="0"/>
                  <wp:docPr id="24" name="HTTPS://PUBLONS.COM/RESEARCHER/_1">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TTPS://PUBLONS.COM/RESEARCHER/_1">
                            <a:hlinkClick r:id="rId28"/>
                          </pic:cNvPr>
                          <pic:cNvPicPr>
                            <a:picLocks noChangeAspect="1" noChangeArrowheads="1"/>
                          </pic:cNvPicPr>
                        </pic:nvPicPr>
                        <pic:blipFill>
                          <a:blip r:embed="rId29"/>
                          <a:stretch>
                            <a:fillRect/>
                          </a:stretch>
                        </pic:blipFill>
                        <pic:spPr bwMode="auto">
                          <a:xfrm>
                            <a:off x="0" y="0"/>
                            <a:ext cx="114935" cy="114935"/>
                          </a:xfrm>
                          <a:prstGeom prst="rect">
                            <a:avLst/>
                          </a:prstGeom>
                          <a:noFill/>
                        </pic:spPr>
                      </pic:pic>
                    </a:graphicData>
                  </a:graphic>
                </wp:inline>
              </w:drawing>
            </w:r>
            <w:r>
              <w:rPr>
                <w:bCs/>
                <w:sz w:val="18"/>
                <w:szCs w:val="18"/>
                <w:lang w:val="en-GB"/>
              </w:rPr>
              <w:t xml:space="preserve"> is a lecturer in Indonesian Language and Literature Education. Aurelia Sakti Yani received both her master's degree (S2) and bachelor's degree (S1) in Indonesian Language and Literature Education from IKIP </w:t>
            </w:r>
            <w:proofErr w:type="spellStart"/>
            <w:r>
              <w:rPr>
                <w:bCs/>
                <w:sz w:val="18"/>
                <w:szCs w:val="18"/>
                <w:lang w:val="en-GB"/>
              </w:rPr>
              <w:t>Siliwangi</w:t>
            </w:r>
            <w:proofErr w:type="spellEnd"/>
            <w:r>
              <w:rPr>
                <w:bCs/>
                <w:sz w:val="18"/>
                <w:szCs w:val="18"/>
                <w:lang w:val="en-GB"/>
              </w:rPr>
              <w:t xml:space="preserve"> (formerly STKIP </w:t>
            </w:r>
            <w:proofErr w:type="spellStart"/>
            <w:r>
              <w:rPr>
                <w:bCs/>
                <w:sz w:val="18"/>
                <w:szCs w:val="18"/>
                <w:lang w:val="en-GB"/>
              </w:rPr>
              <w:t>Siliwangi</w:t>
            </w:r>
            <w:proofErr w:type="spellEnd"/>
            <w:r>
              <w:rPr>
                <w:bCs/>
                <w:sz w:val="18"/>
                <w:szCs w:val="18"/>
                <w:lang w:val="en-GB"/>
              </w:rPr>
              <w:t xml:space="preserve">), </w:t>
            </w:r>
            <w:proofErr w:type="spellStart"/>
            <w:r>
              <w:rPr>
                <w:bCs/>
                <w:sz w:val="18"/>
                <w:szCs w:val="18"/>
                <w:lang w:val="en-GB"/>
              </w:rPr>
              <w:t>Cimahi</w:t>
            </w:r>
            <w:proofErr w:type="spellEnd"/>
            <w:r>
              <w:rPr>
                <w:bCs/>
                <w:sz w:val="18"/>
                <w:szCs w:val="18"/>
                <w:lang w:val="en-GB"/>
              </w:rPr>
              <w:t xml:space="preserve">, Indonesia. She joined the Faculty of Language Education at IKIP </w:t>
            </w:r>
            <w:proofErr w:type="spellStart"/>
            <w:r>
              <w:rPr>
                <w:bCs/>
                <w:sz w:val="18"/>
                <w:szCs w:val="18"/>
                <w:lang w:val="en-GB"/>
              </w:rPr>
              <w:t>Siliwangi</w:t>
            </w:r>
            <w:proofErr w:type="spellEnd"/>
            <w:r>
              <w:rPr>
                <w:bCs/>
                <w:sz w:val="18"/>
                <w:szCs w:val="18"/>
                <w:lang w:val="en-GB"/>
              </w:rPr>
              <w:t xml:space="preserve">, </w:t>
            </w:r>
            <w:proofErr w:type="spellStart"/>
            <w:r>
              <w:rPr>
                <w:bCs/>
                <w:sz w:val="18"/>
                <w:szCs w:val="18"/>
                <w:lang w:val="en-GB"/>
              </w:rPr>
              <w:t>Cimahi</w:t>
            </w:r>
            <w:proofErr w:type="spellEnd"/>
            <w:r>
              <w:rPr>
                <w:bCs/>
                <w:sz w:val="18"/>
                <w:szCs w:val="18"/>
                <w:lang w:val="en-GB"/>
              </w:rPr>
              <w:t>, Indonesia as a lecturer. She has written several papers in the areas of educational technology optimization, psychological aspects of education, digital literacy, and digital netiquette. Her research interests also include speculative fiction analysis in educational technology, youth delinquency in educational psychology, anti-human trafficking awareness, and community empowerment. She can be contacted at email: saktiyani@ikipsiliwangi.ac.id.</w:t>
            </w:r>
          </w:p>
        </w:tc>
      </w:tr>
    </w:tbl>
    <w:p w14:paraId="599C607D" w14:textId="77777777" w:rsidR="0041777C" w:rsidRDefault="0041777C">
      <w:pPr>
        <w:ind w:left="426" w:hanging="426"/>
        <w:jc w:val="both"/>
        <w:rPr>
          <w:color w:val="000000"/>
          <w:lang w:val="en-GB"/>
        </w:rPr>
      </w:pPr>
    </w:p>
    <w:sectPr w:rsidR="0041777C">
      <w:headerReference w:type="even" r:id="rId41"/>
      <w:headerReference w:type="default" r:id="rId42"/>
      <w:footerReference w:type="even" r:id="rId43"/>
      <w:footerReference w:type="default" r:id="rId44"/>
      <w:headerReference w:type="first" r:id="rId45"/>
      <w:footerReference w:type="first" r:id="rId46"/>
      <w:pgSz w:w="11906" w:h="16838"/>
      <w:pgMar w:top="1418" w:right="1418" w:bottom="1418" w:left="1701" w:header="1134" w:footer="1134"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EA3EF" w14:textId="77777777" w:rsidR="000040D4" w:rsidRDefault="000040D4">
      <w:r>
        <w:separator/>
      </w:r>
    </w:p>
  </w:endnote>
  <w:endnote w:type="continuationSeparator" w:id="0">
    <w:p w14:paraId="7FCDBCD8" w14:textId="77777777" w:rsidR="000040D4" w:rsidRDefault="00004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NimbusRomNo9L-Medi">
    <w:altName w:val="Cambria"/>
    <w:charset w:val="01"/>
    <w:family w:val="roman"/>
    <w:pitch w:val="variable"/>
  </w:font>
  <w:font w:name="NimbusRomNo9L-Regu">
    <w:altName w:val="Cambria"/>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Palatino Linotype"/>
    <w:charset w:val="01"/>
    <w:family w:val="roman"/>
    <w:pitch w:val="variable"/>
  </w:font>
  <w:font w:name="Angsana New">
    <w:panose1 w:val="02020603050405020304"/>
    <w:charset w:val="DE"/>
    <w:family w:val="roman"/>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C9FF" w14:textId="77777777" w:rsidR="0041777C" w:rsidRDefault="00000000">
    <w:pPr>
      <w:pStyle w:val="Header"/>
      <w:tabs>
        <w:tab w:val="clear" w:pos="4320"/>
        <w:tab w:val="clear" w:pos="8640"/>
        <w:tab w:val="left" w:pos="2992"/>
      </w:tabs>
      <w:spacing w:before="240"/>
    </w:pPr>
    <w:r>
      <w:rPr>
        <w:noProof/>
      </w:rPr>
      <mc:AlternateContent>
        <mc:Choice Requires="wps">
          <w:drawing>
            <wp:anchor distT="5080" distB="5080" distL="5080" distR="5080" simplePos="0" relativeHeight="32" behindDoc="1" locked="0" layoutInCell="1" allowOverlap="1" wp14:anchorId="307E942D" wp14:editId="4A0ED81A">
              <wp:simplePos x="0" y="0"/>
              <wp:positionH relativeFrom="column">
                <wp:posOffset>-17780</wp:posOffset>
              </wp:positionH>
              <wp:positionV relativeFrom="paragraph">
                <wp:posOffset>144145</wp:posOffset>
              </wp:positionV>
              <wp:extent cx="5615940" cy="0"/>
              <wp:effectExtent l="5080" t="5080" r="5080" b="5080"/>
              <wp:wrapNone/>
              <wp:docPr id="30" name="Line 3"/>
              <wp:cNvGraphicFramePr/>
              <a:graphic xmlns:a="http://schemas.openxmlformats.org/drawingml/2006/main">
                <a:graphicData uri="http://schemas.microsoft.com/office/word/2010/wordprocessingShape">
                  <wps:wsp>
                    <wps:cNvCnPr/>
                    <wps:spPr>
                      <a:xfrm>
                        <a:off x="0" y="0"/>
                        <a:ext cx="5616000" cy="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9BECE0D" id="Line 3" o:spid="_x0000_s1026" style="position:absolute;z-index:-503316448;visibility:visible;mso-wrap-style:square;mso-wrap-distance-left:.4pt;mso-wrap-distance-top:.4pt;mso-wrap-distance-right:.4pt;mso-wrap-distance-bottom:.4pt;mso-position-horizontal:absolute;mso-position-horizontal-relative:text;mso-position-vertical:absolute;mso-position-vertical-relative:text"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"/>
          </w:pict>
        </mc:Fallback>
      </mc:AlternateContent>
    </w:r>
    <w:r>
      <w:t>J Edu &amp; Learn, Vol. 99, No. 1, Month 2099: ab-cd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A3DA2" w14:textId="77777777" w:rsidR="0041777C" w:rsidRDefault="00000000">
    <w:pPr>
      <w:pStyle w:val="Footer"/>
      <w:jc w:val="right"/>
      <w:rPr>
        <w:i/>
      </w:rPr>
    </w:pPr>
    <w:r>
      <w:rPr>
        <w:noProof/>
      </w:rPr>
      <mc:AlternateContent>
        <mc:Choice Requires="wps">
          <w:drawing>
            <wp:anchor distT="5080" distB="5080" distL="5080" distR="5080" simplePos="0" relativeHeight="26" behindDoc="1" locked="0" layoutInCell="1" allowOverlap="1" wp14:anchorId="62A3734C" wp14:editId="368532CA">
              <wp:simplePos x="0" y="0"/>
              <wp:positionH relativeFrom="column">
                <wp:posOffset>-17780</wp:posOffset>
              </wp:positionH>
              <wp:positionV relativeFrom="paragraph">
                <wp:posOffset>635</wp:posOffset>
              </wp:positionV>
              <wp:extent cx="5615940" cy="635"/>
              <wp:effectExtent l="5080" t="5080" r="5080" b="5080"/>
              <wp:wrapNone/>
              <wp:docPr id="31" name="Line 3"/>
              <wp:cNvGraphicFramePr/>
              <a:graphic xmlns:a="http://schemas.openxmlformats.org/drawingml/2006/main">
                <a:graphicData uri="http://schemas.microsoft.com/office/word/2010/wordprocessingShape">
                  <wps:wsp>
                    <wps:cNvCnPr/>
                    <wps:spPr>
                      <a:xfrm>
                        <a:off x="0" y="0"/>
                        <a:ext cx="561600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1E8DE5D" id="Line 3" o:spid="_x0000_s1026" style="position:absolute;z-index:-503316454;visibility:visible;mso-wrap-style:square;mso-wrap-distance-left:.4pt;mso-wrap-distance-top:.4pt;mso-wrap-distance-right:.4pt;mso-wrap-distance-bottom:.4pt;mso-position-horizontal:absolute;mso-position-horizontal-relative:text;mso-position-vertical:absolute;mso-position-vertical-relative:text" from="-1.4pt,.05pt" to="440.8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"/>
          </w:pict>
        </mc:Fallback>
      </mc:AlternateContent>
    </w:r>
    <w:proofErr w:type="gramStart"/>
    <w:r>
      <w:rPr>
        <w:i/>
        <w:iCs/>
      </w:rPr>
      <w:t>Paper’s</w:t>
    </w:r>
    <w:proofErr w:type="gramEnd"/>
    <w:r>
      <w:rPr>
        <w:i/>
        <w:iCs/>
      </w:rPr>
      <w:t xml:space="preserve"> should be the fewest possible that accurately describe </w:t>
    </w:r>
    <w:r>
      <w:rPr>
        <w:i/>
      </w:rPr>
      <w:t>… (First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D1A1" w14:textId="77777777" w:rsidR="0041777C" w:rsidRDefault="00000000">
    <w:pPr>
      <w:pStyle w:val="Footer"/>
      <w:spacing w:before="240"/>
      <w:rPr>
        <w:i/>
        <w:szCs w:val="18"/>
      </w:rPr>
    </w:pPr>
    <w:r>
      <w:rPr>
        <w:noProof/>
      </w:rPr>
      <mc:AlternateContent>
        <mc:Choice Requires="wps">
          <w:drawing>
            <wp:anchor distT="5715" distB="5080" distL="5080" distR="5715" simplePos="0" relativeHeight="27" behindDoc="1" locked="0" layoutInCell="1" allowOverlap="1" wp14:anchorId="066E0B6C" wp14:editId="523408C0">
              <wp:simplePos x="0" y="0"/>
              <wp:positionH relativeFrom="column">
                <wp:posOffset>-17780</wp:posOffset>
              </wp:positionH>
              <wp:positionV relativeFrom="paragraph">
                <wp:posOffset>144145</wp:posOffset>
              </wp:positionV>
              <wp:extent cx="5615940" cy="635"/>
              <wp:effectExtent l="5080" t="5715" r="5715" b="5080"/>
              <wp:wrapNone/>
              <wp:docPr id="32" name="AutoShape 6"/>
              <wp:cNvGraphicFramePr/>
              <a:graphic xmlns:a="http://schemas.openxmlformats.org/drawingml/2006/main">
                <a:graphicData uri="http://schemas.microsoft.com/office/word/2010/wordprocessingShape">
                  <wps:wsp>
                    <wps:cNvCnPr/>
                    <wps:spPr>
                      <a:xfrm>
                        <a:off x="0" y="0"/>
                        <a:ext cx="561600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4FE11869" id="_x0000_t32" coordsize="21600,21600" o:spt="32" o:oned="t" path="m,l21600,21600e" filled="f">
              <v:path arrowok="t" fillok="f" o:connecttype="none"/>
              <o:lock v:ext="edit" shapetype="t"/>
            </v:shapetype>
            <v:shape id="AutoShape 6" o:spid="_x0000_s1026" type="#_x0000_t32" style="position:absolute;margin-left:-1.4pt;margin-top:11.35pt;width:442.2pt;height:.05pt;z-index:-503316453;visibility:visible;mso-wrap-style:square;mso-wrap-distance-left:.4pt;mso-wrap-distance-top:.45pt;mso-wrap-distance-right:.45pt;mso-wrap-distance-bottom:.4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"/>
          </w:pict>
        </mc:Fallback>
      </mc:AlternateContent>
    </w:r>
    <w:r>
      <w:rPr>
        <w:b/>
        <w:i/>
        <w:szCs w:val="18"/>
      </w:rPr>
      <w:t>Journal homepage</w:t>
    </w:r>
    <w:r>
      <w:rPr>
        <w:i/>
        <w:szCs w:val="18"/>
      </w:rPr>
      <w:t>: http://edulearn.intelektual.org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D06F3" w14:textId="77777777" w:rsidR="000040D4" w:rsidRDefault="000040D4">
      <w:r>
        <w:separator/>
      </w:r>
    </w:p>
  </w:footnote>
  <w:footnote w:type="continuationSeparator" w:id="0">
    <w:p w14:paraId="549F9A7F" w14:textId="77777777" w:rsidR="000040D4" w:rsidRDefault="00004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0E7C" w14:textId="77777777" w:rsidR="0041777C" w:rsidRDefault="00000000">
    <w:pPr>
      <w:pStyle w:val="Header"/>
      <w:tabs>
        <w:tab w:val="clear" w:pos="4320"/>
        <w:tab w:val="clear" w:pos="8640"/>
        <w:tab w:val="right" w:pos="851"/>
        <w:tab w:val="left" w:pos="3405"/>
        <w:tab w:val="right" w:pos="8789"/>
      </w:tabs>
      <w:spacing w:after="240"/>
    </w:pPr>
    <w:r>
      <w:rPr>
        <w:noProof/>
      </w:rPr>
      <mc:AlternateContent>
        <mc:Choice Requires="wps">
          <w:drawing>
            <wp:anchor distT="5715" distB="5080" distL="5080" distR="5715" simplePos="0" relativeHeight="22" behindDoc="1" locked="0" layoutInCell="1" allowOverlap="1" wp14:anchorId="36240665" wp14:editId="393AE3ED">
              <wp:simplePos x="0" y="0"/>
              <wp:positionH relativeFrom="column">
                <wp:posOffset>-17780</wp:posOffset>
              </wp:positionH>
              <wp:positionV relativeFrom="paragraph">
                <wp:posOffset>180340</wp:posOffset>
              </wp:positionV>
              <wp:extent cx="5615940" cy="635"/>
              <wp:effectExtent l="5080" t="5715" r="5715" b="5080"/>
              <wp:wrapNone/>
              <wp:docPr id="25" name="AutoShape 7"/>
              <wp:cNvGraphicFramePr/>
              <a:graphic xmlns:a="http://schemas.openxmlformats.org/drawingml/2006/main">
                <a:graphicData uri="http://schemas.microsoft.com/office/word/2010/wordprocessingShape">
                  <wps:wsp>
                    <wps:cNvCnPr/>
                    <wps:spPr>
                      <a:xfrm>
                        <a:off x="0" y="0"/>
                        <a:ext cx="561600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610B67AD" id="_x0000_t32" coordsize="21600,21600" o:spt="32" o:oned="t" path="m,l21600,21600e" filled="f">
              <v:path arrowok="t" fillok="f" o:connecttype="none"/>
              <o:lock v:ext="edit" shapetype="t"/>
            </v:shapetype>
            <v:shape id="AutoShape 7" o:spid="_x0000_s1026" type="#_x0000_t32" style="position:absolute;margin-left:-1.4pt;margin-top:14.2pt;width:442.2pt;height:.05pt;z-index:-503316458;visibility:visible;mso-wrap-style:square;mso-wrap-distance-left:.4pt;mso-wrap-distance-top:.45pt;mso-wrap-distance-right:.45pt;mso-wrap-distance-bottom:.4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"/>
          </w:pict>
        </mc:Fallback>
      </mc:AlternateContent>
    </w:r>
    <w:r>
      <w:t xml:space="preserve">     </w:t>
    </w:r>
    <w:r>
      <w:tab/>
    </w:r>
    <w:r>
      <w:rPr>
        <w:rFonts w:ascii="Wingdings" w:eastAsia="Wingdings" w:hAnsi="Wingdings" w:cs="Wingdings"/>
      </w:rPr>
      <w:sym w:font="Wingdings" w:char="F072"/>
    </w:r>
    <w:r>
      <w:rPr>
        <w:noProof/>
      </w:rPr>
      <mc:AlternateContent>
        <mc:Choice Requires="wps">
          <w:drawing>
            <wp:anchor distT="0" distB="0" distL="0" distR="0" simplePos="0" relativeHeight="46" behindDoc="1" locked="0" layoutInCell="0" allowOverlap="1" wp14:anchorId="2346DC22" wp14:editId="7077C071">
              <wp:simplePos x="0" y="0"/>
              <wp:positionH relativeFrom="page">
                <wp:posOffset>1077595</wp:posOffset>
              </wp:positionH>
              <wp:positionV relativeFrom="paragraph">
                <wp:posOffset>-1270</wp:posOffset>
              </wp:positionV>
              <wp:extent cx="64135" cy="146685"/>
              <wp:effectExtent l="0" t="0" r="0" b="0"/>
              <wp:wrapSquare wrapText="bothSides"/>
              <wp:docPr id="26" name="Frame1"/>
              <wp:cNvGraphicFramePr/>
              <a:graphic xmlns:a="http://schemas.openxmlformats.org/drawingml/2006/main">
                <a:graphicData uri="http://schemas.microsoft.com/office/word/2010/wordprocessingShape">
                  <wps:wsp>
                    <wps:cNvSpPr/>
                    <wps:spPr>
                      <a:xfrm>
                        <a:off x="0" y="0"/>
                        <a:ext cx="64080" cy="146520"/>
                      </a:xfrm>
                      <a:prstGeom prst="rect">
                        <a:avLst/>
                      </a:prstGeom>
                      <a:noFill/>
                      <a:ln w="0">
                        <a:noFill/>
                      </a:ln>
                    </wps:spPr>
                    <wps:style>
                      <a:lnRef idx="0">
                        <a:scrgbClr r="0" g="0" b="0"/>
                      </a:lnRef>
                      <a:fillRef idx="0">
                        <a:scrgbClr r="0" g="0" b="0"/>
                      </a:fillRef>
                      <a:effectRef idx="0">
                        <a:scrgbClr r="0" g="0" b="0"/>
                      </a:effectRef>
                      <a:fontRef idx="minor"/>
                    </wps:style>
                    <wps:txbx>
                      <w:txbxContent>
                        <w:p w14:paraId="31408BDC" w14:textId="77777777" w:rsidR="0041777C" w:rsidRDefault="00000000">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w:t>
                          </w:r>
                          <w:r>
                            <w:rPr>
                              <w:rStyle w:val="PageNumber"/>
                              <w:color w:val="000000"/>
                            </w:rPr>
                            <w:fldChar w:fldCharType="end"/>
                          </w:r>
                        </w:p>
                      </w:txbxContent>
                    </wps:txbx>
                    <wps:bodyPr lIns="0" tIns="0" rIns="0" bIns="0" anchor="t">
                      <a:spAutoFit/>
                    </wps:bodyPr>
                  </wps:wsp>
                </a:graphicData>
              </a:graphic>
            </wp:anchor>
          </w:drawing>
        </mc:Choice>
        <mc:Fallback>
          <w:pict>
            <v:rect w14:anchorId="2346DC22" id="Frame1" o:spid="_x0000_s1026" style="position:absolute;margin-left:84.85pt;margin-top:-.1pt;width:5.05pt;height:11.55pt;z-index:-50331643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" o:allowincell="f" filled="f" stroked="f" strokeweight="0">
              <v:textbox style="mso-fit-shape-to-text:t" inset="0,0,0,0">
                <w:txbxContent>
                  <w:p w14:paraId="31408BDC" w14:textId="77777777" w:rsidR="0041777C" w:rsidRDefault="00000000">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w:t>
                    </w:r>
                    <w:r>
                      <w:rPr>
                        <w:rStyle w:val="PageNumber"/>
                        <w:color w:val="000000"/>
                      </w:rPr>
                      <w:fldChar w:fldCharType="end"/>
                    </w:r>
                  </w:p>
                </w:txbxContent>
              </v:textbox>
              <w10:wrap type="square" anchorx="page"/>
            </v:rect>
          </w:pict>
        </mc:Fallback>
      </mc:AlternateContent>
    </w:r>
    <w:r>
      <w:t xml:space="preserve"> </w:t>
    </w:r>
    <w:r>
      <w:tab/>
    </w:r>
    <w:r>
      <w:tab/>
      <w:t xml:space="preserve">       ISSN: 2089-9823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5A9E4" w14:textId="77777777" w:rsidR="0041777C" w:rsidRDefault="00000000">
    <w:pPr>
      <w:pStyle w:val="Header"/>
      <w:tabs>
        <w:tab w:val="clear" w:pos="4320"/>
        <w:tab w:val="clear" w:pos="8640"/>
        <w:tab w:val="left" w:pos="0"/>
        <w:tab w:val="center" w:pos="4301"/>
        <w:tab w:val="left" w:pos="7938"/>
      </w:tabs>
    </w:pPr>
    <w:r>
      <w:t xml:space="preserve">J Edu &amp; Learn </w:t>
    </w:r>
    <w:r>
      <w:tab/>
      <w:t>ISSN: 2089-9823</w:t>
    </w:r>
    <w:r>
      <w:tab/>
    </w:r>
    <w:r>
      <w:rPr>
        <w:noProof/>
      </w:rPr>
      <mc:AlternateContent>
        <mc:Choice Requires="wps">
          <w:drawing>
            <wp:anchor distT="0" distB="0" distL="0" distR="0" simplePos="0" relativeHeight="54" behindDoc="1" locked="0" layoutInCell="0" allowOverlap="1" wp14:anchorId="3D1EA2D1" wp14:editId="5B58F7D4">
              <wp:simplePos x="0" y="0"/>
              <wp:positionH relativeFrom="margin">
                <wp:align>outside</wp:align>
              </wp:positionH>
              <wp:positionV relativeFrom="paragraph">
                <wp:posOffset>635</wp:posOffset>
              </wp:positionV>
              <wp:extent cx="64135" cy="146685"/>
              <wp:effectExtent l="0" t="0" r="0" b="0"/>
              <wp:wrapSquare wrapText="bothSides"/>
              <wp:docPr id="27" name="Frame2"/>
              <wp:cNvGraphicFramePr/>
              <a:graphic xmlns:a="http://schemas.openxmlformats.org/drawingml/2006/main">
                <a:graphicData uri="http://schemas.microsoft.com/office/word/2010/wordprocessingShape">
                  <wps:wsp>
                    <wps:cNvSpPr/>
                    <wps:spPr>
                      <a:xfrm>
                        <a:off x="0" y="0"/>
                        <a:ext cx="64080" cy="146520"/>
                      </a:xfrm>
                      <a:prstGeom prst="rect">
                        <a:avLst/>
                      </a:prstGeom>
                      <a:noFill/>
                      <a:ln w="0">
                        <a:noFill/>
                      </a:ln>
                    </wps:spPr>
                    <wps:style>
                      <a:lnRef idx="0">
                        <a:scrgbClr r="0" g="0" b="0"/>
                      </a:lnRef>
                      <a:fillRef idx="0">
                        <a:scrgbClr r="0" g="0" b="0"/>
                      </a:fillRef>
                      <a:effectRef idx="0">
                        <a:scrgbClr r="0" g="0" b="0"/>
                      </a:effectRef>
                      <a:fontRef idx="minor"/>
                    </wps:style>
                    <wps:txbx>
                      <w:txbxContent>
                        <w:p w14:paraId="4FF01133" w14:textId="77777777" w:rsidR="0041777C" w:rsidRDefault="00000000">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txbxContent>
                    </wps:txbx>
                    <wps:bodyPr lIns="0" tIns="0" rIns="0" bIns="0" anchor="t">
                      <a:spAutoFit/>
                    </wps:bodyPr>
                  </wps:wsp>
                </a:graphicData>
              </a:graphic>
            </wp:anchor>
          </w:drawing>
        </mc:Choice>
        <mc:Fallback>
          <w:pict>
            <v:rect w14:anchorId="3D1EA2D1" id="Frame2" o:spid="_x0000_s1027" style="position:absolute;margin-left:-46.15pt;margin-top:.05pt;width:5.05pt;height:11.55pt;z-index:-503316426;visibility:visible;mso-wrap-style:square;mso-wrap-distance-left:0;mso-wrap-distance-top:0;mso-wrap-distance-right:0;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" o:allowincell="f" filled="f" stroked="f" strokeweight="0">
              <v:textbox style="mso-fit-shape-to-text:t" inset="0,0,0,0">
                <w:txbxContent>
                  <w:p w14:paraId="4FF01133" w14:textId="77777777" w:rsidR="0041777C" w:rsidRDefault="00000000">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txbxContent>
              </v:textbox>
              <w10:wrap type="square" anchorx="margin"/>
            </v:rect>
          </w:pict>
        </mc:Fallback>
      </mc:AlternateContent>
    </w:r>
    <w:r>
      <w:rPr>
        <w:rFonts w:ascii="Wingdings" w:eastAsia="Wingdings" w:hAnsi="Wingdings" w:cs="Wingdings"/>
      </w:rPr>
      <w:sym w:font="Wingdings" w:char="F072"/>
    </w:r>
  </w:p>
  <w:p w14:paraId="4DF38E15" w14:textId="77777777" w:rsidR="0041777C" w:rsidRDefault="00000000">
    <w:pPr>
      <w:pStyle w:val="Header"/>
      <w:ind w:right="360" w:firstLine="360"/>
    </w:pPr>
    <w:r>
      <w:rPr>
        <w:noProof/>
      </w:rPr>
      <mc:AlternateContent>
        <mc:Choice Requires="wps">
          <w:drawing>
            <wp:anchor distT="5715" distB="5080" distL="5080" distR="5715" simplePos="0" relativeHeight="36" behindDoc="1" locked="0" layoutInCell="1" allowOverlap="1" wp14:anchorId="485510DB" wp14:editId="7F2859ED">
              <wp:simplePos x="0" y="0"/>
              <wp:positionH relativeFrom="column">
                <wp:posOffset>-17780</wp:posOffset>
              </wp:positionH>
              <wp:positionV relativeFrom="paragraph">
                <wp:posOffset>17780</wp:posOffset>
              </wp:positionV>
              <wp:extent cx="5615940" cy="635"/>
              <wp:effectExtent l="5080" t="5715" r="5715" b="5080"/>
              <wp:wrapNone/>
              <wp:docPr id="28" name="AutoShape 7"/>
              <wp:cNvGraphicFramePr/>
              <a:graphic xmlns:a="http://schemas.openxmlformats.org/drawingml/2006/main">
                <a:graphicData uri="http://schemas.microsoft.com/office/word/2010/wordprocessingShape">
                  <wps:wsp>
                    <wps:cNvCnPr/>
                    <wps:spPr>
                      <a:xfrm>
                        <a:off x="0" y="0"/>
                        <a:ext cx="561600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7D474070" id="_x0000_t32" coordsize="21600,21600" o:spt="32" o:oned="t" path="m,l21600,21600e" filled="f">
              <v:path arrowok="t" fillok="f" o:connecttype="none"/>
              <o:lock v:ext="edit" shapetype="t"/>
            </v:shapetype>
            <v:shape id="AutoShape 7" o:spid="_x0000_s1026" type="#_x0000_t32" style="position:absolute;margin-left:-1.4pt;margin-top:1.4pt;width:442.2pt;height:.05pt;z-index:-503316444;visibility:visible;mso-wrap-style:square;mso-wrap-distance-left:.4pt;mso-wrap-distance-top:.45pt;mso-wrap-distance-right:.45pt;mso-wrap-distance-bottom:.4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1502" w14:textId="77777777" w:rsidR="0041777C" w:rsidRDefault="00000000">
    <w:pPr>
      <w:pStyle w:val="Header"/>
      <w:tabs>
        <w:tab w:val="clear" w:pos="4320"/>
        <w:tab w:val="clear" w:pos="8640"/>
      </w:tabs>
      <w:ind w:right="45"/>
      <w:rPr>
        <w:b/>
      </w:rPr>
    </w:pPr>
    <w:r>
      <w:rPr>
        <w:b/>
      </w:rPr>
      <w:t>Journal of Education and Learning (</w:t>
    </w:r>
    <w:proofErr w:type="spellStart"/>
    <w:r>
      <w:rPr>
        <w:b/>
      </w:rPr>
      <w:t>EduLearn</w:t>
    </w:r>
    <w:proofErr w:type="spellEnd"/>
    <w:r>
      <w:rPr>
        <w:b/>
      </w:rPr>
      <w:t>)</w:t>
    </w:r>
  </w:p>
  <w:p w14:paraId="14C5E624" w14:textId="77777777" w:rsidR="0041777C" w:rsidRDefault="00000000">
    <w:pPr>
      <w:pStyle w:val="Header"/>
      <w:tabs>
        <w:tab w:val="clear" w:pos="4320"/>
        <w:tab w:val="clear" w:pos="8640"/>
      </w:tabs>
      <w:ind w:right="45"/>
    </w:pPr>
    <w:r>
      <w:t>Vol. 99, No. 1, Month 2099, pp. 1~1x</w:t>
    </w:r>
  </w:p>
  <w:p w14:paraId="071AA296" w14:textId="77777777" w:rsidR="0041777C" w:rsidRDefault="00000000">
    <w:pPr>
      <w:pStyle w:val="Header"/>
      <w:tabs>
        <w:tab w:val="clear" w:pos="4320"/>
        <w:tab w:val="clear" w:pos="8640"/>
        <w:tab w:val="left" w:pos="7938"/>
        <w:tab w:val="right" w:pos="8789"/>
      </w:tabs>
      <w:rPr>
        <w:rStyle w:val="PageNumber"/>
      </w:rPr>
    </w:pPr>
    <w:r>
      <w:t>ISSN: 2089-9823, DOI: 10.11591/</w:t>
    </w:r>
    <w:proofErr w:type="gramStart"/>
    <w:r>
      <w:t>edulearn.v99i1.paperID</w:t>
    </w:r>
    <w:proofErr w:type="gramEnd"/>
    <w:r>
      <w:tab/>
    </w:r>
    <w:r>
      <w:rPr>
        <w:rFonts w:ascii="Wingdings" w:eastAsia="Wingdings" w:hAnsi="Wingdings" w:cs="Wingdings"/>
      </w:rPr>
      <w:sym w:font="Wingdings" w:char="F072"/>
    </w:r>
    <w:r>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noProof/>
      </w:rPr>
      <mc:AlternateContent>
        <mc:Choice Requires="wps">
          <w:drawing>
            <wp:anchor distT="5715" distB="5080" distL="5080" distR="5715" simplePos="0" relativeHeight="37" behindDoc="1" locked="0" layoutInCell="1" allowOverlap="1" wp14:anchorId="480481AD" wp14:editId="2EFA44F4">
              <wp:simplePos x="0" y="0"/>
              <wp:positionH relativeFrom="column">
                <wp:posOffset>-19050</wp:posOffset>
              </wp:positionH>
              <wp:positionV relativeFrom="paragraph">
                <wp:posOffset>180975</wp:posOffset>
              </wp:positionV>
              <wp:extent cx="5615940" cy="635"/>
              <wp:effectExtent l="5080" t="5715" r="5715" b="5080"/>
              <wp:wrapNone/>
              <wp:docPr id="29" name="AutoShape 6"/>
              <wp:cNvGraphicFramePr/>
              <a:graphic xmlns:a="http://schemas.openxmlformats.org/drawingml/2006/main">
                <a:graphicData uri="http://schemas.microsoft.com/office/word/2010/wordprocessingShape">
                  <wps:wsp>
                    <wps:cNvCnPr/>
                    <wps:spPr>
                      <a:xfrm>
                        <a:off x="0" y="0"/>
                        <a:ext cx="561600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5F5C75D1" id="_x0000_t32" coordsize="21600,21600" o:spt="32" o:oned="t" path="m,l21600,21600e" filled="f">
              <v:path arrowok="t" fillok="f" o:connecttype="none"/>
              <o:lock v:ext="edit" shapetype="t"/>
            </v:shapetype>
            <v:shape id="AutoShape 6" o:spid="_x0000_s1026" type="#_x0000_t32" style="position:absolute;margin-left:-1.5pt;margin-top:14.25pt;width:442.2pt;height:.05pt;z-index:-503316443;visibility:visible;mso-wrap-style:square;mso-wrap-distance-left:.4pt;mso-wrap-distance-top:.45pt;mso-wrap-distance-right:.45pt;mso-wrap-distance-bottom:.4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"/>
          </w:pict>
        </mc:Fallback>
      </mc:AlternateContent>
    </w:r>
    <w:r>
      <w:rPr>
        <w:rStyle w:val="PageNumber"/>
      </w:rPr>
      <w:tab/>
    </w:r>
  </w:p>
  <w:p w14:paraId="23DC0E1D" w14:textId="77777777" w:rsidR="0041777C" w:rsidRDefault="0041777C">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561D"/>
    <w:multiLevelType w:val="multilevel"/>
    <w:tmpl w:val="B6F67644"/>
    <w:lvl w:ilvl="0">
      <w:start w:val="1"/>
      <w:numFmt w:val="decimal"/>
      <w:pStyle w:val="references"/>
      <w:lvlText w:val="[%1]"/>
      <w:lvlJc w:val="left"/>
      <w:pPr>
        <w:tabs>
          <w:tab w:val="num" w:pos="360"/>
        </w:tabs>
        <w:ind w:left="360" w:hanging="360"/>
      </w:pPr>
      <w:rPr>
        <w:rFonts w:ascii="Times New Roman" w:hAnsi="Times New Roman"/>
        <w:b w:val="0"/>
        <w:i w:val="0"/>
        <w:sz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7EE5395"/>
    <w:multiLevelType w:val="multilevel"/>
    <w:tmpl w:val="78F84F0C"/>
    <w:lvl w:ilvl="0">
      <w:start w:val="1"/>
      <w:numFmt w:val="decimal"/>
      <w:lvlText w:val="%1."/>
      <w:lvlJc w:val="left"/>
      <w:pPr>
        <w:tabs>
          <w:tab w:val="num" w:pos="0"/>
        </w:tabs>
        <w:ind w:left="720" w:hanging="360"/>
      </w:pPr>
      <w:rPr>
        <w:rFonts w:ascii="Times New Roman" w:hAnsi="Times New Roman"/>
        <w:b/>
        <w:i w:val="0"/>
        <w:sz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0AC2599"/>
    <w:multiLevelType w:val="multilevel"/>
    <w:tmpl w:val="0F8A8D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FD9659A"/>
    <w:multiLevelType w:val="multilevel"/>
    <w:tmpl w:val="06682C0A"/>
    <w:lvl w:ilvl="0">
      <w:start w:val="1"/>
      <w:numFmt w:val="upperRoman"/>
      <w:pStyle w:val="tablehead"/>
      <w:lvlText w:val="TABLE %1. "/>
      <w:lvlJc w:val="left"/>
      <w:pPr>
        <w:tabs>
          <w:tab w:val="num" w:pos="1080"/>
        </w:tabs>
        <w:ind w:left="0" w:firstLine="0"/>
      </w:pPr>
      <w:rPr>
        <w:rFonts w:ascii="Times New Roman" w:hAnsi="Times New Roman"/>
        <w:b w:val="0"/>
        <w:i w:val="0"/>
        <w:sz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D614CC3"/>
    <w:multiLevelType w:val="multilevel"/>
    <w:tmpl w:val="124C4C48"/>
    <w:lvl w:ilvl="0">
      <w:start w:val="1"/>
      <w:numFmt w:val="decimal"/>
      <w:pStyle w:val="yange2"/>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30483440">
    <w:abstractNumId w:val="4"/>
  </w:num>
  <w:num w:numId="2" w16cid:durableId="2110810027">
    <w:abstractNumId w:val="0"/>
  </w:num>
  <w:num w:numId="3" w16cid:durableId="438373826">
    <w:abstractNumId w:val="3"/>
  </w:num>
  <w:num w:numId="4" w16cid:durableId="173150070">
    <w:abstractNumId w:val="1"/>
  </w:num>
  <w:num w:numId="5" w16cid:durableId="82339784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stu Bias Primandhika">
    <w15:presenceInfo w15:providerId="AD" w15:userId="S::restu@ikipsiliwangi.ac.id::0e68dbef-14a9-4bf6-aab5-f350198f9f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hyphenationZone w:val="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777C"/>
    <w:rsid w:val="000040D4"/>
    <w:rsid w:val="0041777C"/>
    <w:rsid w:val="005B43DA"/>
    <w:rsid w:val="005E2E9D"/>
    <w:rsid w:val="00691A14"/>
    <w:rsid w:val="008072DC"/>
    <w:rsid w:val="008A6991"/>
    <w:rsid w:val="00A17780"/>
    <w:rsid w:val="00BF0C59"/>
    <w:rsid w:val="00FA5EDD"/>
  </w:rsids>
  <m:mathPr>
    <m:mathFont m:val="Cambria Math"/>
    <m:brkBin m:val="before"/>
    <m:brkBinSub m:val="--"/>
    <m:smallFrac m:val="0"/>
    <m:dispDef/>
    <m:lMargin m:val="0"/>
    <m:rMargin m:val="0"/>
    <m:defJc m:val="centerGroup"/>
    <m:wrapIndent m:val="1440"/>
    <m:intLim m:val="subSup"/>
    <m:naryLim m:val="undOvr"/>
  </m:mathPr>
  <w:themeFontLang w:val="ms-MY"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BECC"/>
  <w15:docId w15:val="{1A7B7561-627F-4E08-B5FA-7D809D1B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02A61"/>
    <w:rPr>
      <w:color w:val="0000FF"/>
      <w:u w:val="single"/>
    </w:rPr>
  </w:style>
  <w:style w:type="character" w:styleId="PageNumber">
    <w:name w:val="page number"/>
    <w:basedOn w:val="DefaultParagraphFont"/>
    <w:rsid w:val="0094367D"/>
  </w:style>
  <w:style w:type="character" w:customStyle="1" w:styleId="FootnoteCharacters">
    <w:name w:val="Footnote Characters"/>
    <w:semiHidden/>
    <w:qFormat/>
    <w:rsid w:val="00FA0403"/>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Style10ptJustifiedChar">
    <w:name w:val="Style 10 pt Justified Char"/>
    <w:basedOn w:val="DefaultParagraphFont"/>
    <w:link w:val="Style10ptJustified"/>
    <w:qFormat/>
    <w:rsid w:val="00353885"/>
    <w:rPr>
      <w:rFonts w:ascii="Arial" w:eastAsia="MS Mincho" w:hAnsi="Arial" w:cs="Arial"/>
      <w:iCs/>
      <w:lang w:val="en-GB" w:eastAsia="en-US" w:bidi="ar-SA"/>
    </w:rPr>
  </w:style>
  <w:style w:type="character" w:customStyle="1" w:styleId="CharChar">
    <w:name w:val="Char Char"/>
    <w:basedOn w:val="DefaultParagraphFont"/>
    <w:qFormat/>
    <w:rsid w:val="00097958"/>
    <w:rPr>
      <w:rFonts w:ascii="Courier New" w:eastAsia="BatangChe" w:hAnsi="Courier New"/>
      <w:sz w:val="24"/>
      <w:szCs w:val="24"/>
      <w:lang w:val="en-US" w:eastAsia="en-US"/>
    </w:rPr>
  </w:style>
  <w:style w:type="character" w:styleId="Strong">
    <w:name w:val="Strong"/>
    <w:basedOn w:val="DefaultParagraphFont"/>
    <w:qFormat/>
    <w:rsid w:val="00335BE8"/>
    <w:rPr>
      <w:rFonts w:cs="Times New Roman"/>
      <w:b/>
      <w:bCs/>
    </w:rPr>
  </w:style>
  <w:style w:type="character" w:styleId="Emphasis">
    <w:name w:val="Emphasis"/>
    <w:basedOn w:val="DefaultParagraphFont"/>
    <w:uiPriority w:val="20"/>
    <w:qFormat/>
    <w:rsid w:val="00232DA1"/>
    <w:rPr>
      <w:i/>
      <w:iCs/>
    </w:rPr>
  </w:style>
  <w:style w:type="character" w:customStyle="1" w:styleId="shorttext">
    <w:name w:val="short_text"/>
    <w:basedOn w:val="DefaultParagraphFont"/>
    <w:qFormat/>
    <w:rsid w:val="007017C6"/>
  </w:style>
  <w:style w:type="character" w:customStyle="1" w:styleId="longtext">
    <w:name w:val="long_text"/>
    <w:basedOn w:val="DefaultParagraphFont"/>
    <w:qFormat/>
    <w:rsid w:val="004947B9"/>
  </w:style>
  <w:style w:type="character" w:customStyle="1" w:styleId="apple-style-span">
    <w:name w:val="apple-style-span"/>
    <w:basedOn w:val="DefaultParagraphFont"/>
    <w:qFormat/>
    <w:rsid w:val="00C35B8F"/>
  </w:style>
  <w:style w:type="character" w:customStyle="1" w:styleId="apple-converted-space">
    <w:name w:val="apple-converted-space"/>
    <w:basedOn w:val="DefaultParagraphFont"/>
    <w:qFormat/>
    <w:rsid w:val="00C35B8F"/>
  </w:style>
  <w:style w:type="character" w:customStyle="1" w:styleId="hps">
    <w:name w:val="hps"/>
    <w:basedOn w:val="DefaultParagraphFont"/>
    <w:qFormat/>
    <w:rsid w:val="008F05B8"/>
  </w:style>
  <w:style w:type="character" w:customStyle="1" w:styleId="st">
    <w:name w:val="st"/>
    <w:basedOn w:val="DefaultParagraphFont"/>
    <w:qFormat/>
    <w:rsid w:val="00956EB6"/>
  </w:style>
  <w:style w:type="character" w:customStyle="1" w:styleId="fontstyle01">
    <w:name w:val="fontstyle01"/>
    <w:basedOn w:val="DefaultParagraphFont"/>
    <w:qFormat/>
    <w:rsid w:val="00F15BF4"/>
    <w:rPr>
      <w:rFonts w:ascii="NimbusRomNo9L-Medi" w:hAnsi="NimbusRomNo9L-Medi"/>
      <w:b/>
      <w:bCs/>
      <w:i w:val="0"/>
      <w:iCs w:val="0"/>
      <w:color w:val="000000"/>
      <w:sz w:val="20"/>
      <w:szCs w:val="20"/>
    </w:rPr>
  </w:style>
  <w:style w:type="character" w:customStyle="1" w:styleId="fontstyle21">
    <w:name w:val="fontstyle21"/>
    <w:basedOn w:val="DefaultParagraphFont"/>
    <w:qFormat/>
    <w:rsid w:val="00F15BF4"/>
    <w:rPr>
      <w:rFonts w:ascii="NimbusRomNo9L-Regu" w:hAnsi="NimbusRomNo9L-Regu"/>
      <w:b w:val="0"/>
      <w:bCs w:val="0"/>
      <w:i w:val="0"/>
      <w:iCs w:val="0"/>
      <w:color w:val="000000"/>
      <w:sz w:val="20"/>
      <w:szCs w:val="20"/>
    </w:rPr>
  </w:style>
  <w:style w:type="character" w:customStyle="1" w:styleId="UnresolvedMention1">
    <w:name w:val="Unresolved Mention1"/>
    <w:basedOn w:val="DefaultParagraphFont"/>
    <w:uiPriority w:val="99"/>
    <w:semiHidden/>
    <w:unhideWhenUsed/>
    <w:qFormat/>
    <w:rsid w:val="00E619D6"/>
    <w:rPr>
      <w:color w:val="605E5C"/>
      <w:shd w:val="clear" w:color="auto" w:fill="E1DFDD"/>
    </w:rPr>
  </w:style>
  <w:style w:type="character" w:customStyle="1" w:styleId="HeaderChar">
    <w:name w:val="Header Char"/>
    <w:basedOn w:val="DefaultParagraphFont"/>
    <w:link w:val="Header"/>
    <w:qFormat/>
    <w:rsid w:val="00981F5C"/>
  </w:style>
  <w:style w:type="character" w:styleId="LineNumber">
    <w:name w:val="line numbe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rsid w:val="00C15A56"/>
    <w:pPr>
      <w:spacing w:after="120"/>
    </w:pPr>
    <w:rPr>
      <w:lang w:val="id-ID" w:eastAsia="id-ID"/>
    </w:rPr>
  </w:style>
  <w:style w:type="paragraph" w:styleId="List">
    <w:name w:val="List"/>
    <w:basedOn w:val="Normal"/>
    <w:rsid w:val="00DA0390"/>
    <w:pPr>
      <w:ind w:left="360" w:hanging="360"/>
      <w:jc w:val="center"/>
    </w:pPr>
    <w:rPr>
      <w:sz w:val="24"/>
      <w:szCs w:val="24"/>
    </w:rPr>
  </w:style>
  <w:style w:type="paragraph" w:styleId="Caption">
    <w:name w:val="caption"/>
    <w:basedOn w:val="Normal"/>
    <w:next w:val="Normal"/>
    <w:qFormat/>
    <w:rsid w:val="00C15A56"/>
    <w:pPr>
      <w:spacing w:line="480" w:lineRule="auto"/>
      <w:jc w:val="center"/>
    </w:pPr>
    <w:rPr>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paragraph" w:styleId="BalloonText">
    <w:name w:val="Balloon Text"/>
    <w:basedOn w:val="Normal"/>
    <w:semiHidden/>
    <w:qFormat/>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qFormat/>
    <w:rsid w:val="00C15A56"/>
    <w:pPr>
      <w:spacing w:after="120" w:line="480" w:lineRule="auto"/>
      <w:ind w:left="360"/>
    </w:p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qFormat/>
    <w:rsid w:val="004710EE"/>
    <w:pPr>
      <w:spacing w:line="475" w:lineRule="atLeast"/>
      <w:jc w:val="center"/>
    </w:pPr>
    <w:rPr>
      <w:b/>
      <w:sz w:val="32"/>
    </w:rPr>
  </w:style>
  <w:style w:type="paragraph" w:customStyle="1" w:styleId="IsiBabforKomputek">
    <w:name w:val="Isi Bab for Komputek"/>
    <w:basedOn w:val="Normal"/>
    <w:qFormat/>
    <w:rsid w:val="004710EE"/>
    <w:pPr>
      <w:ind w:firstLine="720"/>
      <w:jc w:val="both"/>
    </w:pPr>
  </w:style>
  <w:style w:type="paragraph" w:customStyle="1" w:styleId="tole">
    <w:name w:val="tole"/>
    <w:basedOn w:val="Normal"/>
    <w:qFormat/>
    <w:rsid w:val="00E91546"/>
    <w:pPr>
      <w:jc w:val="center"/>
      <w:outlineLvl w:val="0"/>
    </w:pPr>
    <w:rPr>
      <w:b/>
      <w:bCs/>
      <w:sz w:val="28"/>
      <w:szCs w:val="28"/>
    </w:rPr>
  </w:style>
  <w:style w:type="paragraph" w:customStyle="1" w:styleId="tolesBold">
    <w:name w:val="toles + Bold"/>
    <w:basedOn w:val="Normal"/>
    <w:qFormat/>
    <w:rsid w:val="00E91546"/>
    <w:pPr>
      <w:jc w:val="center"/>
      <w:outlineLvl w:val="0"/>
    </w:pPr>
    <w:rPr>
      <w:i/>
      <w:iCs/>
      <w:sz w:val="24"/>
      <w:szCs w:val="24"/>
    </w:rPr>
  </w:style>
  <w:style w:type="paragraph" w:customStyle="1" w:styleId="toleLinespacingsingle">
    <w:name w:val="tole + Line spacing:  single"/>
    <w:basedOn w:val="Normal"/>
    <w:qFormat/>
    <w:rsid w:val="00E91546"/>
    <w:pPr>
      <w:jc w:val="both"/>
    </w:pPr>
    <w:rPr>
      <w:sz w:val="24"/>
      <w:szCs w:val="24"/>
    </w:rPr>
  </w:style>
  <w:style w:type="paragraph" w:customStyle="1" w:styleId="bunga">
    <w:name w:val="bunga"/>
    <w:basedOn w:val="Normal"/>
    <w:qFormat/>
    <w:rsid w:val="00E91546"/>
    <w:pPr>
      <w:jc w:val="both"/>
    </w:pPr>
    <w:rPr>
      <w:rFonts w:ascii="Arial" w:hAnsi="Arial" w:cs="Arial"/>
      <w:szCs w:val="24"/>
    </w:rPr>
  </w:style>
  <w:style w:type="paragraph" w:customStyle="1" w:styleId="bunga2">
    <w:name w:val="bunga2"/>
    <w:basedOn w:val="Normal"/>
    <w:qFormat/>
    <w:rsid w:val="00E91546"/>
    <w:pPr>
      <w:jc w:val="both"/>
      <w:outlineLvl w:val="0"/>
    </w:pPr>
    <w:rPr>
      <w:rFonts w:ascii="Arial" w:hAnsi="Arial" w:cs="Arial"/>
      <w:b/>
      <w:bCs/>
      <w:szCs w:val="24"/>
    </w:rPr>
  </w:style>
  <w:style w:type="paragraph" w:customStyle="1" w:styleId="DiQi">
    <w:name w:val="DiQi"/>
    <w:basedOn w:val="Normal"/>
    <w:qFormat/>
    <w:rsid w:val="00DA0390"/>
    <w:pPr>
      <w:spacing w:line="360" w:lineRule="auto"/>
      <w:jc w:val="both"/>
    </w:pPr>
    <w:rPr>
      <w:sz w:val="24"/>
      <w:szCs w:val="24"/>
    </w:rPr>
  </w:style>
  <w:style w:type="paragraph" w:customStyle="1" w:styleId="tole3">
    <w:name w:val="tole3"/>
    <w:basedOn w:val="DiQi"/>
    <w:qFormat/>
    <w:rsid w:val="00DA0390"/>
    <w:pPr>
      <w:spacing w:line="240" w:lineRule="auto"/>
      <w:outlineLvl w:val="0"/>
    </w:pPr>
    <w:rPr>
      <w:rFonts w:ascii="Arial" w:hAnsi="Arial" w:cs="Arial"/>
      <w:b/>
      <w:bCs/>
      <w:sz w:val="20"/>
    </w:rPr>
  </w:style>
  <w:style w:type="paragraph" w:customStyle="1" w:styleId="yange">
    <w:name w:val="yange"/>
    <w:basedOn w:val="DiQi"/>
    <w:qFormat/>
    <w:rsid w:val="00DA0390"/>
    <w:pPr>
      <w:spacing w:line="240" w:lineRule="auto"/>
      <w:ind w:left="360"/>
    </w:pPr>
    <w:rPr>
      <w:rFonts w:ascii="Arial" w:hAnsi="Arial" w:cs="Arial"/>
      <w:sz w:val="20"/>
    </w:rPr>
  </w:style>
  <w:style w:type="paragraph" w:customStyle="1" w:styleId="yange2">
    <w:name w:val="yange2"/>
    <w:basedOn w:val="DiQi"/>
    <w:qFormat/>
    <w:rsid w:val="00DA0390"/>
    <w:pPr>
      <w:numPr>
        <w:numId w:val="1"/>
      </w:numPr>
      <w:spacing w:line="240" w:lineRule="auto"/>
    </w:pPr>
    <w:rPr>
      <w:rFonts w:ascii="Arial" w:hAnsi="Arial" w:cs="Arial"/>
      <w:sz w:val="20"/>
    </w:rPr>
  </w:style>
  <w:style w:type="paragraph" w:customStyle="1" w:styleId="JossTole">
    <w:name w:val="JossTole"/>
    <w:basedOn w:val="DiQi"/>
    <w:qFormat/>
    <w:rsid w:val="00DA0390"/>
    <w:pPr>
      <w:spacing w:line="240" w:lineRule="auto"/>
      <w:ind w:firstLine="709"/>
    </w:pPr>
    <w:rPr>
      <w:rFonts w:ascii="Arial" w:hAnsi="Arial" w:cs="Arial"/>
      <w:sz w:val="20"/>
    </w:rPr>
  </w:style>
  <w:style w:type="paragraph" w:styleId="BodyTextIndent3">
    <w:name w:val="Body Text Indent 3"/>
    <w:basedOn w:val="Normal"/>
    <w:qFormat/>
    <w:rsid w:val="00DB3D8C"/>
    <w:pPr>
      <w:spacing w:after="120"/>
      <w:ind w:left="360"/>
    </w:pPr>
    <w:rPr>
      <w:sz w:val="16"/>
      <w:szCs w:val="16"/>
    </w:rPr>
  </w:style>
  <w:style w:type="paragraph" w:customStyle="1" w:styleId="Body0">
    <w:name w:val="Body 0"/>
    <w:basedOn w:val="Normal"/>
    <w:qFormat/>
    <w:rsid w:val="00DB3D8C"/>
    <w:pPr>
      <w:spacing w:line="360" w:lineRule="atLeast"/>
      <w:jc w:val="both"/>
    </w:pPr>
    <w:rPr>
      <w:rFonts w:ascii="Palatino" w:hAnsi="Palatino"/>
      <w:sz w:val="24"/>
      <w:szCs w:val="24"/>
    </w:rPr>
  </w:style>
  <w:style w:type="paragraph" w:styleId="BodyText2">
    <w:name w:val="Body Text 2"/>
    <w:basedOn w:val="Normal"/>
    <w:qFormat/>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qFormat/>
    <w:rsid w:val="004E154B"/>
    <w:pPr>
      <w:jc w:val="both"/>
    </w:pPr>
    <w:rPr>
      <w:rFonts w:eastAsia="MS Mincho" w:cs="Angsana New"/>
      <w:sz w:val="18"/>
      <w:szCs w:val="18"/>
      <w:lang w:bidi="th-TH"/>
    </w:rPr>
  </w:style>
  <w:style w:type="paragraph" w:customStyle="1" w:styleId="Default">
    <w:name w:val="Default"/>
    <w:qFormat/>
    <w:rsid w:val="004E154B"/>
    <w:pPr>
      <w:widowControl w:val="0"/>
    </w:pPr>
    <w:rPr>
      <w:rFonts w:cs="Angsana New"/>
      <w:color w:val="000000"/>
      <w:sz w:val="24"/>
      <w:szCs w:val="24"/>
    </w:rPr>
  </w:style>
  <w:style w:type="paragraph" w:customStyle="1" w:styleId="SectionTitle">
    <w:name w:val="Section Title"/>
    <w:basedOn w:val="Normal"/>
    <w:autoRedefine/>
    <w:qFormat/>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qFormat/>
    <w:rsid w:val="00353885"/>
    <w:pPr>
      <w:snapToGrid w:val="0"/>
      <w:ind w:firstLine="720"/>
      <w:jc w:val="both"/>
    </w:pPr>
    <w:rPr>
      <w:rFonts w:ascii="Arial" w:eastAsia="MS Mincho" w:hAnsi="Arial" w:cs="Arial"/>
      <w:iCs/>
      <w:lang w:val="en-GB"/>
    </w:rPr>
  </w:style>
  <w:style w:type="paragraph" w:customStyle="1" w:styleId="paperbody">
    <w:name w:val="paper body"/>
    <w:basedOn w:val="Normal"/>
    <w:qFormat/>
    <w:rsid w:val="00097958"/>
    <w:pPr>
      <w:jc w:val="both"/>
    </w:pPr>
    <w:rPr>
      <w:sz w:val="24"/>
      <w:szCs w:val="24"/>
      <w:lang w:val="en-AU"/>
    </w:rPr>
  </w:style>
  <w:style w:type="paragraph" w:styleId="PlainText">
    <w:name w:val="Plain Text"/>
    <w:basedOn w:val="Normal"/>
    <w:semiHidden/>
    <w:qFormat/>
    <w:rsid w:val="00097958"/>
    <w:rPr>
      <w:rFonts w:ascii="Courier New" w:eastAsia="BatangChe" w:hAnsi="Courier New"/>
      <w:sz w:val="24"/>
      <w:szCs w:val="24"/>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qFormat/>
    <w:rsid w:val="00097958"/>
    <w:pPr>
      <w:widowControl w:val="0"/>
      <w:ind w:firstLine="340"/>
      <w:jc w:val="both"/>
      <w:textAlignment w:val="baseline"/>
    </w:pPr>
    <w:rPr>
      <w:rFonts w:eastAsia="BatangChe"/>
      <w:lang w:eastAsia="ko-KR"/>
    </w:rPr>
  </w:style>
  <w:style w:type="paragraph" w:customStyle="1" w:styleId="Reference">
    <w:name w:val="Reference"/>
    <w:basedOn w:val="Normal"/>
    <w:qFormat/>
    <w:rsid w:val="00097958"/>
    <w:pPr>
      <w:widowControl w:val="0"/>
      <w:spacing w:before="60" w:after="60"/>
      <w:ind w:left="288" w:hanging="288"/>
      <w:jc w:val="both"/>
      <w:textAlignment w:val="baseline"/>
    </w:pPr>
    <w:rPr>
      <w:rFonts w:eastAsia="BatangChe"/>
      <w:lang w:eastAsia="ko-KR"/>
    </w:rPr>
  </w:style>
  <w:style w:type="paragraph" w:customStyle="1" w:styleId="Demenko">
    <w:name w:val="Demenko"/>
    <w:basedOn w:val="Normal"/>
    <w:qFormat/>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qFormat/>
    <w:rsid w:val="00097958"/>
    <w:pPr>
      <w:widowControl w:val="0"/>
      <w:spacing w:line="252" w:lineRule="auto"/>
      <w:ind w:firstLine="202"/>
      <w:jc w:val="both"/>
    </w:pPr>
    <w:rPr>
      <w:rFonts w:eastAsia="Batang"/>
      <w:lang w:eastAsia="ko-KR"/>
    </w:rPr>
  </w:style>
  <w:style w:type="paragraph" w:customStyle="1" w:styleId="Equation">
    <w:name w:val="Equation"/>
    <w:basedOn w:val="Normal"/>
    <w:next w:val="Normal"/>
    <w:qFormat/>
    <w:rsid w:val="00097958"/>
    <w:pPr>
      <w:widowControl w:val="0"/>
      <w:tabs>
        <w:tab w:val="right" w:pos="5040"/>
      </w:tabs>
      <w:spacing w:line="252" w:lineRule="auto"/>
      <w:jc w:val="both"/>
    </w:pPr>
    <w:rPr>
      <w:rFonts w:eastAsia="Batang"/>
      <w:lang w:eastAsia="ko-KR"/>
    </w:rPr>
  </w:style>
  <w:style w:type="paragraph" w:customStyle="1" w:styleId="TableTitle">
    <w:name w:val="Table Title"/>
    <w:basedOn w:val="Normal"/>
    <w:qFormat/>
    <w:rsid w:val="00097958"/>
    <w:pPr>
      <w:jc w:val="center"/>
    </w:pPr>
    <w:rPr>
      <w:smallCaps/>
      <w:sz w:val="16"/>
      <w:szCs w:val="16"/>
    </w:rPr>
  </w:style>
  <w:style w:type="paragraph" w:customStyle="1" w:styleId="Sub-titles">
    <w:name w:val="Sub-titles"/>
    <w:basedOn w:val="Normal"/>
    <w:qFormat/>
    <w:rsid w:val="00097958"/>
    <w:pPr>
      <w:jc w:val="both"/>
    </w:pPr>
    <w:rPr>
      <w:b/>
      <w:bCs/>
      <w:color w:val="000000"/>
      <w:sz w:val="24"/>
      <w:szCs w:val="24"/>
      <w:lang w:val="pt-PT" w:eastAsia="pt-PT"/>
    </w:rPr>
  </w:style>
  <w:style w:type="paragraph" w:customStyle="1" w:styleId="text1">
    <w:name w:val="text1"/>
    <w:basedOn w:val="Normal"/>
    <w:qFormat/>
    <w:rsid w:val="00097958"/>
    <w:pPr>
      <w:ind w:firstLine="227"/>
      <w:jc w:val="both"/>
    </w:pPr>
  </w:style>
  <w:style w:type="paragraph" w:customStyle="1" w:styleId="tables">
    <w:name w:val="tables"/>
    <w:basedOn w:val="Normal"/>
    <w:qFormat/>
    <w:rsid w:val="00097958"/>
    <w:pPr>
      <w:jc w:val="both"/>
    </w:pPr>
    <w:rPr>
      <w:sz w:val="18"/>
      <w:szCs w:val="18"/>
    </w:rPr>
  </w:style>
  <w:style w:type="paragraph" w:styleId="NormalWeb">
    <w:name w:val="Normal (Web)"/>
    <w:basedOn w:val="Normal"/>
    <w:qFormat/>
    <w:rsid w:val="00232DA1"/>
    <w:pPr>
      <w:spacing w:beforeAutospacing="1" w:afterAutospacing="1"/>
    </w:pPr>
    <w:rPr>
      <w:sz w:val="24"/>
      <w:szCs w:val="24"/>
    </w:rPr>
  </w:style>
  <w:style w:type="paragraph" w:customStyle="1" w:styleId="Abstract">
    <w:name w:val="Abstract"/>
    <w:qFormat/>
    <w:rsid w:val="007017C6"/>
    <w:pPr>
      <w:spacing w:after="200"/>
      <w:jc w:val="both"/>
    </w:pPr>
    <w:rPr>
      <w:rFonts w:eastAsia="SimSun"/>
      <w:b/>
      <w:sz w:val="18"/>
    </w:rPr>
  </w:style>
  <w:style w:type="paragraph" w:customStyle="1" w:styleId="Affiliation">
    <w:name w:val="Affiliation"/>
    <w:qFormat/>
    <w:rsid w:val="007017C6"/>
    <w:pPr>
      <w:jc w:val="center"/>
    </w:pPr>
    <w:rPr>
      <w:rFonts w:eastAsia="SimSun"/>
    </w:rPr>
  </w:style>
  <w:style w:type="paragraph" w:customStyle="1" w:styleId="equation1">
    <w:name w:val="equation1"/>
    <w:basedOn w:val="Normal"/>
    <w:qFormat/>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qFormat/>
    <w:rsid w:val="007017C6"/>
    <w:pPr>
      <w:spacing w:before="80" w:after="200"/>
      <w:jc w:val="center"/>
    </w:pPr>
    <w:rPr>
      <w:rFonts w:eastAsia="SimSun"/>
      <w:sz w:val="16"/>
    </w:rPr>
  </w:style>
  <w:style w:type="paragraph" w:customStyle="1" w:styleId="papertitle">
    <w:name w:val="paper title"/>
    <w:qFormat/>
    <w:rsid w:val="007017C6"/>
    <w:pPr>
      <w:spacing w:after="120"/>
      <w:jc w:val="center"/>
    </w:pPr>
    <w:rPr>
      <w:rFonts w:eastAsia="SimSun"/>
      <w:sz w:val="48"/>
    </w:rPr>
  </w:style>
  <w:style w:type="paragraph" w:customStyle="1" w:styleId="references">
    <w:name w:val="references"/>
    <w:qFormat/>
    <w:rsid w:val="007017C6"/>
    <w:pPr>
      <w:numPr>
        <w:numId w:val="2"/>
      </w:numPr>
      <w:spacing w:after="40" w:line="180" w:lineRule="exact"/>
      <w:jc w:val="both"/>
    </w:pPr>
    <w:rPr>
      <w:rFonts w:eastAsia="SimSun"/>
      <w:sz w:val="16"/>
    </w:rPr>
  </w:style>
  <w:style w:type="paragraph" w:customStyle="1" w:styleId="tablecolsubhead">
    <w:name w:val="table col subhead"/>
    <w:basedOn w:val="Normal"/>
    <w:qFormat/>
    <w:rsid w:val="007017C6"/>
    <w:pPr>
      <w:jc w:val="center"/>
    </w:pPr>
    <w:rPr>
      <w:rFonts w:eastAsia="SimSun"/>
      <w:b/>
      <w:i/>
      <w:sz w:val="15"/>
    </w:rPr>
  </w:style>
  <w:style w:type="paragraph" w:customStyle="1" w:styleId="tablecopy">
    <w:name w:val="table copy"/>
    <w:qFormat/>
    <w:rsid w:val="007017C6"/>
    <w:pPr>
      <w:jc w:val="both"/>
    </w:pPr>
    <w:rPr>
      <w:rFonts w:eastAsia="SimSun"/>
      <w:sz w:val="16"/>
    </w:rPr>
  </w:style>
  <w:style w:type="paragraph" w:customStyle="1" w:styleId="tablehead">
    <w:name w:val="table head"/>
    <w:qFormat/>
    <w:rsid w:val="007017C6"/>
    <w:pPr>
      <w:numPr>
        <w:numId w:val="3"/>
      </w:numPr>
      <w:spacing w:before="240" w:after="120" w:line="216" w:lineRule="auto"/>
      <w:jc w:val="center"/>
    </w:pPr>
    <w:rPr>
      <w:rFonts w:eastAsia="SimSun"/>
      <w:smallCaps/>
      <w:sz w:val="16"/>
    </w:rPr>
  </w:style>
  <w:style w:type="paragraph" w:styleId="HTMLPreformatted">
    <w:name w:val="HTML Preformatted"/>
    <w:basedOn w:val="Normal"/>
    <w:qFormat/>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user">
    <w:name w:val="Frame Contents (user)"/>
    <w:basedOn w:val="Normal"/>
    <w:qFormat/>
  </w:style>
  <w:style w:type="paragraph" w:customStyle="1" w:styleId="BlockQuotation">
    <w:name w:val="Block Quotation"/>
    <w:basedOn w:val="Normal"/>
    <w:qFormat/>
    <w:pPr>
      <w:spacing w:after="283"/>
      <w:ind w:left="567" w:right="567"/>
    </w:pPr>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ijlter.org/index.php/ijlter/article/view/10006" TargetMode="External"/><Relationship Id="rId26" Type="http://schemas.openxmlformats.org/officeDocument/2006/relationships/image" Target="media/image9.png"/><Relationship Id="rId39" Type="http://schemas.openxmlformats.org/officeDocument/2006/relationships/hyperlink" Target="https://orcid.org/0000-0002-6364-4909" TargetMode="External"/><Relationship Id="rId21" Type="http://schemas.openxmlformats.org/officeDocument/2006/relationships/hyperlink" Target="https://orcid.org/0000-0001-9715-8530" TargetMode="External"/><Relationship Id="rId34" Type="http://schemas.openxmlformats.org/officeDocument/2006/relationships/image" Target="media/image13.jpe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wnload.garuda.kemdikbud.go.id/article.php?article=3454585&amp;val=30103&amp;title=Analisis%20Kemampuan%20Berbicara%20dalam%20Presentasi%20Ilmiah%20Mahasiswa%20Program%20Studi%20Pendidikan%20Teknologi%20Informasi%20STKIP%20Taman%20Siswa%20Bima" TargetMode="External"/><Relationship Id="rId29" Type="http://schemas.openxmlformats.org/officeDocument/2006/relationships/image" Target="media/image11.png"/><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hyperlink" Target="https://scholar.google.co.id/citations?hl=id&amp;user=D0832sgAAAAJ" TargetMode="External"/><Relationship Id="rId37" Type="http://schemas.openxmlformats.org/officeDocument/2006/relationships/hyperlink" Target="https://www.scopus.com/authid/detail.uri?authorId=57216880900" TargetMode="External"/><Relationship Id="rId40" Type="http://schemas.openxmlformats.org/officeDocument/2006/relationships/hyperlink" Target="https://scholar.google.co.id/citations?hl=id&amp;user=JPKWPkoAAAAJ"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peraturan.bpk.go.id/Details/163703/permendikbud-no-3-tahun-2020" TargetMode="External"/><Relationship Id="rId23" Type="http://schemas.openxmlformats.org/officeDocument/2006/relationships/hyperlink" Target="https://scholar.google.co.id/citations?hl=id&amp;user=SS9h4F8AAAAJ" TargetMode="External"/><Relationship Id="rId28" Type="http://schemas.openxmlformats.org/officeDocument/2006/relationships/hyperlink" Target="https://publons.com/researcher/" TargetMode="External"/><Relationship Id="rId36" Type="http://schemas.openxmlformats.org/officeDocument/2006/relationships/hyperlink" Target="https://scholar.google.co.id/citations?hl=id&amp;user=VAnopuAAAAAJ"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eric.ed.gov/?id=EJ1350050" TargetMode="External"/><Relationship Id="rId31" Type="http://schemas.openxmlformats.org/officeDocument/2006/relationships/hyperlink" Target="https://orcid.org/0000-0002-9469-8459"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29333/iji.2023.16329a" TargetMode="External"/><Relationship Id="rId22" Type="http://schemas.openxmlformats.org/officeDocument/2006/relationships/image" Target="media/image7.png"/><Relationship Id="rId27" Type="http://schemas.openxmlformats.org/officeDocument/2006/relationships/image" Target="media/image10.svg"/><Relationship Id="rId30" Type="http://schemas.openxmlformats.org/officeDocument/2006/relationships/image" Target="media/image12.jpeg"/><Relationship Id="rId35" Type="http://schemas.openxmlformats.org/officeDocument/2006/relationships/hyperlink" Target="https://orcid.org/0000-0002-8066-811X" TargetMode="External"/><Relationship Id="rId43" Type="http://schemas.openxmlformats.org/officeDocument/2006/relationships/footer" Target="footer1.xml"/><Relationship Id="rId48" Type="http://schemas.microsoft.com/office/2011/relationships/people" Target="people.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journal.unnes.ac.id/sju/index.php/eej/article/view/13060" TargetMode="External"/><Relationship Id="rId25" Type="http://schemas.openxmlformats.org/officeDocument/2006/relationships/hyperlink" Target="https://www.scopus.com/authid/detail.uri?authorId=57200722208" TargetMode="External"/><Relationship Id="rId33" Type="http://schemas.openxmlformats.org/officeDocument/2006/relationships/hyperlink" Target="https://www.scopus.com/authid/detail.uri?authorId=57194426348" TargetMode="External"/><Relationship Id="rId38" Type="http://schemas.openxmlformats.org/officeDocument/2006/relationships/image" Target="media/image14.jpeg"/><Relationship Id="rId46" Type="http://schemas.openxmlformats.org/officeDocument/2006/relationships/footer" Target="footer3.xml"/><Relationship Id="rId20" Type="http://schemas.openxmlformats.org/officeDocument/2006/relationships/image" Target="media/image6.jpe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D0BB4-4B56-4D96-94D9-367091400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11</Pages>
  <Words>5942</Words>
  <Characters>33876</Characters>
  <Application>Microsoft Office Word</Application>
  <DocSecurity>0</DocSecurity>
  <Lines>282</Lines>
  <Paragraphs>79</Paragraphs>
  <ScaleCrop>false</ScaleCrop>
  <Company>IAES | Institute of Advanced Engineering and Science</Company>
  <LinksUpToDate>false</LinksUpToDate>
  <CharactersWithSpaces>39739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of Education and Learning (EduLearn)</dc:title>
  <dc:subject/>
  <dc:creator>EDULEARN</dc:creator>
  <cp:keywords>child development curriculum e-content management &amp; development educational psychology educational research &amp; methodologies educational software &amp; serious games e-learning emotional gender &amp; education general issues in education &amp; learning inquiry-based learning instructional technology language teaching researches learning management pedagogic &amp; educational approaches philosophies of education problem-based learning project-based learning reading comprehension simulation-based learning social &amp; cognitive learning processes STEM education teaching &amp; learning technology education the education of special groups theories of education </cp:keywords>
  <dc:description>EDULEARN Template and Guide of Authors</dc:description>
  <cp:lastModifiedBy>Restu Bias Primandhika</cp:lastModifiedBy>
  <cp:revision>124</cp:revision>
  <cp:lastPrinted>2026-05-28T20:57:00Z</cp:lastPrinted>
  <dcterms:created xsi:type="dcterms:W3CDTF">2021-09-20T05:23:00Z</dcterms:created>
  <dcterms:modified xsi:type="dcterms:W3CDTF">2026-06-10T03:23:00Z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01912683e149ade6ba0f83afc8855d349c6d875f14ae44720a2b8e670fabfda6</vt:lpwstr>
  </property>
</Properties>
</file>