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icx9g1q12qm" w:id="0"/>
      <w:bookmarkEnd w:id="0"/>
      <w:r w:rsidDel="00000000" w:rsidR="00000000" w:rsidRPr="00000000">
        <w:rPr>
          <w:rtl w:val="0"/>
        </w:rPr>
        <w:t xml:space="preserve">Livera — Replit Agent 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helping build the </w:t>
      </w:r>
      <w:r w:rsidDel="00000000" w:rsidR="00000000" w:rsidRPr="00000000">
        <w:rPr>
          <w:b w:val="1"/>
          <w:bCs w:val="1"/>
          <w:rtl w:val="0"/>
        </w:rPr>
        <w:t xml:space="preserve">Livera admin platform</w:t>
      </w:r>
      <w:r w:rsidDel="00000000" w:rsidR="00000000" w:rsidRPr="00000000">
        <w:rPr>
          <w:rtl w:val="0"/>
        </w:rPr>
        <w:t xml:space="preserve"> — a white-label clinical SaaS frontend for UK private healthcare clinics. Frontend only. The backend is being built separately by the Certus Tech Team; this Replit project consumes a mocked API for now and will swap to the real REST API later.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bwylmnuaf71" w:id="1"/>
      <w:bookmarkEnd w:id="1"/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14</w:t>
      </w:r>
      <w:r w:rsidDel="00000000" w:rsidR="00000000" w:rsidRPr="00000000">
        <w:rPr>
          <w:rtl w:val="0"/>
        </w:rPr>
        <w:t xml:space="preserve"> (App Router) +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(strict mode)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shadcn/ui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Lucide</w:t>
      </w:r>
      <w:r w:rsidDel="00000000" w:rsidR="00000000" w:rsidRPr="00000000">
        <w:rPr>
          <w:rtl w:val="0"/>
        </w:rPr>
        <w:t xml:space="preserve"> icons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Mock API layer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lib/api/mock.ts</w:t>
      </w:r>
      <w:r w:rsidDel="00000000" w:rsidR="00000000" w:rsidRPr="00000000">
        <w:rPr>
          <w:rtl w:val="0"/>
        </w:rPr>
        <w:t xml:space="preserve"> — every API call goes through here, never directly to fetch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authentication wired yet — assume a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currentClinic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lib/context.ts</w:t>
      </w:r>
      <w:r w:rsidDel="00000000" w:rsidR="00000000" w:rsidRPr="00000000">
        <w:rPr>
          <w:rtl w:val="0"/>
        </w:rPr>
        <w:t xml:space="preserve"> until auth is added in Wave 1 follow-up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tcbnr709rl4" w:id="2"/>
      <w:bookmarkEnd w:id="2"/>
      <w:r w:rsidDel="00000000" w:rsidR="00000000" w:rsidRPr="00000000">
        <w:rPr>
          <w:rtl w:val="0"/>
        </w:rPr>
        <w:t xml:space="preserve">What Livera is in one paragraph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Livera is the operating system underneath multiple regulated clinic brands. Two clinics use it today: </w:t>
      </w:r>
      <w:r w:rsidDel="00000000" w:rsidR="00000000" w:rsidRPr="00000000">
        <w:rPr>
          <w:b w:val="1"/>
          <w:bCs w:val="1"/>
          <w:rtl w:val="0"/>
        </w:rPr>
        <w:t xml:space="preserve">VSC</w:t>
      </w:r>
      <w:r w:rsidDel="00000000" w:rsidR="00000000" w:rsidRPr="00000000">
        <w:rPr>
          <w:rtl w:val="0"/>
        </w:rPr>
        <w:t xml:space="preserve"> (Virtual Slimming Clinic, mixed-gender, GLP-1 weight management) and </w:t>
      </w:r>
      <w:r w:rsidDel="00000000" w:rsidR="00000000" w:rsidRPr="00000000">
        <w:rPr>
          <w:b w:val="1"/>
          <w:bCs w:val="1"/>
          <w:rtl w:val="0"/>
        </w:rPr>
        <w:t xml:space="preserve">FeelTru</w:t>
      </w:r>
      <w:r w:rsidDel="00000000" w:rsidR="00000000" w:rsidRPr="00000000">
        <w:rPr>
          <w:rtl w:val="0"/>
        </w:rPr>
        <w:t xml:space="preserve"> (women-only, CQC-registered, perimenopause focus). Both run on identical platform infrastructure with one config flag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coaching_enabled</w:t>
      </w:r>
      <w:r w:rsidDel="00000000" w:rsidR="00000000" w:rsidRPr="00000000">
        <w:rPr>
          <w:rtl w:val="0"/>
        </w:rPr>
        <w:t xml:space="preserve">). The platform handles patients, orders, clinical check, prescribing, prescription fulfilment via Primed Pharmacy, consultations, incidents, complaints, GP letters, and audits. Workspace isolation between clinics is absolute — it's a UK GDPR control, not a UX feature.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5iaorpimuve" w:id="3"/>
      <w:bookmarkEnd w:id="3"/>
      <w:r w:rsidDel="00000000" w:rsidR="00000000" w:rsidRPr="00000000">
        <w:rPr>
          <w:rtl w:val="0"/>
        </w:rPr>
        <w:t xml:space="preserve">Where to find context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1 Context Brief</w:t>
      </w:r>
      <w:r w:rsidDel="00000000" w:rsidR="00000000" w:rsidRPr="00000000">
        <w:rPr>
          <w:rtl w:val="0"/>
        </w:rPr>
        <w:t xml:space="preserve">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https://primedpharmacy-company.monday.com/docs/18412495421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2 Build Brief</w:t>
      </w:r>
      <w:r w:rsidDel="00000000" w:rsidR="00000000" w:rsidRPr="00000000">
        <w:rPr>
          <w:rtl w:val="0"/>
        </w:rPr>
        <w:t xml:space="preserve">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https://primedpharmacy-company.monday.com/docs/18412496011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 Decisions (DEC-01 to DEC-40)</w:t>
      </w:r>
      <w:r w:rsidDel="00000000" w:rsidR="00000000" w:rsidRPr="00000000">
        <w:rPr>
          <w:rtl w:val="0"/>
        </w:rPr>
        <w:t xml:space="preserve"> —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https://primedpharmacy-company.monday.com/docs/{object_id_for_41022910}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HTML files</w:t>
      </w:r>
      <w:r w:rsidDel="00000000" w:rsidR="00000000" w:rsidRPr="00000000">
        <w:rPr>
          <w:rtl w:val="0"/>
        </w:rPr>
        <w:t xml:space="preserve"> —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/prototypes/</w:t>
      </w:r>
      <w:r w:rsidDel="00000000" w:rsidR="00000000" w:rsidRPr="00000000">
        <w:rPr>
          <w:rtl w:val="0"/>
        </w:rPr>
        <w:t xml:space="preserve"> folder of this Repl. These are the design source of truth. Every screen you build must match its prototype counterpart.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you need to understand a screen, </w:t>
      </w:r>
      <w:r w:rsidDel="00000000" w:rsidR="00000000" w:rsidRPr="00000000">
        <w:rPr>
          <w:b w:val="1"/>
          <w:bCs w:val="1"/>
          <w:rtl w:val="0"/>
        </w:rPr>
        <w:t xml:space="preserve">read the prototype HTML first</w:t>
      </w:r>
      <w:r w:rsidDel="00000000" w:rsidR="00000000" w:rsidRPr="00000000">
        <w:rPr>
          <w:rtl w:val="0"/>
        </w:rPr>
        <w:t xml:space="preserve">. It contains the canonical structure, design tokens, colour use, sidebar IA, and behaviour.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vhsi23r9srw" w:id="4"/>
      <w:bookmarkEnd w:id="4"/>
      <w:r w:rsidDel="00000000" w:rsidR="00000000" w:rsidRPr="00000000">
        <w:rPr>
          <w:rtl w:val="0"/>
        </w:rPr>
        <w:t xml:space="preserve">Five architectural rules — non-negotiable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isolation is absolute.</w:t>
      </w:r>
      <w:r w:rsidDel="00000000" w:rsidR="00000000" w:rsidRPr="00000000">
        <w:rPr>
          <w:rtl w:val="0"/>
        </w:rPr>
        <w:t xml:space="preserve"> Every API call, every list, every detail page is scoped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clinic_id</w:t>
      </w:r>
      <w:r w:rsidDel="00000000" w:rsidR="00000000" w:rsidRPr="00000000">
        <w:rPr>
          <w:rtl w:val="0"/>
        </w:rPr>
        <w:t xml:space="preserve">. The mock API enforces this — never bypass it. In production, this becomes Postgres row-level security.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Provider-agnostic transport.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Couriers via Primed, complaints via Monday, scheduling via Calendly, video via Google Meet, alerts via gov.uk → Intercom. The frontend calls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field on the relevant entity; the backend handles the transport. Don't hardcode provider names.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clinical logic is backend-configurable per clinic.</w:t>
      </w:r>
      <w:r w:rsidDel="00000000" w:rsidR="00000000" w:rsidRPr="00000000">
        <w:rPr>
          <w:rtl w:val="0"/>
        </w:rPr>
        <w:t xml:space="preserve"> Questionnaires, dose escalation thresholds, treatment-gap rules, SLA values, consent text, day-N nudges. Frontend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clinic.config.*</w:t>
      </w:r>
      <w:r w:rsidDel="00000000" w:rsidR="00000000" w:rsidRPr="00000000">
        <w:rPr>
          <w:rtl w:val="0"/>
        </w:rPr>
        <w:t xml:space="preserve"> and renders accordingly. Never hardcode a threshold.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3-layer safety chain (DEC-36).</w:t>
      </w:r>
      <w:r w:rsidDel="00000000" w:rsidR="00000000" w:rsidRPr="00000000">
        <w:rPr>
          <w:rtl w:val="0"/>
        </w:rPr>
        <w:t xml:space="preserve"> Safety-critical actions (clinical decisions, prescription cancellation, GP letter sending, dose escalation) have three independent enforcement layers: surface (UI prevents), data (backend rejects), audit (every attempt logged). When you build a safety-critical surface, walk through all three layers.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vs admin brand separation.</w:t>
      </w:r>
      <w:r w:rsidDel="00000000" w:rsidR="00000000" w:rsidRPr="00000000">
        <w:rPr>
          <w:rtl w:val="0"/>
        </w:rPr>
        <w:t xml:space="preserve"> The admin platform uses </w:t>
      </w:r>
      <w:r w:rsidDel="00000000" w:rsidR="00000000" w:rsidRPr="00000000">
        <w:rPr>
          <w:b w:val="1"/>
          <w:bCs w:val="1"/>
          <w:rtl w:val="0"/>
        </w:rPr>
        <w:t xml:space="preserve">indigo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#6366f1</w:t>
      </w:r>
      <w:r w:rsidDel="00000000" w:rsidR="00000000" w:rsidRPr="00000000">
        <w:rPr>
          <w:rtl w:val="0"/>
        </w:rPr>
        <w:t xml:space="preserve"> + system font. The patient mobile app uses </w:t>
      </w:r>
      <w:r w:rsidDel="00000000" w:rsidR="00000000" w:rsidRPr="00000000">
        <w:rPr>
          <w:b w:val="1"/>
          <w:bCs w:val="1"/>
          <w:rtl w:val="0"/>
        </w:rPr>
        <w:t xml:space="preserve">lilac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#9697E8</w:t>
      </w:r>
      <w:r w:rsidDel="00000000" w:rsidR="00000000" w:rsidRPr="00000000">
        <w:rPr>
          <w:rtl w:val="0"/>
        </w:rPr>
        <w:t xml:space="preserve"> + Poppins. Never mix. If you see lilac in a Replit-built admin screen, that's a bug.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i1tyrbpvhnc" w:id="5"/>
      <w:bookmarkEnd w:id="5"/>
      <w:r w:rsidDel="00000000" w:rsidR="00000000" w:rsidRPr="00000000">
        <w:rPr>
          <w:rtl w:val="0"/>
        </w:rPr>
        <w:t xml:space="preserve">Design tokens (admin platform)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--brand: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#6366f1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(indigo-500)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--brand-d: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#4338ca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(indigo-700)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--brand-l: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#eef2ff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(indigo-50)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--nav: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#1e1b4b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(indigo-950)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--surface: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#f1f0ef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(warm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off-white)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#0f172a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(slate-900)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#475569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(slate-600)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#94a3b8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(slate-400)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--bdr: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#e2e8f0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(slate-200)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--ok #10b981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--warn #f59e0b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--err #ef4444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--info #3b82f6</w:t>
      </w:r>
      <w:r w:rsidDel="00000000" w:rsidR="00000000" w:rsidRPr="00000000">
        <w:rPr>
          <w:rtl w:val="0"/>
        </w:rPr>
        <w:t xml:space="preserve"> Consultations (DEC-40):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--coach #a855f7</w:t>
      </w:r>
      <w:r w:rsidDel="00000000" w:rsidR="00000000" w:rsidRPr="00000000">
        <w:rPr>
          <w:rtl w:val="0"/>
        </w:rPr>
        <w:t xml:space="preserve"> (purple)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--welcome #0ea5e9</w:t>
      </w:r>
      <w:r w:rsidDel="00000000" w:rsidR="00000000" w:rsidRPr="00000000">
        <w:rPr>
          <w:rtl w:val="0"/>
        </w:rPr>
        <w:t xml:space="preserve"> (blue)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--clinical #dc2626</w:t>
      </w:r>
      <w:r w:rsidDel="00000000" w:rsidR="00000000" w:rsidRPr="00000000">
        <w:rPr>
          <w:rtl w:val="0"/>
        </w:rPr>
        <w:t xml:space="preserve"> (red)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Translate to Tailwind theme extensions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. Don't redefine.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4agtmvyu1kj" w:id="6"/>
      <w:bookmarkEnd w:id="6"/>
      <w:r w:rsidDel="00000000" w:rsidR="00000000" w:rsidRPr="00000000">
        <w:rPr>
          <w:rtl w:val="0"/>
        </w:rPr>
        <w:t xml:space="preserve">Sidebar IA (every page extends this shell)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Operate</w:t>
      </w:r>
      <w:r w:rsidDel="00000000" w:rsidR="00000000" w:rsidRPr="00000000">
        <w:rPr>
          <w:rtl w:val="0"/>
        </w:rPr>
        <w:t xml:space="preserve"> — Dashboard, Patients, Orders, Clinical Check, Amendments, Schedule, Tasks, Welcome Calls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 quality</w:t>
      </w:r>
      <w:r w:rsidDel="00000000" w:rsidR="00000000" w:rsidRPr="00000000">
        <w:rPr>
          <w:rtl w:val="0"/>
        </w:rPr>
        <w:t xml:space="preserve"> — Complaints, Incidents, GP Letters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— KPI Dashboard, Clinical Flags G6, Reports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</w:t>
      </w:r>
      <w:r w:rsidDel="00000000" w:rsidR="00000000" w:rsidRPr="00000000">
        <w:rPr>
          <w:rtl w:val="0"/>
        </w:rPr>
        <w:t xml:space="preserve"> — Settings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Topnav: 36px tall, indigo-950 background, Livera lockup left, workspace switcher centre-left, role pill right.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1cy47g7bfaay" w:id="7"/>
      <w:bookmarkEnd w:id="7"/>
      <w:r w:rsidDel="00000000" w:rsidR="00000000" w:rsidRPr="00000000">
        <w:rPr>
          <w:rtl w:val="0"/>
        </w:rPr>
        <w:t xml:space="preserve">Persona spine — preserve as demo data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Sarah Cookland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PT-00198 · ORD-00441 · B4 flag · Mounjaro 5→7.5mg dose escalation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Threaded through every screen so the build is testable end-to-end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Mock 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lib/api/mock.ts</w:t>
      </w:r>
      <w:r w:rsidDel="00000000" w:rsidR="00000000" w:rsidRPr="00000000">
        <w:rPr>
          <w:rtl w:val="0"/>
        </w:rPr>
        <w:t xml:space="preserve"> should hardcode Sarah on both VSC and FeelTru workspaces (different patient_id per workspace)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mo5bgkgz3xg" w:id="8"/>
      <w:bookmarkEnd w:id="8"/>
      <w:r w:rsidDel="00000000" w:rsidR="00000000" w:rsidRPr="00000000">
        <w:rPr>
          <w:rtl w:val="0"/>
        </w:rPr>
        <w:t xml:space="preserve">Five roles, each with strict permission rules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— full access to everything in the active workspace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 (Registered Manager)</w:t>
      </w:r>
      <w:r w:rsidDel="00000000" w:rsidR="00000000" w:rsidRPr="00000000">
        <w:rPr>
          <w:rtl w:val="0"/>
        </w:rPr>
        <w:t xml:space="preserve"> — full access plus governance surfaces (incidents, complaints, audits)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Prescriber</w:t>
      </w:r>
      <w:r w:rsidDel="00000000" w:rsidR="00000000" w:rsidRPr="00000000">
        <w:rPr>
          <w:rtl w:val="0"/>
        </w:rPr>
        <w:t xml:space="preserve"> — clinical surfaces only; no marketing/financial settings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</w:t>
      </w:r>
      <w:r w:rsidDel="00000000" w:rsidR="00000000" w:rsidRPr="00000000">
        <w:rPr>
          <w:rtl w:val="0"/>
        </w:rPr>
        <w:t xml:space="preserve"> — own bookings, own patient roster, coaching log only (FeelTru-only role)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— welcome call queue, basic patient demographic; no clinical decisions, no prescribing data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central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lib/permissions.ts</w:t>
      </w:r>
      <w:r w:rsidDel="00000000" w:rsidR="00000000" w:rsidRPr="00000000">
        <w:rPr>
          <w:rtl w:val="0"/>
        </w:rPr>
        <w:t xml:space="preserve"> module handles all role checks. Never scatter role logic across components.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REPLIT_FRONTEND_GUIDE.md</w:t>
      </w:r>
      <w:r w:rsidDel="00000000" w:rsidR="00000000" w:rsidRPr="00000000">
        <w:rPr>
          <w:rtl w:val="0"/>
        </w:rPr>
        <w:t xml:space="preserve"> for the pattern.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r4vi7gaaj8q" w:id="9"/>
      <w:bookmarkEnd w:id="9"/>
      <w:r w:rsidDel="00000000" w:rsidR="00000000" w:rsidRPr="00000000">
        <w:rPr>
          <w:rtl w:val="0"/>
        </w:rPr>
        <w:t xml:space="preserve">What NOT to do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invent API endpoints. If you need data and the mock doesn't have it, </w:t>
      </w:r>
      <w:r w:rsidDel="00000000" w:rsidR="00000000" w:rsidRPr="00000000">
        <w:rPr>
          <w:b w:val="1"/>
          <w:bCs w:val="1"/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lib/api/mock.ts</w:t>
      </w:r>
      <w:r w:rsidDel="00000000" w:rsidR="00000000" w:rsidRPr="00000000">
        <w:rPr>
          <w:b w:val="1"/>
          <w:bCs w:val="1"/>
          <w:rtl w:val="0"/>
        </w:rPr>
        <w:t xml:space="preserve"> first</w:t>
      </w:r>
      <w:r w:rsidDel="00000000" w:rsidR="00000000" w:rsidRPr="00000000">
        <w:rPr>
          <w:rtl w:val="0"/>
        </w:rPr>
        <w:t xml:space="preserve">, then call from the component. The mock IS the API contract — Yohan's backend will be built to match it.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drift from the canonical shell. If a prototype HTML has a sidebar with 4 sections, the Next.js port has a sidebar with 4 sections. Same labels, same order, same badges.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introduce new dependencies without checking. Stack is fixed: Next.js, TypeScript, Tailwind, shadcn/ui, Lucide. Swap requests need explicit approval.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bypass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lib/permissions.ts</w:t>
      </w:r>
      <w:r w:rsidDel="00000000" w:rsidR="00000000" w:rsidRPr="00000000">
        <w:rPr>
          <w:rtl w:val="0"/>
        </w:rPr>
        <w:t xml:space="preserve"> for "just this one component."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use lilac/orange colours in admin surfaces.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hardcode patient names other than Sarah Cookland.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write code that would let one workspace see another workspace's data — even in mocks.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w8ov85e1liq" w:id="10"/>
      <w:bookmarkEnd w:id="10"/>
      <w:r w:rsidDel="00000000" w:rsidR="00000000" w:rsidRPr="00000000">
        <w:rPr>
          <w:rtl w:val="0"/>
        </w:rPr>
        <w:t xml:space="preserve">When prompted to build a screen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Default workflow: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corresponding prototype HTML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/prototypes/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what data the screen needs from the API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if the mock API has it; add it if not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the Next.js component, preserving the prototype's structure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shadcn/ui primitives where they fit; bespoke components otherwise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Wire to mock API; show loading state; show empty state; show error state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role-based visibility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lib/permissions.ts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workspace switching — switching workspace should reload all data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unsure about a design choice, </w:t>
      </w:r>
      <w:r w:rsidDel="00000000" w:rsidR="00000000" w:rsidRPr="00000000">
        <w:rPr>
          <w:b w:val="1"/>
          <w:bCs w:val="1"/>
          <w:rtl w:val="0"/>
        </w:rPr>
        <w:t xml:space="preserve">err toward what the prototype shows</w:t>
      </w:r>
      <w:r w:rsidDel="00000000" w:rsidR="00000000" w:rsidRPr="00000000">
        <w:rPr>
          <w:rtl w:val="0"/>
        </w:rPr>
        <w:t xml:space="preserve">. The prototypes were built to canonical shell standard; preserve them.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8i3jxkm0sdq6" w:id="11"/>
      <w:bookmarkEnd w:id="11"/>
      <w:r w:rsidDel="00000000" w:rsidR="00000000" w:rsidRPr="00000000">
        <w:rPr>
          <w:rtl w:val="0"/>
        </w:rPr>
        <w:t xml:space="preserve">Read this guide too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REPLIT_FRONTEND_GUIDE.md</w:t>
      </w:r>
      <w:r w:rsidDel="00000000" w:rsidR="00000000" w:rsidRPr="00000000">
        <w:rPr>
          <w:rtl w:val="0"/>
        </w:rPr>
        <w:t xml:space="preserve"> in the project root has step-by-step build patterns, prompt templates, and common pitfalls. Reference it when building.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imedpharmacy-company.monday.com/docs/18412495421" TargetMode="External"/><Relationship Id="rId7" Type="http://schemas.openxmlformats.org/officeDocument/2006/relationships/hyperlink" Target="https://primedpharmacy-company.monday.com/docs/18412496011" TargetMode="External"/><Relationship Id="rId8" Type="http://schemas.openxmlformats.org/officeDocument/2006/relationships/hyperlink" Target="https://primedpharmacy-company.monday.com/docs/%7Bobject_id_for_41022910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