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National Bank — IT Security Policy</w:t>
      </w:r>
    </w:p>
    <w:p>
      <w:pPr>
        <w:pStyle w:val="Heading1"/>
      </w:pPr>
      <w:r>
        <w:t>1. Access Control Policy</w:t>
      </w:r>
    </w:p>
    <w:p>
      <w:r>
        <w:t>All user accounts must be reviewed quarterly by IT management. Privileged access requires dual approval and is reviewed monthly. Terminated employees must have access revoked within 24 hours. MFA is required for all remote access and privileged accounts.</w:t>
      </w:r>
    </w:p>
    <w:p>
      <w:pPr>
        <w:pStyle w:val="Heading1"/>
      </w:pPr>
      <w:r>
        <w:t>2. Change Management Policy</w:t>
      </w:r>
    </w:p>
    <w:p>
      <w:r>
        <w:t>All system changes must be submitted via the change request system at least 5 business days in advance. Emergency changes require CISO approval and must be documented within 24 hours. Changes are tested in staging before production. A rollback plan is required for all Tier 1 changes.</w:t>
      </w:r>
    </w:p>
    <w:p>
      <w:pPr>
        <w:pStyle w:val="Heading1"/>
      </w:pPr>
      <w:r>
        <w:t>3. Patch Management</w:t>
      </w:r>
    </w:p>
    <w:p>
      <w:r>
        <w:t>Critical patches must be applied within 30 days of release. High-severity patches within 60 days. Systems are scanned monthly. Exceptions require documented risk acceptance signed by the CISO.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