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Calibri" w:hAnsi="Calibri"/>
          <w:b/>
          <w:color w:val="D61F6B"/>
          <w:sz w:val="64"/>
        </w:rPr>
        <w:t>Prime Nanny</w:t>
      </w:r>
    </w:p>
    <w:p>
      <w:pPr>
        <w:spacing w:after="240"/>
        <w:jc w:val="center"/>
      </w:pPr>
      <w:r>
        <w:rPr>
          <w:rFonts w:ascii="Calibri" w:hAnsi="Calibri"/>
          <w:color w:val="999999"/>
          <w:sz w:val="26"/>
        </w:rPr>
        <w:t>Business Plan · 2026</w:t>
      </w:r>
    </w:p>
    <w:p>
      <w:pPr>
        <w:spacing w:after="720"/>
        <w:jc w:val="center"/>
      </w:pPr>
      <w:r>
        <w:rPr>
          <w:rFonts w:ascii="Calibri" w:hAnsi="Calibri"/>
          <w:i/>
          <w:color w:val="555555"/>
          <w:sz w:val="24"/>
        </w:rPr>
        <w:t>Recruiting, verifying, and placing trusted nannies, domestic helpers,</w:t>
        <w:br/>
        <w:t>and home care workers across Gauteng.</w:t>
      </w:r>
    </w:p>
    <w:tbl>
      <w:tblPr>
        <w:tblW w:type="auto" w:w="0"/>
        <w:tblLook w:firstColumn="1" w:firstRow="1" w:lastColumn="0" w:lastRow="0" w:noHBand="0" w:noVBand="1" w:val="04A0"/>
        <w:jc w:val="center"/>
        <w:tblBorders>
          <w:top w:val="none"/>
          <w:bottom w:val="none"/>
          <w:left w:val="none"/>
          <w:right w:val="none"/>
          <w:insideH w:val="none"/>
          <w:insideV w:val="none"/>
        </w:tblBorders>
      </w:tblPr>
      <w:tblGrid>
        <w:gridCol w:w="2266"/>
        <w:gridCol w:w="2266"/>
        <w:gridCol w:w="2266"/>
        <w:gridCol w:w="2266"/>
      </w:tblGrid>
      <w:tr>
        <w:tc>
          <w:tcPr>
            <w:tcW w:type="dxa" w:w="2266"/>
            <w:shd w:val="clear" w:color="auto" w:fill="FDE8F2"/>
          </w:tcPr>
          <w:p>
            <w:pPr>
              <w:jc w:val="center"/>
            </w:pPr>
            <w:r>
              <w:rPr>
                <w:rFonts w:ascii="Calibri" w:hAnsi="Calibri"/>
                <w:b/>
                <w:color w:val="D61F6B"/>
                <w:sz w:val="18"/>
              </w:rPr>
              <w:t>Location</w:t>
            </w:r>
          </w:p>
        </w:tc>
        <w:tc>
          <w:tcPr>
            <w:tcW w:type="dxa" w:w="2266"/>
            <w:shd w:val="clear" w:color="auto" w:fill="FDE8F2"/>
          </w:tcPr>
          <w:p>
            <w:pPr>
              <w:jc w:val="center"/>
            </w:pPr>
            <w:r>
              <w:rPr>
                <w:rFonts w:ascii="Calibri" w:hAnsi="Calibri"/>
                <w:b/>
                <w:color w:val="D61F6B"/>
                <w:sz w:val="18"/>
              </w:rPr>
              <w:t>Industry</w:t>
            </w:r>
          </w:p>
        </w:tc>
        <w:tc>
          <w:tcPr>
            <w:tcW w:type="dxa" w:w="2266"/>
            <w:shd w:val="clear" w:color="auto" w:fill="FDE8F2"/>
          </w:tcPr>
          <w:p>
            <w:pPr>
              <w:jc w:val="center"/>
            </w:pPr>
            <w:r>
              <w:rPr>
                <w:rFonts w:ascii="Calibri" w:hAnsi="Calibri"/>
                <w:b/>
                <w:color w:val="D61F6B"/>
                <w:sz w:val="18"/>
              </w:rPr>
              <w:t>Stage</w:t>
            </w:r>
          </w:p>
        </w:tc>
        <w:tc>
          <w:tcPr>
            <w:tcW w:type="dxa" w:w="2266"/>
            <w:shd w:val="clear" w:color="auto" w:fill="FDE8F2"/>
          </w:tcPr>
          <w:p>
            <w:pPr>
              <w:jc w:val="center"/>
            </w:pPr>
            <w:r>
              <w:rPr>
                <w:rFonts w:ascii="Calibri" w:hAnsi="Calibri"/>
                <w:b/>
                <w:color w:val="D61F6B"/>
                <w:sz w:val="18"/>
              </w:rPr>
              <w:t>Model</w:t>
            </w:r>
          </w:p>
        </w:tc>
      </w:tr>
      <w:tr>
        <w:tc>
          <w:tcPr>
            <w:tcW w:type="dxa" w:w="2266"/>
            <w:shd w:val="clear" w:color="auto" w:fill="FDE8F2"/>
          </w:tcPr>
          <w:p>
            <w:pPr>
              <w:jc w:val="center"/>
            </w:pPr>
            <w:r>
              <w:rPr>
                <w:rFonts w:ascii="Calibri" w:hAnsi="Calibri"/>
                <w:color w:val="1A1A1A"/>
                <w:sz w:val="20"/>
              </w:rPr>
              <w:t>Johannesburg, Gauteng</w:t>
            </w:r>
          </w:p>
        </w:tc>
        <w:tc>
          <w:tcPr>
            <w:tcW w:type="dxa" w:w="2266"/>
            <w:shd w:val="clear" w:color="auto" w:fill="FDE8F2"/>
          </w:tcPr>
          <w:p>
            <w:pPr>
              <w:jc w:val="center"/>
            </w:pPr>
            <w:r>
              <w:rPr>
                <w:rFonts w:ascii="Calibri" w:hAnsi="Calibri"/>
                <w:color w:val="1A1A1A"/>
                <w:sz w:val="20"/>
              </w:rPr>
              <w:t>Domestic Placement</w:t>
            </w:r>
          </w:p>
        </w:tc>
        <w:tc>
          <w:tcPr>
            <w:tcW w:type="dxa" w:w="2266"/>
            <w:shd w:val="clear" w:color="auto" w:fill="FDE8F2"/>
          </w:tcPr>
          <w:p>
            <w:pPr>
              <w:jc w:val="center"/>
            </w:pPr>
            <w:r>
              <w:rPr>
                <w:rFonts w:ascii="Calibri" w:hAnsi="Calibri"/>
                <w:color w:val="1A1A1A"/>
                <w:sz w:val="20"/>
              </w:rPr>
              <w:t>Early / Launch</w:t>
            </w:r>
          </w:p>
        </w:tc>
        <w:tc>
          <w:tcPr>
            <w:tcW w:type="dxa" w:w="2266"/>
            <w:shd w:val="clear" w:color="auto" w:fill="FDE8F2"/>
          </w:tcPr>
          <w:p>
            <w:pPr>
              <w:jc w:val="center"/>
            </w:pPr>
            <w:r>
              <w:rPr>
                <w:rFonts w:ascii="Calibri" w:hAnsi="Calibri"/>
                <w:color w:val="1A1A1A"/>
                <w:sz w:val="20"/>
              </w:rPr>
              <w:t>Placement Fee</w:t>
            </w:r>
          </w:p>
        </w:tc>
      </w:tr>
    </w:tbl>
    <w:p>
      <w:r>
        <w:br w:type="page"/>
      </w:r>
    </w:p>
    <w:p>
      <w:pPr>
        <w:pBdr>
          <w:bottom w:val="single" w:sz="12" w:space="1" w:color="D61F6B"/>
        </w:pBdr>
        <w:spacing w:before="360" w:after="120"/>
      </w:pPr>
      <w:r>
        <w:rPr>
          <w:rFonts w:ascii="Calibri" w:hAnsi="Calibri"/>
          <w:b/>
          <w:color w:val="1A1A1A"/>
          <w:sz w:val="32"/>
        </w:rPr>
        <w:t>1. What We Do</w:t>
      </w:r>
    </w:p>
    <w:p>
      <w:pPr>
        <w:spacing w:after="120" w:before="40"/>
      </w:pPr>
      <w:r>
        <w:rPr>
          <w:rFonts w:ascii="Calibri" w:hAnsi="Calibri"/>
          <w:i w:val="0"/>
          <w:color w:val="555555"/>
          <w:sz w:val="22"/>
        </w:rPr>
        <w:t>Prime Nanny finds, screens, and places nannies, domestic helpers, and home care workers with families and households across Gauteng. When a client comes to us, we handle the recruitment, background checks, and reference calls, then present them with candidates that fit their specific needs. The client and worker agree on salary directly between themselves. Once a placement is confirmed, Prime Nanny charges a once-off placement fee.</w:t>
      </w:r>
    </w:p>
    <w:p>
      <w:pPr>
        <w:spacing w:after="160" w:before="40"/>
      </w:pPr>
      <w:r>
        <w:rPr>
          <w:rFonts w:ascii="Calibri" w:hAnsi="Calibri"/>
          <w:i w:val="0"/>
          <w:color w:val="555555"/>
          <w:sz w:val="22"/>
        </w:rPr>
        <w:t>The workers placed are not employees of Prime Nanny. They work for and are paid by the household that hired them. Our job is to make the process of finding reliable, trustworthy help as simple and safe as possible.</w:t>
      </w:r>
    </w:p>
    <w:p>
      <w:pPr>
        <w:pBdr>
          <w:bottom w:val="single" w:sz="12" w:space="1" w:color="D61F6B"/>
        </w:pBdr>
        <w:spacing w:before="360" w:after="120"/>
      </w:pPr>
      <w:r>
        <w:rPr>
          <w:rFonts w:ascii="Calibri" w:hAnsi="Calibri"/>
          <w:b/>
          <w:color w:val="1A1A1A"/>
          <w:sz w:val="32"/>
        </w:rPr>
        <w:t>2. The Problem We Solve</w:t>
      </w:r>
    </w:p>
    <w:p>
      <w:pPr>
        <w:spacing w:after="100" w:before="60"/>
      </w:pPr>
      <w:r>
        <w:rPr>
          <w:rFonts w:ascii="Calibri" w:hAnsi="Calibri"/>
          <w:b/>
          <w:color w:val="1A1A1A"/>
          <w:sz w:val="22"/>
        </w:rPr>
        <w:t xml:space="preserve">No trusted way to hire. </w:t>
      </w:r>
      <w:r>
        <w:rPr>
          <w:rFonts w:ascii="Calibri" w:hAnsi="Calibri"/>
          <w:color w:val="555555"/>
          <w:sz w:val="22"/>
        </w:rPr>
        <w:t>Most families rely on word-of-mouth or Facebook groups, with no way to verify who they are letting into their home.</w:t>
      </w:r>
    </w:p>
    <w:p>
      <w:pPr>
        <w:spacing w:after="100" w:before="60"/>
      </w:pPr>
      <w:r>
        <w:rPr>
          <w:rFonts w:ascii="Calibri" w:hAnsi="Calibri"/>
          <w:b/>
          <w:color w:val="1A1A1A"/>
          <w:sz w:val="22"/>
        </w:rPr>
        <w:t xml:space="preserve">Informal and risky. </w:t>
      </w:r>
      <w:r>
        <w:rPr>
          <w:rFonts w:ascii="Calibri" w:hAnsi="Calibri"/>
          <w:color w:val="555555"/>
          <w:sz w:val="22"/>
        </w:rPr>
        <w:t>The domestic sector in SA is largely informal. Families take on all the risk when hiring someone with no documented history or checks.</w:t>
      </w:r>
    </w:p>
    <w:p>
      <w:pPr>
        <w:spacing w:after="100" w:before="60"/>
      </w:pPr>
      <w:r>
        <w:rPr>
          <w:rFonts w:ascii="Calibri" w:hAnsi="Calibri"/>
          <w:b/>
          <w:color w:val="1A1A1A"/>
          <w:sz w:val="22"/>
        </w:rPr>
        <w:t xml:space="preserve">Good workers go unnoticed. </w:t>
      </w:r>
      <w:r>
        <w:rPr>
          <w:rFonts w:ascii="Calibri" w:hAnsi="Calibri"/>
          <w:color w:val="555555"/>
          <w:sz w:val="22"/>
        </w:rPr>
        <w:t>Skilled, experienced helpers struggle to reach good employers without a professional channel to present themselves through.</w:t>
      </w:r>
    </w:p>
    <w:p>
      <w:pPr>
        <w:pBdr>
          <w:bottom w:val="single" w:sz="12" w:space="1" w:color="D61F6B"/>
        </w:pBdr>
        <w:spacing w:before="360" w:after="120"/>
      </w:pPr>
      <w:r>
        <w:rPr>
          <w:rFonts w:ascii="Calibri" w:hAnsi="Calibri"/>
          <w:b/>
          <w:color w:val="1A1A1A"/>
          <w:sz w:val="32"/>
        </w:rPr>
        <w:t>3. Who We Work With</w:t>
      </w:r>
    </w:p>
    <w:p>
      <w:pPr>
        <w:spacing w:before="160" w:after="80"/>
      </w:pPr>
      <w:r>
        <w:rPr>
          <w:rFonts w:ascii="Calibri" w:hAnsi="Calibri"/>
          <w:b/>
          <w:color w:val="D61F6B"/>
          <w:sz w:val="26"/>
        </w:rPr>
        <w:t>Clients (households)</w:t>
      </w:r>
    </w:p>
    <w:p>
      <w:pPr>
        <w:pStyle w:val="ListBullet"/>
        <w:spacing w:after="60" w:before="20"/>
      </w:pPr>
      <w:r>
        <w:rPr>
          <w:rFonts w:ascii="Calibri" w:hAnsi="Calibri"/>
          <w:color w:val="555555"/>
          <w:sz w:val="22"/>
        </w:rPr>
        <w:t>Families needing a full-time nanny or au pair</w:t>
      </w:r>
    </w:p>
    <w:p>
      <w:pPr>
        <w:pStyle w:val="ListBullet"/>
        <w:spacing w:after="60" w:before="20"/>
      </w:pPr>
      <w:r>
        <w:rPr>
          <w:rFonts w:ascii="Calibri" w:hAnsi="Calibri"/>
          <w:color w:val="555555"/>
          <w:sz w:val="22"/>
        </w:rPr>
        <w:t>Parents looking for short-term or holiday cover</w:t>
      </w:r>
    </w:p>
    <w:p>
      <w:pPr>
        <w:pStyle w:val="ListBullet"/>
        <w:spacing w:after="60" w:before="20"/>
      </w:pPr>
      <w:r>
        <w:rPr>
          <w:rFonts w:ascii="Calibri" w:hAnsi="Calibri"/>
          <w:color w:val="555555"/>
          <w:sz w:val="22"/>
        </w:rPr>
        <w:t>Elderly households needing a home care companion</w:t>
      </w:r>
    </w:p>
    <w:p>
      <w:pPr>
        <w:pStyle w:val="ListBullet"/>
        <w:spacing w:after="60" w:before="20"/>
      </w:pPr>
      <w:r>
        <w:rPr>
          <w:rFonts w:ascii="Calibri" w:hAnsi="Calibri"/>
          <w:color w:val="555555"/>
          <w:sz w:val="22"/>
        </w:rPr>
        <w:t>Busy professionals needing live-in or live-out domestic help</w:t>
      </w:r>
    </w:p>
    <w:p>
      <w:pPr>
        <w:pStyle w:val="ListBullet"/>
        <w:spacing w:after="60" w:before="20"/>
      </w:pPr>
      <w:r>
        <w:rPr>
          <w:rFonts w:ascii="Calibri" w:hAnsi="Calibri"/>
          <w:color w:val="555555"/>
          <w:sz w:val="22"/>
        </w:rPr>
        <w:t>Guesthouses or small businesses needing domestic cover</w:t>
      </w:r>
    </w:p>
    <w:p>
      <w:pPr>
        <w:spacing w:before="200" w:after="80"/>
      </w:pPr>
      <w:r>
        <w:rPr>
          <w:rFonts w:ascii="Calibri" w:hAnsi="Calibri"/>
          <w:b/>
          <w:color w:val="2E7D32"/>
          <w:sz w:val="26"/>
        </w:rPr>
        <w:t>Candidates (workers we recruit and place)</w:t>
      </w:r>
    </w:p>
    <w:p>
      <w:pPr>
        <w:pStyle w:val="ListBullet"/>
        <w:spacing w:after="60" w:before="20"/>
      </w:pPr>
      <w:r>
        <w:rPr>
          <w:rFonts w:ascii="Calibri" w:hAnsi="Calibri"/>
          <w:color w:val="555555"/>
          <w:sz w:val="22"/>
        </w:rPr>
        <w:t>Nannies and au pairs</w:t>
      </w:r>
    </w:p>
    <w:p>
      <w:pPr>
        <w:pStyle w:val="ListBullet"/>
        <w:spacing w:after="60" w:before="20"/>
      </w:pPr>
      <w:r>
        <w:rPr>
          <w:rFonts w:ascii="Calibri" w:hAnsi="Calibri"/>
          <w:color w:val="555555"/>
          <w:sz w:val="22"/>
        </w:rPr>
        <w:t>General domestic workers (cleaning, cooking, household)</w:t>
      </w:r>
    </w:p>
    <w:p>
      <w:pPr>
        <w:pStyle w:val="ListBullet"/>
        <w:spacing w:after="60" w:before="20"/>
      </w:pPr>
      <w:r>
        <w:rPr>
          <w:rFonts w:ascii="Calibri" w:hAnsi="Calibri"/>
          <w:color w:val="555555"/>
          <w:sz w:val="22"/>
        </w:rPr>
        <w:t>Home care workers for the elderly or post-op recovery</w:t>
      </w:r>
    </w:p>
    <w:p>
      <w:pPr>
        <w:pStyle w:val="ListBullet"/>
        <w:spacing w:after="60" w:before="20"/>
      </w:pPr>
      <w:r>
        <w:rPr>
          <w:rFonts w:ascii="Calibri" w:hAnsi="Calibri"/>
          <w:color w:val="555555"/>
          <w:sz w:val="22"/>
        </w:rPr>
        <w:t>Driver-nannies and household managers</w:t>
      </w:r>
    </w:p>
    <w:p>
      <w:pPr>
        <w:pStyle w:val="ListBullet"/>
        <w:spacing w:after="60" w:before="20"/>
      </w:pPr>
      <w:r>
        <w:rPr>
          <w:rFonts w:ascii="Calibri" w:hAnsi="Calibri"/>
          <w:color w:val="555555"/>
          <w:sz w:val="22"/>
        </w:rPr>
        <w:t>Short-term and holiday cover helpers</w:t>
      </w:r>
    </w:p>
    <w:p>
      <w:pPr>
        <w:pBdr>
          <w:bottom w:val="single" w:sz="12" w:space="1" w:color="D61F6B"/>
        </w:pBdr>
        <w:spacing w:before="360" w:after="120"/>
      </w:pPr>
      <w:r>
        <w:rPr>
          <w:rFonts w:ascii="Calibri" w:hAnsi="Calibri"/>
          <w:b/>
          <w:color w:val="1A1A1A"/>
          <w:sz w:val="32"/>
        </w:rPr>
        <w:t>4. How a Placement Works</w:t>
      </w:r>
    </w:p>
    <w:tbl>
      <w:tblPr>
        <w:tblW w:type="auto" w:w="0"/>
        <w:tblLook w:firstColumn="1" w:firstRow="1" w:lastColumn="0" w:lastRow="0" w:noHBand="0" w:noVBand="1" w:val="04A0"/>
        <w:jc w:val="left"/>
        <w:tblBorders>
          <w:top w:val="none"/>
          <w:bottom w:val="none"/>
          <w:left w:val="none"/>
          <w:right w:val="none"/>
          <w:insideH w:val="none"/>
          <w:insideV w:val="none"/>
        </w:tblBorders>
      </w:tblPr>
      <w:tblGrid>
        <w:gridCol w:w="4533"/>
        <w:gridCol w:w="4533"/>
      </w:tblGrid>
      <w:tr>
        <w:tc>
          <w:tcPr>
            <w:tcW w:type="dxa" w:w="2304"/>
            <w:shd w:val="clear" w:color="auto" w:fill="FDE8F2"/>
          </w:tcPr>
          <w:p>
            <w:pPr>
              <w:spacing w:before="80" w:after="80"/>
            </w:pPr>
            <w:r>
              <w:rPr>
                <w:rFonts w:ascii="Calibri" w:hAnsi="Calibri"/>
                <w:b/>
                <w:color w:val="D61F6B"/>
                <w:sz w:val="20"/>
              </w:rPr>
              <w:t>1. Client intake</w:t>
            </w:r>
          </w:p>
        </w:tc>
        <w:tc>
          <w:tcPr>
            <w:tcW w:type="dxa" w:w="6336"/>
          </w:tcPr>
          <w:p>
            <w:pPr>
              <w:spacing w:before="80" w:after="80"/>
            </w:pPr>
            <w:r>
              <w:rPr>
                <w:rFonts w:ascii="Calibri" w:hAnsi="Calibri"/>
                <w:color w:val="555555"/>
                <w:sz w:val="22"/>
              </w:rPr>
              <w:t>Understand the role, hours, and household needs.</w:t>
            </w:r>
          </w:p>
        </w:tc>
      </w:tr>
      <w:tr>
        <w:tc>
          <w:tcPr>
            <w:tcW w:type="dxa" w:w="2304"/>
            <w:shd w:val="clear" w:color="auto" w:fill="FDE8F2"/>
          </w:tcPr>
          <w:p>
            <w:pPr>
              <w:spacing w:before="80" w:after="80"/>
            </w:pPr>
            <w:r>
              <w:rPr>
                <w:rFonts w:ascii="Calibri" w:hAnsi="Calibri"/>
                <w:b/>
                <w:color w:val="D61F6B"/>
                <w:sz w:val="20"/>
              </w:rPr>
              <w:t>2. Candidate search</w:t>
            </w:r>
          </w:p>
        </w:tc>
        <w:tc>
          <w:tcPr>
            <w:tcW w:type="dxa" w:w="6336"/>
          </w:tcPr>
          <w:p>
            <w:pPr>
              <w:spacing w:before="80" w:after="80"/>
            </w:pPr>
            <w:r>
              <w:rPr>
                <w:rFonts w:ascii="Calibri" w:hAnsi="Calibri"/>
                <w:color w:val="555555"/>
                <w:sz w:val="22"/>
              </w:rPr>
              <w:t>Match from our pool or actively recruit.</w:t>
            </w:r>
          </w:p>
        </w:tc>
      </w:tr>
      <w:tr>
        <w:tc>
          <w:tcPr>
            <w:tcW w:type="dxa" w:w="2304"/>
            <w:shd w:val="clear" w:color="auto" w:fill="FDE8F2"/>
          </w:tcPr>
          <w:p>
            <w:pPr>
              <w:spacing w:before="80" w:after="80"/>
            </w:pPr>
            <w:r>
              <w:rPr>
                <w:rFonts w:ascii="Calibri" w:hAnsi="Calibri"/>
                <w:b/>
                <w:color w:val="D61F6B"/>
                <w:sz w:val="20"/>
              </w:rPr>
              <w:t>3. Verification</w:t>
            </w:r>
          </w:p>
        </w:tc>
        <w:tc>
          <w:tcPr>
            <w:tcW w:type="dxa" w:w="6336"/>
          </w:tcPr>
          <w:p>
            <w:pPr>
              <w:spacing w:before="80" w:after="80"/>
            </w:pPr>
            <w:r>
              <w:rPr>
                <w:rFonts w:ascii="Calibri" w:hAnsi="Calibri"/>
                <w:color w:val="555555"/>
                <w:sz w:val="22"/>
              </w:rPr>
              <w:t>SAPS criminal check, ID, references, skills check.</w:t>
            </w:r>
          </w:p>
        </w:tc>
      </w:tr>
      <w:tr>
        <w:tc>
          <w:tcPr>
            <w:tcW w:type="dxa" w:w="2304"/>
            <w:shd w:val="clear" w:color="auto" w:fill="FDE8F2"/>
          </w:tcPr>
          <w:p>
            <w:pPr>
              <w:spacing w:before="80" w:after="80"/>
            </w:pPr>
            <w:r>
              <w:rPr>
                <w:rFonts w:ascii="Calibri" w:hAnsi="Calibri"/>
                <w:b/>
                <w:color w:val="D61F6B"/>
                <w:sz w:val="20"/>
              </w:rPr>
              <w:t>4. Shortlist</w:t>
            </w:r>
          </w:p>
        </w:tc>
        <w:tc>
          <w:tcPr>
            <w:tcW w:type="dxa" w:w="6336"/>
          </w:tcPr>
          <w:p>
            <w:pPr>
              <w:spacing w:before="80" w:after="80"/>
            </w:pPr>
            <w:r>
              <w:rPr>
                <w:rFonts w:ascii="Calibri" w:hAnsi="Calibri"/>
                <w:color w:val="555555"/>
                <w:sz w:val="22"/>
              </w:rPr>
              <w:t>Present 2 to 3 suitable candidates to the client.</w:t>
            </w:r>
          </w:p>
        </w:tc>
      </w:tr>
      <w:tr>
        <w:tc>
          <w:tcPr>
            <w:tcW w:type="dxa" w:w="2304"/>
            <w:shd w:val="clear" w:color="auto" w:fill="FDE8F2"/>
          </w:tcPr>
          <w:p>
            <w:pPr>
              <w:spacing w:before="80" w:after="80"/>
            </w:pPr>
            <w:r>
              <w:rPr>
                <w:rFonts w:ascii="Calibri" w:hAnsi="Calibri"/>
                <w:b/>
                <w:color w:val="D61F6B"/>
                <w:sz w:val="20"/>
              </w:rPr>
              <w:t>5. Salary agreed</w:t>
            </w:r>
          </w:p>
        </w:tc>
        <w:tc>
          <w:tcPr>
            <w:tcW w:type="dxa" w:w="6336"/>
          </w:tcPr>
          <w:p>
            <w:pPr>
              <w:spacing w:before="80" w:after="80"/>
            </w:pPr>
            <w:r>
              <w:rPr>
                <w:rFonts w:ascii="Calibri" w:hAnsi="Calibri"/>
                <w:color w:val="555555"/>
                <w:sz w:val="22"/>
              </w:rPr>
              <w:t>Client and worker agree on salary directly between themselves.</w:t>
            </w:r>
          </w:p>
        </w:tc>
      </w:tr>
      <w:tr>
        <w:tc>
          <w:tcPr>
            <w:tcW w:type="dxa" w:w="2304"/>
            <w:shd w:val="clear" w:color="auto" w:fill="FDE8F2"/>
          </w:tcPr>
          <w:p>
            <w:pPr>
              <w:spacing w:before="80" w:after="80"/>
            </w:pPr>
            <w:r>
              <w:rPr>
                <w:rFonts w:ascii="Calibri" w:hAnsi="Calibri"/>
                <w:b/>
                <w:color w:val="D61F6B"/>
                <w:sz w:val="20"/>
              </w:rPr>
              <w:t>6. Placement confirmed</w:t>
            </w:r>
          </w:p>
        </w:tc>
        <w:tc>
          <w:tcPr>
            <w:tcW w:type="dxa" w:w="6336"/>
          </w:tcPr>
          <w:p>
            <w:pPr>
              <w:spacing w:before="80" w:after="80"/>
            </w:pPr>
            <w:r>
              <w:rPr>
                <w:rFonts w:ascii="Calibri" w:hAnsi="Calibri"/>
                <w:color w:val="555555"/>
                <w:sz w:val="22"/>
              </w:rPr>
              <w:t>Once-off placement fee paid to Prime Nanny.</w:t>
            </w:r>
          </w:p>
        </w:tc>
      </w:tr>
    </w:tbl>
    <w:p>
      <w:pPr>
        <w:spacing w:before="0" w:after="200"/>
      </w:pPr>
    </w:p>
    <w:p>
      <w:pPr>
        <w:pBdr>
          <w:bottom w:val="single" w:sz="12" w:space="1" w:color="D61F6B"/>
        </w:pBdr>
        <w:spacing w:before="360" w:after="120"/>
      </w:pPr>
      <w:r>
        <w:rPr>
          <w:rFonts w:ascii="Calibri" w:hAnsi="Calibri"/>
          <w:b/>
          <w:color w:val="1A1A1A"/>
          <w:sz w:val="32"/>
        </w:rPr>
        <w:t>5. Revenue Model</w:t>
      </w:r>
    </w:p>
    <w:p>
      <w:pPr>
        <w:spacing w:after="200" w:before="40"/>
      </w:pPr>
      <w:r>
        <w:rPr>
          <w:rFonts w:ascii="Calibri" w:hAnsi="Calibri"/>
          <w:i w:val="0"/>
          <w:color w:val="555555"/>
          <w:sz w:val="22"/>
        </w:rPr>
        <w:t>Prime Nanny currently generates revenue through a once-off placement fee paid by the client when a placement is confirmed. Salary is not set by Prime Nanny. The client and worker agree on a rate that suits them both.</w:t>
      </w:r>
    </w:p>
    <w:tbl>
      <w:tblPr>
        <w:tblW w:type="auto" w:w="0"/>
        <w:tblLook w:firstColumn="1" w:firstRow="1" w:lastColumn="0" w:lastRow="0" w:noHBand="0" w:noVBand="1" w:val="04A0"/>
        <w:jc w:val="left"/>
        <w:tblBorders>
          <w:top w:val="none"/>
          <w:bottom w:val="none"/>
          <w:left w:val="none"/>
          <w:right w:val="none"/>
          <w:insideH w:val="none"/>
          <w:insideV w:val="none"/>
        </w:tblBorders>
      </w:tblPr>
      <w:tblGrid>
        <w:gridCol w:w="2266"/>
        <w:gridCol w:w="2266"/>
        <w:gridCol w:w="2266"/>
        <w:gridCol w:w="2266"/>
      </w:tblGrid>
      <w:tr>
        <w:tc>
          <w:tcPr>
            <w:tcW w:type="dxa" w:w="2880"/>
            <w:shd w:val="clear" w:color="auto" w:fill="D61F6B"/>
            <w:tcBorders>
              <w:top w:val="single" w:sz="4" w:space="0" w:color="D61F6B"/>
              <w:bottom w:val="single" w:sz="4" w:space="0" w:color="D61F6B"/>
              <w:left w:val="single" w:sz="4" w:space="0" w:color="D61F6B"/>
              <w:right w:val="single" w:sz="4" w:space="0" w:color="D61F6B"/>
            </w:tcBorders>
          </w:tcPr>
          <w:p>
            <w:pPr>
              <w:spacing w:before="80" w:after="80"/>
            </w:pPr>
            <w:r>
              <w:rPr>
                <w:rFonts w:ascii="Calibri" w:hAnsi="Calibri"/>
                <w:b/>
                <w:color w:val="FFFFFF"/>
                <w:sz w:val="20"/>
              </w:rPr>
              <w:t>Placement type</w:t>
            </w:r>
          </w:p>
        </w:tc>
        <w:tc>
          <w:tcPr>
            <w:tcW w:type="dxa" w:w="1440"/>
            <w:shd w:val="clear" w:color="auto" w:fill="D61F6B"/>
            <w:tcBorders>
              <w:top w:val="single" w:sz="4" w:space="0" w:color="D61F6B"/>
              <w:bottom w:val="single" w:sz="4" w:space="0" w:color="D61F6B"/>
              <w:left w:val="single" w:sz="4" w:space="0" w:color="D61F6B"/>
              <w:right w:val="single" w:sz="4" w:space="0" w:color="D61F6B"/>
            </w:tcBorders>
          </w:tcPr>
          <w:p>
            <w:pPr>
              <w:spacing w:before="80" w:after="80"/>
            </w:pPr>
            <w:r>
              <w:rPr>
                <w:rFonts w:ascii="Calibri" w:hAnsi="Calibri"/>
                <w:b/>
                <w:color w:val="FFFFFF"/>
                <w:sz w:val="20"/>
              </w:rPr>
              <w:t>Duration</w:t>
            </w:r>
          </w:p>
        </w:tc>
        <w:tc>
          <w:tcPr>
            <w:tcW w:type="dxa" w:w="3600"/>
            <w:shd w:val="clear" w:color="auto" w:fill="D61F6B"/>
            <w:tcBorders>
              <w:top w:val="single" w:sz="4" w:space="0" w:color="D61F6B"/>
              <w:bottom w:val="single" w:sz="4" w:space="0" w:color="D61F6B"/>
              <w:left w:val="single" w:sz="4" w:space="0" w:color="D61F6B"/>
              <w:right w:val="single" w:sz="4" w:space="0" w:color="D61F6B"/>
            </w:tcBorders>
          </w:tcPr>
          <w:p>
            <w:pPr>
              <w:spacing w:before="80" w:after="80"/>
            </w:pPr>
            <w:r>
              <w:rPr>
                <w:rFonts w:ascii="Calibri" w:hAnsi="Calibri"/>
                <w:b/>
                <w:color w:val="FFFFFF"/>
                <w:sz w:val="20"/>
              </w:rPr>
              <w:t>Fee basis</w:t>
            </w:r>
          </w:p>
        </w:tc>
        <w:tc>
          <w:tcPr>
            <w:tcW w:type="dxa" w:w="1440"/>
            <w:shd w:val="clear" w:color="auto" w:fill="D61F6B"/>
            <w:tcBorders>
              <w:top w:val="single" w:sz="4" w:space="0" w:color="D61F6B"/>
              <w:bottom w:val="single" w:sz="4" w:space="0" w:color="D61F6B"/>
              <w:left w:val="single" w:sz="4" w:space="0" w:color="D61F6B"/>
              <w:right w:val="single" w:sz="4" w:space="0" w:color="D61F6B"/>
            </w:tcBorders>
          </w:tcPr>
          <w:p>
            <w:pPr>
              <w:spacing w:before="80" w:after="80"/>
            </w:pPr>
            <w:r>
              <w:rPr>
                <w:rFonts w:ascii="Calibri" w:hAnsi="Calibri"/>
                <w:b/>
                <w:color w:val="FFFFFF"/>
                <w:sz w:val="20"/>
              </w:rPr>
              <w:t>Typical fee</w:t>
            </w:r>
          </w:p>
        </w:tc>
      </w:tr>
      <w:tr>
        <w:tc>
          <w:tcPr>
            <w:tcW w:type="dxa" w:w="288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Full-time placement</w:t>
              <w:br/>
              <w:t>(nanny, domestic worker, home care)</w:t>
            </w:r>
          </w:p>
        </w:tc>
        <w:tc>
          <w:tcPr>
            <w:tcW w:type="dxa" w:w="144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Long-term</w:t>
            </w:r>
          </w:p>
        </w:tc>
        <w:tc>
          <w:tcPr>
            <w:tcW w:type="dxa" w:w="360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Once-off flat fee or % of agreed monthly salary</w:t>
            </w:r>
          </w:p>
        </w:tc>
        <w:tc>
          <w:tcPr>
            <w:tcW w:type="dxa" w:w="144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b/>
                <w:color w:val="D61F6B"/>
                <w:sz w:val="20"/>
              </w:rPr>
              <w:t>R2,500 to R6,000</w:t>
            </w:r>
          </w:p>
        </w:tc>
      </w:tr>
      <w:tr>
        <w:tc>
          <w:tcPr>
            <w:tcW w:type="dxa" w:w="2880"/>
            <w:shd w:val="clear" w:color="auto" w:fill="FFFFFF"/>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Short-term / holiday cover</w:t>
            </w:r>
          </w:p>
        </w:tc>
        <w:tc>
          <w:tcPr>
            <w:tcW w:type="dxa" w:w="1440"/>
            <w:shd w:val="clear" w:color="auto" w:fill="FFFFFF"/>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Short-term</w:t>
            </w:r>
          </w:p>
        </w:tc>
        <w:tc>
          <w:tcPr>
            <w:tcW w:type="dxa" w:w="3600"/>
            <w:shd w:val="clear" w:color="auto" w:fill="FFFFFF"/>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Flat placement fee</w:t>
            </w:r>
          </w:p>
        </w:tc>
        <w:tc>
          <w:tcPr>
            <w:tcW w:type="dxa" w:w="1440"/>
            <w:shd w:val="clear" w:color="auto" w:fill="FFFFFF"/>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b/>
                <w:color w:val="D61F6B"/>
                <w:sz w:val="20"/>
              </w:rPr>
              <w:t>R800 to R2,000</w:t>
            </w:r>
          </w:p>
        </w:tc>
      </w:tr>
      <w:tr>
        <w:tc>
          <w:tcPr>
            <w:tcW w:type="dxa" w:w="288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Premium placement</w:t>
              <w:br/>
              <w:t>(au pairs, household managers)</w:t>
            </w:r>
          </w:p>
        </w:tc>
        <w:tc>
          <w:tcPr>
            <w:tcW w:type="dxa" w:w="144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Long-term</w:t>
            </w:r>
          </w:p>
        </w:tc>
        <w:tc>
          <w:tcPr>
            <w:tcW w:type="dxa" w:w="360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color w:val="1A1A1A"/>
                <w:sz w:val="20"/>
              </w:rPr>
              <w:t>Higher flat fee reflecting the specialised role</w:t>
            </w:r>
          </w:p>
        </w:tc>
        <w:tc>
          <w:tcPr>
            <w:tcW w:type="dxa" w:w="1440"/>
            <w:shd w:val="clear" w:color="auto" w:fill="FDE8F2"/>
            <w:tcBorders>
              <w:top w:val="single" w:sz="4" w:space="0" w:color="EEEEEE"/>
              <w:bottom w:val="single" w:sz="4" w:space="0" w:color="EEEEEE"/>
              <w:left w:val="single" w:sz="4" w:space="0" w:color="EEEEEE"/>
              <w:right w:val="single" w:sz="4" w:space="0" w:color="EEEEEE"/>
            </w:tcBorders>
          </w:tcPr>
          <w:p>
            <w:pPr>
              <w:spacing w:before="80" w:after="80"/>
            </w:pPr>
            <w:r>
              <w:rPr>
                <w:rFonts w:ascii="Calibri" w:hAnsi="Calibri"/>
                <w:b/>
                <w:color w:val="D61F6B"/>
                <w:sz w:val="20"/>
              </w:rPr>
              <w:t>R6,000 to R15,000</w:t>
            </w:r>
          </w:p>
        </w:tc>
      </w:tr>
    </w:tbl>
    <w:p>
      <w:pPr>
        <w:spacing w:before="0" w:after="200"/>
      </w:pPr>
    </w:p>
    <w:p>
      <w:pPr>
        <w:pBdr>
          <w:bottom w:val="single" w:sz="12" w:space="1" w:color="D61F6B"/>
        </w:pBdr>
        <w:spacing w:before="360" w:after="120"/>
      </w:pPr>
      <w:r>
        <w:rPr>
          <w:rFonts w:ascii="Calibri" w:hAnsi="Calibri"/>
          <w:b/>
          <w:color w:val="1A1A1A"/>
          <w:sz w:val="32"/>
        </w:rPr>
        <w:t>6. Revenue Projections (Years 1 to 3)</w:t>
      </w:r>
    </w:p>
    <w:tbl>
      <w:tblPr>
        <w:tblW w:type="auto" w:w="0"/>
        <w:tblLook w:firstColumn="1" w:firstRow="1" w:lastColumn="0" w:lastRow="0" w:noHBand="0" w:noVBand="1" w:val="04A0"/>
        <w:jc w:val="left"/>
        <w:tblBorders>
          <w:top w:val="none"/>
          <w:bottom w:val="none"/>
          <w:left w:val="none"/>
          <w:right w:val="none"/>
          <w:insideH w:val="none"/>
          <w:insideV w:val="none"/>
        </w:tblBorders>
      </w:tblPr>
      <w:tblGrid>
        <w:gridCol w:w="3022"/>
        <w:gridCol w:w="3022"/>
        <w:gridCol w:w="3022"/>
      </w:tblGrid>
      <w:tr>
        <w:tc>
          <w:tcPr>
            <w:tcW w:type="dxa" w:w="3022"/>
            <w:shd w:val="clear" w:color="auto" w:fill="FDE8F2"/>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Year 1 target</w:t>
            </w:r>
          </w:p>
          <w:p>
            <w:pPr>
              <w:spacing w:before="0" w:after="0"/>
            </w:pPr>
            <w:r>
              <w:rPr>
                <w:rFonts w:ascii="Calibri" w:hAnsi="Calibri"/>
                <w:b/>
                <w:color w:val="D61F6B"/>
                <w:sz w:val="32"/>
              </w:rPr>
              <w:t>R240,000</w:t>
            </w:r>
          </w:p>
          <w:p>
            <w:pPr>
              <w:spacing w:before="0" w:after="120"/>
            </w:pPr>
            <w:r>
              <w:rPr>
                <w:rFonts w:ascii="Calibri" w:hAnsi="Calibri"/>
                <w:i/>
                <w:color w:val="999999"/>
                <w:sz w:val="18"/>
              </w:rPr>
              <w:t>About 4 placements/month at avg R5,000</w:t>
            </w:r>
          </w:p>
        </w:tc>
        <w:tc>
          <w:tcPr>
            <w:tcW w:type="dxa" w:w="3022"/>
            <w:shd w:val="clear" w:color="auto" w:fill="FDE8F2"/>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Year 2 target</w:t>
            </w:r>
          </w:p>
          <w:p>
            <w:pPr>
              <w:spacing w:before="0" w:after="0"/>
            </w:pPr>
            <w:r>
              <w:rPr>
                <w:rFonts w:ascii="Calibri" w:hAnsi="Calibri"/>
                <w:b/>
                <w:color w:val="D61F6B"/>
                <w:sz w:val="32"/>
              </w:rPr>
              <w:t>R600,000</w:t>
            </w:r>
          </w:p>
          <w:p>
            <w:pPr>
              <w:spacing w:before="0" w:after="120"/>
            </w:pPr>
            <w:r>
              <w:rPr>
                <w:rFonts w:ascii="Calibri" w:hAnsi="Calibri"/>
                <w:i/>
                <w:color w:val="999999"/>
                <w:sz w:val="18"/>
              </w:rPr>
              <w:t>About 10 placements/month plus add-ons</w:t>
            </w:r>
          </w:p>
        </w:tc>
        <w:tc>
          <w:tcPr>
            <w:tcW w:type="dxa" w:w="3022"/>
            <w:shd w:val="clear" w:color="auto" w:fill="FDE8F2"/>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Year 3 target</w:t>
            </w:r>
          </w:p>
          <w:p>
            <w:pPr>
              <w:spacing w:before="0" w:after="0"/>
            </w:pPr>
            <w:r>
              <w:rPr>
                <w:rFonts w:ascii="Calibri" w:hAnsi="Calibri"/>
                <w:b/>
                <w:color w:val="D61F6B"/>
                <w:sz w:val="32"/>
              </w:rPr>
              <w:t>R1.2M+</w:t>
            </w:r>
          </w:p>
          <w:p>
            <w:pPr>
              <w:spacing w:before="0" w:after="120"/>
            </w:pPr>
            <w:r>
              <w:rPr>
                <w:rFonts w:ascii="Calibri" w:hAnsi="Calibri"/>
                <w:i/>
                <w:color w:val="999999"/>
                <w:sz w:val="18"/>
              </w:rPr>
              <w:t>Scale across Gauteng plus temp pool</w:t>
            </w:r>
          </w:p>
        </w:tc>
      </w:tr>
      <w:tr>
        <w:tc>
          <w:tcPr>
            <w:tcW w:type="dxa" w:w="3022"/>
            <w:shd w:val="clear" w:color="auto" w:fill="F5F5F5"/>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Break-even</w:t>
            </w:r>
          </w:p>
          <w:p>
            <w:pPr>
              <w:spacing w:before="0" w:after="0"/>
            </w:pPr>
            <w:r>
              <w:rPr>
                <w:rFonts w:ascii="Calibri" w:hAnsi="Calibri"/>
                <w:b/>
                <w:color w:val="1A1A1A"/>
                <w:sz w:val="32"/>
              </w:rPr>
              <w:t>3 to 5</w:t>
            </w:r>
          </w:p>
          <w:p>
            <w:pPr>
              <w:spacing w:before="0" w:after="120"/>
            </w:pPr>
            <w:r>
              <w:rPr>
                <w:rFonts w:ascii="Calibri" w:hAnsi="Calibri"/>
                <w:i/>
                <w:color w:val="999999"/>
                <w:sz w:val="18"/>
              </w:rPr>
              <w:t>placements per month</w:t>
            </w:r>
          </w:p>
        </w:tc>
        <w:tc>
          <w:tcPr>
            <w:tcW w:type="dxa" w:w="3022"/>
            <w:shd w:val="clear" w:color="auto" w:fill="F5F5F5"/>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Avg fee</w:t>
            </w:r>
          </w:p>
          <w:p>
            <w:pPr>
              <w:spacing w:before="0" w:after="0"/>
            </w:pPr>
            <w:r>
              <w:rPr>
                <w:rFonts w:ascii="Calibri" w:hAnsi="Calibri"/>
                <w:b/>
                <w:color w:val="1A1A1A"/>
                <w:sz w:val="32"/>
              </w:rPr>
              <w:t>R4,500</w:t>
            </w:r>
          </w:p>
          <w:p>
            <w:pPr>
              <w:spacing w:before="0" w:after="120"/>
            </w:pPr>
            <w:r>
              <w:rPr>
                <w:rFonts w:ascii="Calibri" w:hAnsi="Calibri"/>
                <w:i/>
                <w:color w:val="999999"/>
                <w:sz w:val="18"/>
              </w:rPr>
              <w:t>blended estimate</w:t>
            </w:r>
          </w:p>
        </w:tc>
        <w:tc>
          <w:tcPr>
            <w:tcW w:type="dxa" w:w="3022"/>
            <w:shd w:val="clear" w:color="auto" w:fill="F5F5F5"/>
            <w:tcBorders>
              <w:top w:val="single" w:sz="4" w:space="0" w:color="EEEEEE"/>
              <w:bottom w:val="single" w:sz="4" w:space="0" w:color="EEEEEE"/>
              <w:left w:val="single" w:sz="4" w:space="0" w:color="EEEEEE"/>
              <w:right w:val="single" w:sz="4" w:space="0" w:color="EEEEEE"/>
            </w:tcBorders>
          </w:tcPr>
          <w:p>
            <w:pPr>
              <w:spacing w:before="120" w:after="0"/>
            </w:pPr>
            <w:r>
              <w:rPr>
                <w:rFonts w:ascii="Calibri" w:hAnsi="Calibri"/>
                <w:color w:val="999999"/>
                <w:sz w:val="18"/>
              </w:rPr>
              <w:t>Gross margin</w:t>
            </w:r>
          </w:p>
          <w:p>
            <w:pPr>
              <w:spacing w:before="0" w:after="0"/>
            </w:pPr>
            <w:r>
              <w:rPr>
                <w:rFonts w:ascii="Calibri" w:hAnsi="Calibri"/>
                <w:b/>
                <w:color w:val="1A1A1A"/>
                <w:sz w:val="32"/>
              </w:rPr>
              <w:t>~82%</w:t>
            </w:r>
          </w:p>
          <w:p>
            <w:pPr>
              <w:spacing w:before="0" w:after="120"/>
            </w:pPr>
            <w:r>
              <w:rPr>
                <w:rFonts w:ascii="Calibri" w:hAnsi="Calibri"/>
                <w:i/>
                <w:color w:val="999999"/>
                <w:sz w:val="18"/>
              </w:rPr>
              <w:t>placement fee model</w:t>
            </w:r>
          </w:p>
        </w:tc>
      </w:tr>
    </w:tbl>
    <w:p>
      <w:pPr>
        <w:spacing w:before="0" w:after="200"/>
      </w:pPr>
    </w:p>
    <w:p>
      <w:pPr>
        <w:pBdr>
          <w:bottom w:val="single" w:sz="12" w:space="1" w:color="D61F6B"/>
        </w:pBdr>
        <w:spacing w:before="360" w:after="120"/>
      </w:pPr>
      <w:r>
        <w:rPr>
          <w:rFonts w:ascii="Calibri" w:hAnsi="Calibri"/>
          <w:b/>
          <w:color w:val="1A1A1A"/>
          <w:sz w:val="32"/>
        </w:rPr>
        <w:t>7. Market</w:t>
      </w:r>
    </w:p>
    <w:p>
      <w:pPr>
        <w:spacing w:before="160" w:after="80"/>
      </w:pPr>
      <w:r>
        <w:rPr>
          <w:rFonts w:ascii="Calibri" w:hAnsi="Calibri"/>
          <w:b/>
          <w:color w:val="D61F6B"/>
          <w:sz w:val="26"/>
        </w:rPr>
        <w:t>Starting in Gauteng</w:t>
      </w:r>
    </w:p>
    <w:p>
      <w:pPr>
        <w:spacing w:after="160" w:before="40"/>
      </w:pPr>
      <w:r>
        <w:rPr>
          <w:rFonts w:ascii="Calibri" w:hAnsi="Calibri"/>
          <w:i w:val="0"/>
          <w:color w:val="555555"/>
          <w:sz w:val="22"/>
        </w:rPr>
        <w:t>Johannesburg and Pretoria are the starting focus. Both cities have a large concentration of working families, high household income, and strong demand for domestic help. Gauteng also has a high volume of domestic workers actively looking for placement, which makes candidate sourcing more manageable. Once the model is running smoothly in Joburg, it can be replicated in other Gauteng areas before expanding to other provinces.</w:t>
      </w:r>
    </w:p>
    <w:p>
      <w:pPr>
        <w:spacing w:before="160" w:after="80"/>
      </w:pPr>
      <w:r>
        <w:rPr>
          <w:rFonts w:ascii="Calibri" w:hAnsi="Calibri"/>
          <w:b/>
          <w:color w:val="1A1A1A"/>
          <w:sz w:val="26"/>
        </w:rPr>
        <w:t>Phase 1 target areas</w:t>
      </w:r>
    </w:p>
    <w:p>
      <w:pPr>
        <w:pStyle w:val="ListBullet"/>
        <w:spacing w:after="60" w:before="20"/>
      </w:pPr>
      <w:r>
        <w:rPr>
          <w:rFonts w:ascii="Calibri" w:hAnsi="Calibri"/>
          <w:color w:val="555555"/>
          <w:sz w:val="22"/>
        </w:rPr>
        <w:t>Johannesburg (Sandton, Fourways, Midrand, Roodepoort)</w:t>
      </w:r>
    </w:p>
    <w:p>
      <w:pPr>
        <w:pStyle w:val="ListBullet"/>
        <w:spacing w:after="60" w:before="20"/>
      </w:pPr>
      <w:r>
        <w:rPr>
          <w:rFonts w:ascii="Calibri" w:hAnsi="Calibri"/>
          <w:color w:val="555555"/>
          <w:sz w:val="22"/>
        </w:rPr>
        <w:t>Pretoria (Centurion, Waterkloof, Menlyn)</w:t>
      </w:r>
    </w:p>
    <w:p>
      <w:pPr>
        <w:pStyle w:val="ListBullet"/>
        <w:spacing w:after="60" w:before="20"/>
      </w:pPr>
      <w:r>
        <w:rPr>
          <w:rFonts w:ascii="Calibri" w:hAnsi="Calibri"/>
          <w:color w:val="555555"/>
          <w:sz w:val="22"/>
        </w:rPr>
        <w:t>East Rand (Edenvale, Bedfordview, Boksburg)</w:t>
      </w:r>
    </w:p>
    <w:p>
      <w:pPr>
        <w:pStyle w:val="ListBullet"/>
        <w:spacing w:after="60" w:before="20"/>
      </w:pPr>
      <w:r>
        <w:rPr>
          <w:rFonts w:ascii="Calibri" w:hAnsi="Calibri"/>
          <w:color w:val="555555"/>
          <w:sz w:val="22"/>
        </w:rPr>
        <w:t>West Rand (Ruimsig, Honeydew, Constantia Kloof)</w:t>
      </w:r>
    </w:p>
    <w:p>
      <w:pPr>
        <w:pBdr>
          <w:bottom w:val="single" w:sz="12" w:space="1" w:color="D61F6B"/>
        </w:pBdr>
        <w:spacing w:before="360" w:after="120"/>
      </w:pPr>
      <w:r>
        <w:rPr>
          <w:rFonts w:ascii="Calibri" w:hAnsi="Calibri"/>
          <w:b/>
          <w:color w:val="1A1A1A"/>
          <w:sz w:val="32"/>
        </w:rPr>
        <w:t>8. Why Clients Choose Prime Nanny</w:t>
      </w:r>
    </w:p>
    <w:p>
      <w:pPr>
        <w:spacing w:after="100" w:before="60"/>
      </w:pPr>
      <w:r>
        <w:rPr>
          <w:rFonts w:ascii="Calibri" w:hAnsi="Calibri"/>
          <w:b/>
          <w:color w:val="1A1A1A"/>
          <w:sz w:val="22"/>
        </w:rPr>
        <w:t xml:space="preserve">Proper verification. </w:t>
      </w:r>
      <w:r>
        <w:rPr>
          <w:rFonts w:ascii="Calibri" w:hAnsi="Calibri"/>
          <w:color w:val="555555"/>
          <w:sz w:val="22"/>
        </w:rPr>
        <w:t>Every candidate goes through a SAPS criminal check, ID verification, reference calls, and a skills interview before being presented to a client.</w:t>
      </w:r>
    </w:p>
    <w:p>
      <w:pPr>
        <w:spacing w:after="100" w:before="60"/>
      </w:pPr>
      <w:r>
        <w:rPr>
          <w:rFonts w:ascii="Calibri" w:hAnsi="Calibri"/>
          <w:b/>
          <w:color w:val="1A1A1A"/>
          <w:sz w:val="22"/>
        </w:rPr>
        <w:t xml:space="preserve">Matched to the household. </w:t>
      </w:r>
      <w:r>
        <w:rPr>
          <w:rFonts w:ascii="Calibri" w:hAnsi="Calibri"/>
          <w:color w:val="555555"/>
          <w:sz w:val="22"/>
        </w:rPr>
        <w:t>We take time to understand the household before searching. Hours, children's ages, pets, language, live-in or live-out. All factored in.</w:t>
      </w:r>
    </w:p>
    <w:p>
      <w:pPr>
        <w:spacing w:after="100" w:before="60"/>
      </w:pPr>
      <w:r>
        <w:rPr>
          <w:rFonts w:ascii="Calibri" w:hAnsi="Calibri"/>
          <w:b/>
          <w:color w:val="1A1A1A"/>
          <w:sz w:val="22"/>
        </w:rPr>
        <w:t xml:space="preserve">30-day replacement guarantee. </w:t>
      </w:r>
      <w:r>
        <w:rPr>
          <w:rFonts w:ascii="Calibri" w:hAnsi="Calibri"/>
          <w:color w:val="555555"/>
          <w:sz w:val="22"/>
        </w:rPr>
        <w:t>If a placement does not work out within 30 days, we find a replacement at no extra charge.</w:t>
      </w:r>
    </w:p>
    <w:p>
      <w:pPr>
        <w:pBdr>
          <w:bottom w:val="single" w:sz="12" w:space="1" w:color="D61F6B"/>
        </w:pBdr>
        <w:spacing w:before="360" w:after="120"/>
      </w:pPr>
      <w:r>
        <w:rPr>
          <w:rFonts w:ascii="Calibri" w:hAnsi="Calibri"/>
          <w:b/>
          <w:color w:val="1A1A1A"/>
          <w:sz w:val="32"/>
        </w:rPr>
        <w:t>9. Legal and Compliance</w:t>
      </w:r>
    </w:p>
    <w:p>
      <w:pPr>
        <w:spacing w:before="160" w:after="80"/>
      </w:pPr>
      <w:r>
        <w:rPr>
          <w:rFonts w:ascii="Calibri" w:hAnsi="Calibri"/>
          <w:b/>
          <w:color w:val="D61F6B"/>
          <w:sz w:val="26"/>
        </w:rPr>
        <w:t>Business setup</w:t>
      </w:r>
    </w:p>
    <w:p>
      <w:pPr>
        <w:pStyle w:val="ListBullet"/>
        <w:spacing w:after="60" w:before="20"/>
      </w:pPr>
      <w:r>
        <w:rPr>
          <w:rFonts w:ascii="Calibri" w:hAnsi="Calibri"/>
          <w:color w:val="555555"/>
          <w:sz w:val="22"/>
        </w:rPr>
        <w:t>Register as a (Pty) Ltd with CIPC</w:t>
      </w:r>
    </w:p>
    <w:p>
      <w:pPr>
        <w:pStyle w:val="ListBullet"/>
        <w:spacing w:after="60" w:before="20"/>
      </w:pPr>
      <w:r>
        <w:rPr>
          <w:rFonts w:ascii="Calibri" w:hAnsi="Calibri"/>
          <w:color w:val="555555"/>
          <w:sz w:val="22"/>
        </w:rPr>
        <w:t>Register with SARS for income tax</w:t>
      </w:r>
    </w:p>
    <w:p>
      <w:pPr>
        <w:pStyle w:val="ListBullet"/>
        <w:spacing w:after="60" w:before="20"/>
      </w:pPr>
      <w:r>
        <w:rPr>
          <w:rFonts w:ascii="Calibri" w:hAnsi="Calibri"/>
          <w:color w:val="555555"/>
          <w:sz w:val="22"/>
        </w:rPr>
        <w:t>Open a dedicated business bank account</w:t>
      </w:r>
    </w:p>
    <w:p>
      <w:pPr>
        <w:pStyle w:val="ListBullet"/>
        <w:spacing w:after="60" w:before="20"/>
      </w:pPr>
      <w:r>
        <w:rPr>
          <w:rFonts w:ascii="Calibri" w:hAnsi="Calibri"/>
          <w:color w:val="555555"/>
          <w:sz w:val="22"/>
        </w:rPr>
        <w:t>Basic bookkeeping from day one</w:t>
      </w:r>
    </w:p>
    <w:p>
      <w:pPr>
        <w:spacing w:before="200" w:after="80"/>
      </w:pPr>
      <w:r>
        <w:rPr>
          <w:rFonts w:ascii="Calibri" w:hAnsi="Calibri"/>
          <w:b/>
          <w:color w:val="1A1A1A"/>
          <w:sz w:val="26"/>
        </w:rPr>
        <w:t>Placement compliance</w:t>
      </w:r>
    </w:p>
    <w:p>
      <w:pPr>
        <w:pStyle w:val="ListBullet"/>
        <w:spacing w:after="60" w:before="20"/>
      </w:pPr>
      <w:r>
        <w:rPr>
          <w:rFonts w:ascii="Calibri" w:hAnsi="Calibri"/>
          <w:color w:val="555555"/>
          <w:sz w:val="22"/>
        </w:rPr>
        <w:t>POPIA compliance for storing candidate personal data</w:t>
      </w:r>
    </w:p>
    <w:p>
      <w:pPr>
        <w:pStyle w:val="ListBullet"/>
        <w:spacing w:after="60" w:before="20"/>
      </w:pPr>
      <w:r>
        <w:rPr>
          <w:rFonts w:ascii="Calibri" w:hAnsi="Calibri"/>
          <w:color w:val="555555"/>
          <w:sz w:val="22"/>
        </w:rPr>
        <w:t>Candidate consent forms before any background check</w:t>
      </w:r>
    </w:p>
    <w:p>
      <w:pPr>
        <w:pStyle w:val="ListBullet"/>
        <w:spacing w:after="60" w:before="20"/>
      </w:pPr>
      <w:r>
        <w:rPr>
          <w:rFonts w:ascii="Calibri" w:hAnsi="Calibri"/>
          <w:color w:val="555555"/>
          <w:sz w:val="22"/>
        </w:rPr>
        <w:t>Placement confirmation letter for client and worker</w:t>
      </w:r>
    </w:p>
    <w:p>
      <w:pPr>
        <w:pStyle w:val="ListBullet"/>
        <w:spacing w:after="60" w:before="20"/>
      </w:pPr>
      <w:r>
        <w:rPr>
          <w:rFonts w:ascii="Calibri" w:hAnsi="Calibri"/>
          <w:color w:val="555555"/>
          <w:sz w:val="22"/>
        </w:rPr>
        <w:t>Clear scope: Prime Nanny is a placement agency, not the employer</w:t>
      </w:r>
    </w:p>
    <w:p>
      <w:pPr>
        <w:pBdr>
          <w:bottom w:val="single" w:sz="12" w:space="1" w:color="D61F6B"/>
        </w:pBdr>
        <w:spacing w:before="360" w:after="120"/>
      </w:pPr>
      <w:r>
        <w:rPr>
          <w:rFonts w:ascii="Calibri" w:hAnsi="Calibri"/>
          <w:b/>
          <w:color w:val="1A1A1A"/>
          <w:sz w:val="32"/>
        </w:rPr>
        <w:t>10. How We Find Clients</w:t>
      </w:r>
    </w:p>
    <w:p>
      <w:pPr>
        <w:spacing w:before="200" w:after="80"/>
      </w:pPr>
      <w:r>
        <w:rPr>
          <w:rFonts w:ascii="Calibri" w:hAnsi="Calibri"/>
          <w:b/>
          <w:color w:val="D61F6B"/>
          <w:sz w:val="26"/>
        </w:rPr>
        <w:t>Digital</w:t>
      </w:r>
    </w:p>
    <w:p>
      <w:pPr>
        <w:pStyle w:val="ListBullet"/>
        <w:spacing w:after="60" w:before="20"/>
      </w:pPr>
      <w:r>
        <w:rPr>
          <w:rFonts w:ascii="Calibri" w:hAnsi="Calibri"/>
          <w:color w:val="555555"/>
          <w:sz w:val="22"/>
        </w:rPr>
        <w:t>Facebook and Instagram ads targeting Joburg families</w:t>
      </w:r>
    </w:p>
    <w:p>
      <w:pPr>
        <w:pStyle w:val="ListBullet"/>
        <w:spacing w:after="60" w:before="20"/>
      </w:pPr>
      <w:r>
        <w:rPr>
          <w:rFonts w:ascii="Calibri" w:hAnsi="Calibri"/>
          <w:color w:val="555555"/>
          <w:sz w:val="22"/>
        </w:rPr>
        <w:t>Google ads (e.g. nanny agency Johannesburg)</w:t>
      </w:r>
    </w:p>
    <w:p>
      <w:pPr>
        <w:pStyle w:val="ListBullet"/>
        <w:spacing w:after="60" w:before="20"/>
      </w:pPr>
      <w:r>
        <w:rPr>
          <w:rFonts w:ascii="Calibri" w:hAnsi="Calibri"/>
          <w:color w:val="555555"/>
          <w:sz w:val="22"/>
        </w:rPr>
        <w:t>WhatsApp Business for intake and candidate communication</w:t>
      </w:r>
    </w:p>
    <w:p>
      <w:pPr>
        <w:pStyle w:val="ListBullet"/>
        <w:spacing w:after="60" w:before="20"/>
      </w:pPr>
      <w:r>
        <w:rPr>
          <w:rFonts w:ascii="Calibri" w:hAnsi="Calibri"/>
          <w:color w:val="555555"/>
          <w:sz w:val="22"/>
        </w:rPr>
        <w:t>A clean website with a simple intake form</w:t>
      </w:r>
    </w:p>
    <w:p>
      <w:pPr>
        <w:spacing w:before="200" w:after="80"/>
      </w:pPr>
      <w:r>
        <w:rPr>
          <w:rFonts w:ascii="Calibri" w:hAnsi="Calibri"/>
          <w:b/>
          <w:color w:val="D61F6B"/>
          <w:sz w:val="26"/>
        </w:rPr>
        <w:t>Word of mouth</w:t>
      </w:r>
    </w:p>
    <w:p>
      <w:pPr>
        <w:pStyle w:val="ListBullet"/>
        <w:spacing w:after="60" w:before="20"/>
      </w:pPr>
      <w:r>
        <w:rPr>
          <w:rFonts w:ascii="Calibri" w:hAnsi="Calibri"/>
          <w:color w:val="555555"/>
          <w:sz w:val="22"/>
        </w:rPr>
        <w:t>R500 referral credit for every successful placement referral</w:t>
      </w:r>
    </w:p>
    <w:p>
      <w:pPr>
        <w:pStyle w:val="ListBullet"/>
        <w:spacing w:after="60" w:before="20"/>
      </w:pPr>
      <w:r>
        <w:rPr>
          <w:rFonts w:ascii="Calibri" w:hAnsi="Calibri"/>
          <w:color w:val="555555"/>
          <w:sz w:val="22"/>
        </w:rPr>
        <w:t>Active in Joburg family and mom WhatsApp and Facebook groups</w:t>
      </w:r>
    </w:p>
    <w:p>
      <w:pPr>
        <w:pStyle w:val="ListBullet"/>
        <w:spacing w:after="60" w:before="20"/>
      </w:pPr>
      <w:r>
        <w:rPr>
          <w:rFonts w:ascii="Calibri" w:hAnsi="Calibri"/>
          <w:color w:val="555555"/>
          <w:sz w:val="22"/>
        </w:rPr>
        <w:t>Estate agent partnerships (new homeowners often need domestic help)</w:t>
      </w:r>
    </w:p>
    <w:p>
      <w:pPr>
        <w:pStyle w:val="ListBullet"/>
        <w:spacing w:after="60" w:before="20"/>
      </w:pPr>
      <w:r>
        <w:rPr>
          <w:rFonts w:ascii="Calibri" w:hAnsi="Calibri"/>
          <w:color w:val="555555"/>
          <w:sz w:val="22"/>
        </w:rPr>
        <w:t>Parenting community connections</w:t>
      </w:r>
    </w:p>
    <w:p>
      <w:pPr>
        <w:spacing w:before="200" w:after="80"/>
      </w:pPr>
      <w:r>
        <w:rPr>
          <w:rFonts w:ascii="Calibri" w:hAnsi="Calibri"/>
          <w:b/>
          <w:color w:val="D61F6B"/>
          <w:sz w:val="26"/>
        </w:rPr>
        <w:t>Business clients</w:t>
      </w:r>
    </w:p>
    <w:p>
      <w:pPr>
        <w:pStyle w:val="ListBullet"/>
        <w:spacing w:after="60" w:before="20"/>
      </w:pPr>
      <w:r>
        <w:rPr>
          <w:rFonts w:ascii="Calibri" w:hAnsi="Calibri"/>
          <w:color w:val="555555"/>
          <w:sz w:val="22"/>
        </w:rPr>
        <w:t>Guesthouses and B&amp;Bs needing domestic cover</w:t>
      </w:r>
    </w:p>
    <w:p>
      <w:pPr>
        <w:pStyle w:val="ListBullet"/>
        <w:spacing w:after="60" w:before="20"/>
      </w:pPr>
      <w:r>
        <w:rPr>
          <w:rFonts w:ascii="Calibri" w:hAnsi="Calibri"/>
          <w:color w:val="555555"/>
          <w:sz w:val="22"/>
        </w:rPr>
        <w:t>Corporate relocation companies</w:t>
      </w:r>
    </w:p>
    <w:p>
      <w:pPr>
        <w:pStyle w:val="ListBullet"/>
        <w:spacing w:after="60" w:before="20"/>
      </w:pPr>
      <w:r>
        <w:rPr>
          <w:rFonts w:ascii="Calibri" w:hAnsi="Calibri"/>
          <w:color w:val="555555"/>
          <w:sz w:val="22"/>
        </w:rPr>
        <w:t>Retirement villages needing home care staff</w:t>
      </w:r>
    </w:p>
    <w:p>
      <w:pPr>
        <w:pStyle w:val="ListBullet"/>
        <w:spacing w:after="60" w:before="20"/>
      </w:pPr>
      <w:r>
        <w:rPr>
          <w:rFonts w:ascii="Calibri" w:hAnsi="Calibri"/>
          <w:color w:val="555555"/>
          <w:sz w:val="22"/>
        </w:rPr>
        <w:t>Small businesses with cleaning or hospitality needs</w:t>
      </w:r>
    </w:p>
    <w:p>
      <w:pPr>
        <w:pBdr>
          <w:bottom w:val="single" w:sz="12" w:space="1" w:color="D61F6B"/>
        </w:pBdr>
        <w:spacing w:before="360" w:after="120"/>
      </w:pPr>
      <w:r>
        <w:rPr>
          <w:rFonts w:ascii="Calibri" w:hAnsi="Calibri"/>
          <w:b/>
          <w:color w:val="1A1A1A"/>
          <w:sz w:val="32"/>
        </w:rPr>
        <w:t>11. Roadmap</w:t>
      </w:r>
    </w:p>
    <w:p>
      <w:pPr>
        <w:shd w:val="clear" w:color="auto" w:fill="E8F0FE"/>
        <w:spacing w:before="200" w:after="80"/>
      </w:pPr>
      <w:r>
        <w:rPr>
          <w:rFonts w:ascii="Calibri" w:hAnsi="Calibri"/>
          <w:b/>
          <w:color w:val="1A1A1A"/>
          <w:sz w:val="22"/>
        </w:rPr>
        <w:t xml:space="preserve">  Phase 1: Months 1 to 3  </w:t>
      </w:r>
    </w:p>
    <w:p>
      <w:pPr>
        <w:pStyle w:val="ListBullet"/>
        <w:spacing w:after="60" w:before="20"/>
      </w:pPr>
      <w:r>
        <w:rPr>
          <w:rFonts w:ascii="Calibri" w:hAnsi="Calibri"/>
          <w:color w:val="555555"/>
          <w:sz w:val="22"/>
        </w:rPr>
        <w:t>Register the business (CIPC)</w:t>
      </w:r>
    </w:p>
    <w:p>
      <w:pPr>
        <w:pStyle w:val="ListBullet"/>
        <w:spacing w:after="60" w:before="20"/>
      </w:pPr>
      <w:r>
        <w:rPr>
          <w:rFonts w:ascii="Calibri" w:hAnsi="Calibri"/>
          <w:color w:val="555555"/>
          <w:sz w:val="22"/>
        </w:rPr>
        <w:t>Build a screened candidate pool of 50+ workers</w:t>
      </w:r>
    </w:p>
    <w:p>
      <w:pPr>
        <w:pStyle w:val="ListBullet"/>
        <w:spacing w:after="60" w:before="20"/>
      </w:pPr>
      <w:r>
        <w:rPr>
          <w:rFonts w:ascii="Calibri" w:hAnsi="Calibri"/>
          <w:color w:val="555555"/>
          <w:sz w:val="22"/>
        </w:rPr>
        <w:t>Launch website and WhatsApp intake</w:t>
      </w:r>
    </w:p>
    <w:p>
      <w:pPr>
        <w:pStyle w:val="ListBullet"/>
        <w:spacing w:after="60" w:before="20"/>
      </w:pPr>
      <w:r>
        <w:rPr>
          <w:rFonts w:ascii="Calibri" w:hAnsi="Calibri"/>
          <w:color w:val="555555"/>
          <w:sz w:val="22"/>
        </w:rPr>
        <w:t>First 10 paid placements</w:t>
      </w:r>
    </w:p>
    <w:p>
      <w:pPr>
        <w:pStyle w:val="ListBullet"/>
        <w:spacing w:after="60" w:before="20"/>
      </w:pPr>
      <w:r>
        <w:rPr>
          <w:rFonts w:ascii="Calibri" w:hAnsi="Calibri"/>
          <w:color w:val="555555"/>
          <w:sz w:val="22"/>
        </w:rPr>
        <w:t>Start building a referral network</w:t>
      </w:r>
    </w:p>
    <w:p>
      <w:pPr>
        <w:shd w:val="clear" w:color="auto" w:fill="FFF8E1"/>
        <w:spacing w:before="200" w:after="80"/>
      </w:pPr>
      <w:r>
        <w:rPr>
          <w:rFonts w:ascii="Calibri" w:hAnsi="Calibri"/>
          <w:b/>
          <w:color w:val="1A1A1A"/>
          <w:sz w:val="22"/>
        </w:rPr>
        <w:t xml:space="preserve">  Phase 2: Months 4 to 9  </w:t>
      </w:r>
    </w:p>
    <w:p>
      <w:pPr>
        <w:pStyle w:val="ListBullet"/>
        <w:spacing w:after="60" w:before="20"/>
      </w:pPr>
      <w:r>
        <w:rPr>
          <w:rFonts w:ascii="Calibri" w:hAnsi="Calibri"/>
          <w:color w:val="555555"/>
          <w:sz w:val="22"/>
        </w:rPr>
        <w:t>Paid social ads live</w:t>
      </w:r>
    </w:p>
    <w:p>
      <w:pPr>
        <w:pStyle w:val="ListBullet"/>
        <w:spacing w:after="60" w:before="20"/>
      </w:pPr>
      <w:r>
        <w:rPr>
          <w:rFonts w:ascii="Calibri" w:hAnsi="Calibri"/>
          <w:color w:val="555555"/>
          <w:sz w:val="22"/>
        </w:rPr>
        <w:t>Introduce short-term and temp placements</w:t>
      </w:r>
    </w:p>
    <w:p>
      <w:pPr>
        <w:pStyle w:val="ListBullet"/>
        <w:spacing w:after="60" w:before="20"/>
      </w:pPr>
      <w:r>
        <w:rPr>
          <w:rFonts w:ascii="Calibri" w:hAnsi="Calibri"/>
          <w:color w:val="555555"/>
          <w:sz w:val="22"/>
        </w:rPr>
        <w:t>First corporate or B2B client</w:t>
      </w:r>
    </w:p>
    <w:p>
      <w:pPr>
        <w:pStyle w:val="ListBullet"/>
        <w:spacing w:after="60" w:before="20"/>
      </w:pPr>
      <w:r>
        <w:rPr>
          <w:rFonts w:ascii="Calibri" w:hAnsi="Calibri"/>
          <w:color w:val="555555"/>
          <w:sz w:val="22"/>
        </w:rPr>
        <w:t>Expand into more Gauteng areas</w:t>
      </w:r>
    </w:p>
    <w:p>
      <w:pPr>
        <w:pStyle w:val="ListBullet"/>
        <w:spacing w:after="60" w:before="20"/>
      </w:pPr>
      <w:r>
        <w:rPr>
          <w:rFonts w:ascii="Calibri" w:hAnsi="Calibri"/>
          <w:color w:val="555555"/>
          <w:sz w:val="22"/>
        </w:rPr>
        <w:t>Build a testimonial base</w:t>
      </w:r>
    </w:p>
    <w:p>
      <w:pPr>
        <w:shd w:val="clear" w:color="auto" w:fill="E8F5E9"/>
        <w:spacing w:before="200" w:after="80"/>
      </w:pPr>
      <w:r>
        <w:rPr>
          <w:rFonts w:ascii="Calibri" w:hAnsi="Calibri"/>
          <w:b/>
          <w:color w:val="1A1A1A"/>
          <w:sz w:val="22"/>
        </w:rPr>
        <w:t xml:space="preserve">  Phase 3: Months 10 to 18  </w:t>
      </w:r>
    </w:p>
    <w:p>
      <w:pPr>
        <w:pStyle w:val="ListBullet"/>
        <w:spacing w:after="60" w:before="20"/>
      </w:pPr>
      <w:r>
        <w:rPr>
          <w:rFonts w:ascii="Calibri" w:hAnsi="Calibri"/>
          <w:color w:val="555555"/>
          <w:sz w:val="22"/>
        </w:rPr>
        <w:t>Hire a part-time recruiter</w:t>
      </w:r>
    </w:p>
    <w:p>
      <w:pPr>
        <w:pStyle w:val="ListBullet"/>
        <w:spacing w:after="60" w:before="20"/>
      </w:pPr>
      <w:r>
        <w:rPr>
          <w:rFonts w:ascii="Calibri" w:hAnsi="Calibri"/>
          <w:color w:val="555555"/>
          <w:sz w:val="22"/>
        </w:rPr>
        <w:t>Add optional compliance support for clients (UIF, payslips)</w:t>
      </w:r>
    </w:p>
    <w:p>
      <w:pPr>
        <w:pStyle w:val="ListBullet"/>
        <w:spacing w:after="60" w:before="20"/>
      </w:pPr>
      <w:r>
        <w:rPr>
          <w:rFonts w:ascii="Calibri" w:hAnsi="Calibri"/>
          <w:color w:val="555555"/>
          <w:sz w:val="22"/>
        </w:rPr>
        <w:t>Grow to full Gauteng coverage</w:t>
      </w:r>
    </w:p>
    <w:p>
      <w:pPr>
        <w:pStyle w:val="ListBullet"/>
        <w:spacing w:after="60" w:before="20"/>
      </w:pPr>
      <w:r>
        <w:rPr>
          <w:rFonts w:ascii="Calibri" w:hAnsi="Calibri"/>
          <w:color w:val="555555"/>
          <w:sz w:val="22"/>
        </w:rPr>
        <w:t>Target R600K annual revenue</w:t>
      </w:r>
    </w:p>
    <w:p>
      <w:pPr>
        <w:shd w:val="clear" w:color="auto" w:fill="F3E5F5"/>
        <w:spacing w:before="200" w:after="80"/>
      </w:pPr>
      <w:r>
        <w:rPr>
          <w:rFonts w:ascii="Calibri" w:hAnsi="Calibri"/>
          <w:b/>
          <w:color w:val="1A1A1A"/>
          <w:sz w:val="22"/>
        </w:rPr>
        <w:t xml:space="preserve">  Phase 4: Year 2 to 3  </w:t>
      </w:r>
    </w:p>
    <w:p>
      <w:pPr>
        <w:pStyle w:val="ListBullet"/>
        <w:spacing w:after="60" w:before="20"/>
      </w:pPr>
      <w:r>
        <w:rPr>
          <w:rFonts w:ascii="Calibri" w:hAnsi="Calibri"/>
          <w:color w:val="555555"/>
          <w:sz w:val="22"/>
        </w:rPr>
        <w:t>Expand to other provinces</w:t>
      </w:r>
    </w:p>
    <w:p>
      <w:pPr>
        <w:pStyle w:val="ListBullet"/>
        <w:spacing w:after="60" w:before="20"/>
      </w:pPr>
      <w:r>
        <w:rPr>
          <w:rFonts w:ascii="Calibri" w:hAnsi="Calibri"/>
          <w:color w:val="555555"/>
          <w:sz w:val="22"/>
        </w:rPr>
        <w:t>Training and upskilling for candidates</w:t>
      </w:r>
    </w:p>
    <w:p>
      <w:pPr>
        <w:pStyle w:val="ListBullet"/>
        <w:spacing w:after="60" w:before="20"/>
      </w:pPr>
      <w:r>
        <w:rPr>
          <w:rFonts w:ascii="Calibri" w:hAnsi="Calibri"/>
          <w:color w:val="555555"/>
          <w:sz w:val="22"/>
        </w:rPr>
        <w:t>Online client intake portal</w:t>
      </w:r>
    </w:p>
    <w:p>
      <w:pPr>
        <w:pStyle w:val="ListBullet"/>
        <w:spacing w:after="60" w:before="20"/>
      </w:pPr>
      <w:r>
        <w:rPr>
          <w:rFonts w:ascii="Calibri" w:hAnsi="Calibri"/>
          <w:color w:val="555555"/>
          <w:sz w:val="22"/>
        </w:rPr>
        <w:t>Target R1.2M+ revenue</w:t>
      </w:r>
    </w:p>
    <w:p>
      <w:pPr>
        <w:pBdr>
          <w:bottom w:val="single" w:sz="12" w:space="1" w:color="D61F6B"/>
        </w:pBdr>
        <w:spacing w:before="360" w:after="120"/>
      </w:pPr>
      <w:r>
        <w:rPr>
          <w:rFonts w:ascii="Calibri" w:hAnsi="Calibri"/>
          <w:b/>
          <w:color w:val="1A1A1A"/>
          <w:sz w:val="32"/>
        </w:rPr>
        <w:t>12. Risks and How to Handle Them</w:t>
      </w:r>
    </w:p>
    <w:p>
      <w:pPr>
        <w:spacing w:after="100" w:before="60"/>
      </w:pPr>
      <w:r>
        <w:rPr>
          <w:rFonts w:ascii="Calibri" w:hAnsi="Calibri"/>
          <w:b/>
          <w:color w:val="1A1A1A"/>
          <w:sz w:val="22"/>
        </w:rPr>
        <w:t xml:space="preserve">Worker does not work out after placement. </w:t>
      </w:r>
      <w:r>
        <w:rPr>
          <w:rFonts w:ascii="Calibri" w:hAnsi="Calibri"/>
          <w:color w:val="555555"/>
          <w:sz w:val="22"/>
        </w:rPr>
        <w:t>The 30-day free replacement policy handles this. Keep a reserve pool of pre-screened candidates so you can act quickly when needed.</w:t>
      </w:r>
    </w:p>
    <w:p>
      <w:pPr>
        <w:spacing w:after="100" w:before="60"/>
      </w:pPr>
      <w:r>
        <w:rPr>
          <w:rFonts w:ascii="Calibri" w:hAnsi="Calibri"/>
          <w:b/>
          <w:color w:val="1A1A1A"/>
          <w:sz w:val="22"/>
        </w:rPr>
        <w:t xml:space="preserve">Slow client acquisition in the early months. </w:t>
      </w:r>
      <w:r>
        <w:rPr>
          <w:rFonts w:ascii="Calibri" w:hAnsi="Calibri"/>
          <w:color w:val="555555"/>
          <w:sz w:val="22"/>
        </w:rPr>
        <w:t>Start with personal networks and targeted Facebook ads. Offer the first few clients a slightly reduced rate in exchange for a review or referral.</w:t>
      </w:r>
    </w:p>
    <w:p>
      <w:pPr>
        <w:spacing w:after="100" w:before="60"/>
      </w:pPr>
      <w:r>
        <w:rPr>
          <w:rFonts w:ascii="Calibri" w:hAnsi="Calibri"/>
          <w:b/>
          <w:color w:val="1A1A1A"/>
          <w:sz w:val="22"/>
        </w:rPr>
        <w:t xml:space="preserve">POPIA and data handling compliance. </w:t>
      </w:r>
      <w:r>
        <w:rPr>
          <w:rFonts w:ascii="Calibri" w:hAnsi="Calibri"/>
          <w:color w:val="555555"/>
          <w:sz w:val="22"/>
        </w:rPr>
        <w:t>Use candidate consent forms from day one before storing any personal data. Budget a small amount for a once-off legal review of your forms.</w:t>
      </w:r>
    </w:p>
    <w:p>
      <w:pPr>
        <w:spacing w:after="100" w:before="60"/>
      </w:pPr>
      <w:r>
        <w:rPr>
          <w:rFonts w:ascii="Calibri" w:hAnsi="Calibri"/>
          <w:b/>
          <w:color w:val="1A1A1A"/>
          <w:sz w:val="22"/>
        </w:rPr>
        <w:t xml:space="preserve">Competition from Facebook groups and informal referrals. </w:t>
      </w:r>
      <w:r>
        <w:rPr>
          <w:rFonts w:ascii="Calibri" w:hAnsi="Calibri"/>
          <w:color w:val="555555"/>
          <w:sz w:val="22"/>
        </w:rPr>
        <w:t>You are not competing on price. Families using informal channels are your target market once they have had a bad experience and want something more reliable.</w:t>
      </w:r>
    </w:p>
    <w:p>
      <w:pPr>
        <w:spacing w:after="100" w:before="60"/>
      </w:pPr>
      <w:r>
        <w:rPr>
          <w:rFonts w:ascii="Calibri" w:hAnsi="Calibri"/>
          <w:b/>
          <w:color w:val="1A1A1A"/>
          <w:sz w:val="22"/>
        </w:rPr>
        <w:t xml:space="preserve">Confusion about employment responsibility. </w:t>
      </w:r>
      <w:r>
        <w:rPr>
          <w:rFonts w:ascii="Calibri" w:hAnsi="Calibri"/>
          <w:color w:val="555555"/>
          <w:sz w:val="22"/>
        </w:rPr>
        <w:t>Be clear in all client communication that Prime Nanny is a placement agency. The household is the employer, and salary is agreed directly with the worker.</w:t>
      </w:r>
    </w:p>
    <w:p>
      <w:pPr>
        <w:pBdr>
          <w:bottom w:val="single" w:sz="12" w:space="1" w:color="D61F6B"/>
        </w:pBdr>
        <w:spacing w:before="360" w:after="120"/>
      </w:pPr>
      <w:r>
        <w:rPr>
          <w:rFonts w:ascii="Calibri" w:hAnsi="Calibri"/>
          <w:b/>
          <w:color w:val="1A1A1A"/>
          <w:sz w:val="32"/>
        </w:rPr>
        <w:t>13. Where the Business Can Go</w:t>
      </w:r>
    </w:p>
    <w:p>
      <w:pPr>
        <w:spacing w:after="120" w:before="60"/>
      </w:pPr>
      <w:r>
        <w:rPr>
          <w:rFonts w:ascii="Calibri" w:hAnsi="Calibri"/>
          <w:b/>
          <w:color w:val="D61F6B"/>
          <w:sz w:val="22"/>
        </w:rPr>
        <w:t xml:space="preserve">Short-term and temp placements. </w:t>
      </w:r>
      <w:r>
        <w:rPr>
          <w:rFonts w:ascii="Calibri" w:hAnsi="Calibri"/>
          <w:color w:val="555555"/>
          <w:sz w:val="22"/>
        </w:rPr>
        <w:t>Build a pool of on-call workers available for holiday cover and emergencies. Charge a flat daily fee to the client on top of whatever the worker charges.</w:t>
      </w:r>
    </w:p>
    <w:p>
      <w:pPr>
        <w:spacing w:after="120" w:before="60"/>
      </w:pPr>
      <w:r>
        <w:rPr>
          <w:rFonts w:ascii="Calibri" w:hAnsi="Calibri"/>
          <w:b/>
          <w:color w:val="D61F6B"/>
          <w:sz w:val="22"/>
        </w:rPr>
        <w:t xml:space="preserve">Compliance support (optional add-on). </w:t>
      </w:r>
      <w:r>
        <w:rPr>
          <w:rFonts w:ascii="Calibri" w:hAnsi="Calibri"/>
          <w:color w:val="555555"/>
          <w:sz w:val="22"/>
        </w:rPr>
        <w:t>Offer clients optional help with UIF registration and payslips for a small monthly fee. Not the core business, but adds recurring revenue without much extra work.</w:t>
      </w:r>
    </w:p>
    <w:p>
      <w:pPr>
        <w:spacing w:after="120" w:before="60"/>
      </w:pPr>
      <w:r>
        <w:rPr>
          <w:rFonts w:ascii="Calibri" w:hAnsi="Calibri"/>
          <w:b/>
          <w:color w:val="D61F6B"/>
          <w:sz w:val="22"/>
        </w:rPr>
        <w:t xml:space="preserve">Worker upskilling. </w:t>
      </w:r>
      <w:r>
        <w:rPr>
          <w:rFonts w:ascii="Calibri" w:hAnsi="Calibri"/>
          <w:color w:val="555555"/>
          <w:sz w:val="22"/>
        </w:rPr>
        <w:t>Offer short training courses to candidates (infant care, elderly care basics, food handling). Better trained workers are easier to place and command higher salaries.</w:t>
      </w:r>
    </w:p>
    <w:p>
      <w:pPr>
        <w:spacing w:after="120" w:before="60"/>
      </w:pPr>
      <w:r>
        <w:rPr>
          <w:rFonts w:ascii="Calibri" w:hAnsi="Calibri"/>
          <w:b/>
          <w:color w:val="D61F6B"/>
          <w:sz w:val="22"/>
        </w:rPr>
        <w:t xml:space="preserve">Employer liability insurance. </w:t>
      </w:r>
      <w:r>
        <w:rPr>
          <w:rFonts w:ascii="Calibri" w:hAnsi="Calibri"/>
          <w:color w:val="555555"/>
          <w:sz w:val="22"/>
        </w:rPr>
        <w:t>Partner with an insurer to offer household employer cover. You earn a referral fee on each policy while giving clients extra confidence in the placement.</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8"/>
      </w:rPr>
      <w:t xml:space="preserve">Prime Nanny · Business Plan 2026    |    Page </w:t>
    </w:r>
    <w:r>
      <w:rPr>
        <w:color w:val="999999"/>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