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Prime Vantage</w:t>
      </w:r>
    </w:p>
    <w:p>
      <w:pPr>
        <w:spacing w:after="320"/>
      </w:pPr>
      <w:r>
        <w:rPr>
          <w:color w:val="555555"/>
          <w:sz w:val="26"/>
          <w:szCs w:val="26"/>
        </w:rPr>
        <w:t xml:space="preserve">Scope of Work and Phase Breakdown</w:t>
      </w:r>
    </w:p>
    <w:p>
      <w:pPr>
        <w:pStyle w:val="Heading1"/>
      </w:pPr>
      <w:r>
        <w:t xml:space="preserve">Project overview</w:t>
      </w:r>
    </w:p>
    <w:p>
      <w:pPr>
        <w:spacing w:after="160"/>
      </w:pPr>
      <w:r>
        <w:t xml:space="preserve">Prime Vantage is a brokerage in the PEO, payroll, and HR space. The site's six-step discovery flow is its lead capture mechanism, and each completed submission is a commercially valuable lead.</w:t>
      </w:r>
    </w:p>
    <w:p>
      <w:pPr>
        <w:spacing w:after="160"/>
      </w:pPr>
      <w:r>
        <w:t xml:space="preserve">The existing site was generated by an AI site builder and deployed to Netlify. It is frontend only. The discovery flow collects a visitor's answers and then discards them: there is no database, no notification, and no dashboard. There is no source code repository connected.</w:t>
      </w:r>
    </w:p>
    <w:p>
      <w:pPr>
        <w:spacing w:after="160"/>
      </w:pPr>
      <w:r>
        <w:t xml:space="preserve">So this is a from-scratch build of both the site and the platform behind it. The visual design, copy, and branding of the current site are to be preserved so visitors see no difference. Everything underneath is new.</w:t>
      </w:r>
    </w:p>
    <w:p>
      <w:pPr>
        <w:spacing w:after="160" w:before="160"/>
      </w:pPr>
      <w:r>
        <w:rPr>
          <w:b/>
          <w:bCs/>
        </w:rPr>
        <w:t xml:space="preserve">The critical architectural constraint: </w:t>
      </w:r>
      <w:r>
        <w:t xml:space="preserve">the client expects ten or more white-label partners in year one. Multi-tenancy must be designed into the data model in Phase 1, even though partner portals are not built until Phase 3. Retrofitting it later means rebuilding the data layer.</w:t>
      </w:r>
    </w:p>
    <w:p>
      <w:pPr>
        <w:pStyle w:val="Heading1"/>
      </w:pPr>
      <w:r>
        <w:t xml:space="preserve">Access required to start</w:t>
      </w:r>
    </w:p>
    <w:p>
      <w:pPr>
        <w:pStyle w:val="ListParagraph"/>
        <w:numPr>
          <w:ilvl w:val="0"/>
          <w:numId w:val="2"/>
        </w:numPr>
      </w:pPr>
      <w:r>
        <w:t xml:space="preserve">Netlify account access (client will add a collaborator).</w:t>
      </w:r>
    </w:p>
    <w:p>
      <w:pPr>
        <w:pStyle w:val="ListParagraph"/>
        <w:numPr>
          <w:ilvl w:val="0"/>
          <w:numId w:val="2"/>
        </w:numPr>
      </w:pPr>
      <w:r>
        <w:t xml:space="preserve">Domain registrar or DNS access for the production domain.</w:t>
      </w:r>
    </w:p>
    <w:p>
      <w:pPr>
        <w:pStyle w:val="ListParagraph"/>
        <w:numPr>
          <w:ilvl w:val="0"/>
          <w:numId w:val="2"/>
        </w:numPr>
      </w:pPr>
      <w:r>
        <w:t xml:space="preserve">Confirmation of the production domain.</w:t>
      </w:r>
    </w:p>
    <w:p>
      <w:pPr>
        <w:pStyle w:val="ListParagraph"/>
        <w:numPr>
          <w:ilvl w:val="0"/>
          <w:numId w:val="2"/>
        </w:numPr>
      </w:pPr>
      <w:r>
        <w:t xml:space="preserve">Client logo files and brand colours.</w:t>
      </w:r>
    </w:p>
    <w:p>
      <w:pPr>
        <w:pStyle w:val="Heading1"/>
      </w:pPr>
      <w:r>
        <w:t xml:space="preserve">Phase 1: Foundation and launch</w:t>
      </w:r>
    </w:p>
    <w:p>
      <w:pPr>
        <w:spacing w:after="160"/>
      </w:pPr>
      <w:r>
        <w:rPr>
          <w:b/>
          <w:bCs/>
        </w:rPr>
        <w:t xml:space="preserve">Approximately 2 weeks</w:t>
      </w:r>
    </w:p>
    <w:p>
      <w:pPr>
        <w:spacing w:after="160"/>
      </w:pPr>
      <w:r>
        <w:t xml:space="preserve">Objective: every completed discovery flow is captured, stored, and surfaced to the client's team, reliably.</w:t>
      </w:r>
    </w:p>
    <w:p>
      <w:pPr>
        <w:pStyle w:val="Heading2"/>
      </w:pPr>
      <w:r>
        <w:t xml:space="preserve">Deliverables</w:t>
      </w:r>
    </w:p>
    <w:p>
      <w:pPr>
        <w:pStyle w:val="ListParagraph"/>
        <w:numPr>
          <w:ilvl w:val="0"/>
          <w:numId w:val="3"/>
        </w:numPr>
      </w:pPr>
      <w:r>
        <w:t xml:space="preserve">Site rebuilt to match the current design, copy, layout, and branding pixel for pixel where practical.</w:t>
      </w:r>
    </w:p>
    <w:p>
      <w:pPr>
        <w:pStyle w:val="ListParagraph"/>
        <w:numPr>
          <w:ilvl w:val="0"/>
          <w:numId w:val="3"/>
        </w:numPr>
      </w:pPr>
      <w:r>
        <w:t xml:space="preserve">Deployed to production on the client's own domain, with SSL and correct redirects.</w:t>
      </w:r>
    </w:p>
    <w:p>
      <w:pPr>
        <w:pStyle w:val="ListParagraph"/>
        <w:numPr>
          <w:ilvl w:val="0"/>
          <w:numId w:val="3"/>
        </w:numPr>
      </w:pPr>
      <w:r>
        <w:t xml:space="preserve">Database schema designed to support multi-tenancy from the outset (tenant or partner identifier on submissions and users, even though only one tenant exists at this stage).</w:t>
      </w:r>
    </w:p>
    <w:p>
      <w:pPr>
        <w:pStyle w:val="ListParagraph"/>
        <w:numPr>
          <w:ilvl w:val="0"/>
          <w:numId w:val="3"/>
        </w:numPr>
      </w:pPr>
      <w:r>
        <w:t xml:space="preserve">All six steps of the discovery flow persisted, including every answer rather than only contact fields. Partial or abandoned submissions should be considered.</w:t>
      </w:r>
    </w:p>
    <w:p>
      <w:pPr>
        <w:pStyle w:val="ListParagraph"/>
        <w:numPr>
          <w:ilvl w:val="0"/>
          <w:numId w:val="3"/>
        </w:numPr>
      </w:pPr>
      <w:r>
        <w:t xml:space="preserve">Transactional email notification on each new submission.</w:t>
      </w:r>
    </w:p>
    <w:p>
      <w:pPr>
        <w:pStyle w:val="ListParagraph"/>
        <w:numPr>
          <w:ilvl w:val="0"/>
          <w:numId w:val="3"/>
        </w:numPr>
      </w:pPr>
      <w:r>
        <w:t xml:space="preserve">Internal dashboard listing all leads, sorted by date, with a detail view showing the complete submission.</w:t>
      </w:r>
    </w:p>
    <w:p>
      <w:pPr>
        <w:pStyle w:val="ListParagraph"/>
        <w:numPr>
          <w:ilvl w:val="0"/>
          <w:numId w:val="3"/>
        </w:numPr>
      </w:pPr>
      <w:r>
        <w:t xml:space="preserve">Authentication protecting the dashboard.</w:t>
      </w:r>
    </w:p>
    <w:p>
      <w:pPr>
        <w:pStyle w:val="ListParagraph"/>
        <w:numPr>
          <w:ilvl w:val="0"/>
          <w:numId w:val="3"/>
        </w:numPr>
      </w:pPr>
      <w:r>
        <w:t xml:space="preserve">Responsive checks on mobile and tablet, page speed pass, and SEO basics (titles, meta descriptions, sitemap, correct canonical URLs).</w:t>
      </w:r>
    </w:p>
    <w:p>
      <w:pPr>
        <w:pStyle w:val="Heading2"/>
      </w:pPr>
      <w:r>
        <w:t xml:space="preserve">Out of scope for this phase</w:t>
      </w:r>
    </w:p>
    <w:p>
      <w:pPr>
        <w:pStyle w:val="ListParagraph"/>
        <w:numPr>
          <w:ilvl w:val="0"/>
          <w:numId w:val="3"/>
        </w:numPr>
      </w:pPr>
      <w:r>
        <w:t xml:space="preserve">Multiple user accounts, roles, or permissions.</w:t>
      </w:r>
    </w:p>
    <w:p>
      <w:pPr>
        <w:pStyle w:val="ListParagraph"/>
        <w:numPr>
          <w:ilvl w:val="0"/>
          <w:numId w:val="3"/>
        </w:numPr>
      </w:pPr>
      <w:r>
        <w:t xml:space="preserve">Assigning submissions to staff, status tracking, or internal notes.</w:t>
      </w:r>
    </w:p>
    <w:p>
      <w:pPr>
        <w:pStyle w:val="ListParagraph"/>
        <w:numPr>
          <w:ilvl w:val="0"/>
          <w:numId w:val="3"/>
        </w:numPr>
      </w:pPr>
      <w:r>
        <w:t xml:space="preserve">Anything partner-facing.</w:t>
      </w:r>
    </w:p>
    <w:p>
      <w:pPr>
        <w:pStyle w:val="Heading1"/>
      </w:pPr>
      <w:r>
        <w:t xml:space="preserve">Phase 2: Team accounts and lead management</w:t>
      </w:r>
    </w:p>
    <w:p>
      <w:pPr>
        <w:spacing w:after="160"/>
      </w:pPr>
      <w:r>
        <w:rPr>
          <w:b/>
          <w:bCs/>
        </w:rPr>
        <w:t xml:space="preserve">Approximately 1 week</w:t>
      </w:r>
    </w:p>
    <w:p>
      <w:pPr>
        <w:spacing w:after="160"/>
      </w:pPr>
      <w:r>
        <w:t xml:space="preserve">Objective: the client's team can work the leads that Phase 1 captures.</w:t>
      </w:r>
    </w:p>
    <w:p>
      <w:pPr>
        <w:pStyle w:val="Heading2"/>
      </w:pPr>
      <w:r>
        <w:t xml:space="preserve">Deliverables</w:t>
      </w:r>
    </w:p>
    <w:p>
      <w:pPr>
        <w:pStyle w:val="ListParagraph"/>
        <w:numPr>
          <w:ilvl w:val="0"/>
          <w:numId w:val="3"/>
        </w:numPr>
      </w:pPr>
      <w:r>
        <w:t xml:space="preserve">Individual user accounts with logins for client staff.</w:t>
      </w:r>
    </w:p>
    <w:p>
      <w:pPr>
        <w:pStyle w:val="ListParagraph"/>
        <w:numPr>
          <w:ilvl w:val="0"/>
          <w:numId w:val="3"/>
        </w:numPr>
      </w:pPr>
      <w:r>
        <w:t xml:space="preserve">Role-based permissions, with at minimum an admin role and a standard team member role.</w:t>
      </w:r>
    </w:p>
    <w:p>
      <w:pPr>
        <w:pStyle w:val="ListParagraph"/>
        <w:numPr>
          <w:ilvl w:val="0"/>
          <w:numId w:val="3"/>
        </w:numPr>
      </w:pPr>
      <w:r>
        <w:t xml:space="preserve">Assignment of a submission to a specific user.</w:t>
      </w:r>
    </w:p>
    <w:p>
      <w:pPr>
        <w:pStyle w:val="ListParagraph"/>
        <w:numPr>
          <w:ilvl w:val="0"/>
          <w:numId w:val="3"/>
        </w:numPr>
      </w:pPr>
      <w:r>
        <w:t xml:space="preserve">Status tracking per lead. Stages to be confirmed with the client; assume new, in progress, contacted, and closed as a default.</w:t>
      </w:r>
    </w:p>
    <w:p>
      <w:pPr>
        <w:pStyle w:val="ListParagraph"/>
        <w:numPr>
          <w:ilvl w:val="0"/>
          <w:numId w:val="3"/>
        </w:numPr>
      </w:pPr>
      <w:r>
        <w:t xml:space="preserve">Internal notes attached to each submission, retained as a history.</w:t>
      </w:r>
    </w:p>
    <w:p>
      <w:pPr>
        <w:pStyle w:val="ListParagraph"/>
        <w:numPr>
          <w:ilvl w:val="0"/>
          <w:numId w:val="3"/>
        </w:numPr>
      </w:pPr>
      <w:r>
        <w:t xml:space="preserve">Admin screen allowing the client to invite, remove, and manage team members without developer involvement.</w:t>
      </w:r>
    </w:p>
    <w:p>
      <w:pPr>
        <w:pStyle w:val="ListParagraph"/>
        <w:numPr>
          <w:ilvl w:val="0"/>
          <w:numId w:val="3"/>
        </w:numPr>
      </w:pPr>
      <w:r>
        <w:t xml:space="preserve">Activity log recording who changed what and when.</w:t>
      </w:r>
    </w:p>
    <w:p>
      <w:pPr>
        <w:spacing w:after="160" w:before="160"/>
      </w:pPr>
      <w:r>
        <w:rPr>
          <w:b/>
          <w:bCs/>
        </w:rPr>
        <w:t xml:space="preserve">Open question for the client: </w:t>
      </w:r>
      <w:r>
        <w:t xml:space="preserve">how many staff will work submissions, and what the real lead stages are in their process. Build with a sensible default if this is not confirmed in time, but keep the stage list configurable rather than hard-coded.</w:t>
      </w:r>
    </w:p>
    <w:p>
      <w:pPr>
        <w:pStyle w:val="Heading1"/>
      </w:pPr>
      <w:r>
        <w:t xml:space="preserve">Phase 3: Partner white-label portals</w:t>
      </w:r>
    </w:p>
    <w:p>
      <w:pPr>
        <w:spacing w:after="160"/>
      </w:pPr>
      <w:r>
        <w:rPr>
          <w:b/>
          <w:bCs/>
        </w:rPr>
        <w:t xml:space="preserve">Approximately 1 to 2 weeks</w:t>
      </w:r>
    </w:p>
    <w:p>
      <w:pPr>
        <w:spacing w:after="160"/>
      </w:pPr>
      <w:r>
        <w:t xml:space="preserve">Objective: each broker partner gets a branded portal showing only their own leads, while the client retains visibility across every partner.</w:t>
      </w:r>
    </w:p>
    <w:p>
      <w:pPr>
        <w:pStyle w:val="Heading2"/>
      </w:pPr>
      <w:r>
        <w:t xml:space="preserve">Deliverables</w:t>
      </w:r>
    </w:p>
    <w:p>
      <w:pPr>
        <w:pStyle w:val="ListParagraph"/>
        <w:numPr>
          <w:ilvl w:val="0"/>
          <w:numId w:val="3"/>
        </w:numPr>
      </w:pPr>
      <w:r>
        <w:t xml:space="preserve">Branded portal per partner on a subdomain of the client's main domain, for example partnername.clientdomain.com. Wildcard DNS and certificate handling required.</w:t>
      </w:r>
    </w:p>
    <w:p>
      <w:pPr>
        <w:pStyle w:val="ListParagraph"/>
        <w:numPr>
          <w:ilvl w:val="0"/>
          <w:numId w:val="3"/>
        </w:numPr>
      </w:pPr>
      <w:r>
        <w:t xml:space="preserve">Per-partner branding: logo, colour palette, and company name, all configurable without a redeploy.</w:t>
      </w:r>
    </w:p>
    <w:p>
      <w:pPr>
        <w:pStyle w:val="ListParagraph"/>
        <w:numPr>
          <w:ilvl w:val="0"/>
          <w:numId w:val="3"/>
        </w:numPr>
      </w:pPr>
      <w:r>
        <w:t xml:space="preserve">Partner logins strictly scoped so a partner can only ever see their own submissions. This boundary needs enforcing at the data access layer, not just in the UI.</w:t>
      </w:r>
    </w:p>
    <w:p>
      <w:pPr>
        <w:pStyle w:val="ListParagraph"/>
        <w:numPr>
          <w:ilvl w:val="0"/>
          <w:numId w:val="3"/>
        </w:numPr>
      </w:pPr>
      <w:r>
        <w:t xml:space="preserve">Every partner submission also routed to the client, since the client's team performs the actual work on each lead.</w:t>
      </w:r>
    </w:p>
    <w:p>
      <w:pPr>
        <w:pStyle w:val="ListParagraph"/>
        <w:numPr>
          <w:ilvl w:val="0"/>
          <w:numId w:val="3"/>
        </w:numPr>
      </w:pPr>
      <w:r>
        <w:t xml:space="preserve">Admin controls for the client to add a partner, configure branding, and issue partner logins without developer involvement.</w:t>
      </w:r>
    </w:p>
    <w:p>
      <w:pPr>
        <w:pStyle w:val="ListParagraph"/>
        <w:numPr>
          <w:ilvl w:val="0"/>
          <w:numId w:val="3"/>
        </w:numPr>
      </w:pPr>
      <w:r>
        <w:t xml:space="preserve">Ability to reassign or route a submission between partners.</w:t>
      </w:r>
    </w:p>
    <w:p>
      <w:pPr>
        <w:pStyle w:val="ListParagraph"/>
        <w:numPr>
          <w:ilvl w:val="0"/>
          <w:numId w:val="3"/>
        </w:numPr>
      </w:pPr>
      <w:r>
        <w:t xml:space="preserve">Partner-facing interface kept deliberately minimal. Partners need visibility, not workflow tooling.</w:t>
      </w:r>
    </w:p>
    <w:p>
      <w:pPr>
        <w:pStyle w:val="Heading1"/>
      </w:pPr>
      <w:r>
        <w:t xml:space="preserve">Data handling requirement</w:t>
      </w:r>
    </w:p>
    <w:p>
      <w:pPr>
        <w:spacing w:after="160"/>
      </w:pPr>
      <w:r>
        <w:t xml:space="preserve">The discovery flow collects company details and employee compensation information. This must be handled correctly from the first phase rather than retrofitted once real leads are stored.</w:t>
      </w:r>
    </w:p>
    <w:p>
      <w:pPr>
        <w:pStyle w:val="ListParagraph"/>
        <w:numPr>
          <w:ilvl w:val="0"/>
          <w:numId w:val="3"/>
        </w:numPr>
      </w:pPr>
      <w:r>
        <w:t xml:space="preserve">Encrypted storage at rest.</w:t>
      </w:r>
    </w:p>
    <w:p>
      <w:pPr>
        <w:pStyle w:val="ListParagraph"/>
        <w:numPr>
          <w:ilvl w:val="0"/>
          <w:numId w:val="3"/>
        </w:numPr>
      </w:pPr>
      <w:r>
        <w:t xml:space="preserve">Database access restricted, with no public or anonymous read paths.</w:t>
      </w:r>
    </w:p>
    <w:p>
      <w:pPr>
        <w:pStyle w:val="ListParagraph"/>
        <w:numPr>
          <w:ilvl w:val="0"/>
          <w:numId w:val="3"/>
        </w:numPr>
      </w:pPr>
      <w:r>
        <w:t xml:space="preserve">Submission data never exposed through public endpoints, client-side bundles, or unauthenticated API routes.</w:t>
      </w:r>
    </w:p>
    <w:p>
      <w:pPr>
        <w:pStyle w:val="ListParagraph"/>
        <w:numPr>
          <w:ilvl w:val="0"/>
          <w:numId w:val="3"/>
        </w:numPr>
      </w:pPr>
      <w:r>
        <w:t xml:space="preserve">Tenant isolation enforced server-side so no partner can read another partner's data by manipulating a request.</w:t>
      </w:r>
    </w:p>
    <w:p>
      <w:pPr>
        <w:pStyle w:val="Heading1"/>
      </w:pPr>
      <w:r>
        <w:t xml:space="preserve">Timeline</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6360"/>
        <w:gridCol w:w="3000"/>
      </w:tblGrid>
      <w:tr>
        <w:trPr>
          <w:tblHeader/>
        </w:trPr>
        <w:tc>
          <w:tcPr>
            <w:tcW w:type="dxa" w:w="6360"/>
            <w:tcBorders>
              <w:top w:val="single" w:color="CCCCCC" w:sz="1"/>
              <w:left w:val="single" w:color="CCCCCC" w:sz="1"/>
              <w:bottom w:val="single" w:color="CCCCCC" w:sz="1"/>
              <w:right w:val="single" w:color="CCCCCC" w:sz="1"/>
            </w:tcBorders>
            <w:shd w:fill="EAEFF3" w:val="clear"/>
            <w:vAlign w:val="center"/>
          </w:tcPr>
          <w:p>
            <w:pPr>
              <w:jc w:val="left"/>
            </w:pPr>
            <w:r>
              <w:rPr>
                <w:b/>
                <w:bCs/>
                <w:sz w:val="22"/>
                <w:szCs w:val="22"/>
              </w:rPr>
              <w:t xml:space="preserve">Phase</w:t>
            </w:r>
          </w:p>
        </w:tc>
        <w:tc>
          <w:tcPr>
            <w:tcW w:type="dxa" w:w="3000"/>
            <w:tcBorders>
              <w:top w:val="single" w:color="CCCCCC" w:sz="1"/>
              <w:left w:val="single" w:color="CCCCCC" w:sz="1"/>
              <w:bottom w:val="single" w:color="CCCCCC" w:sz="1"/>
              <w:right w:val="single" w:color="CCCCCC" w:sz="1"/>
            </w:tcBorders>
            <w:shd w:fill="EAEFF3" w:val="clear"/>
            <w:vAlign w:val="center"/>
          </w:tcPr>
          <w:p>
            <w:pPr>
              <w:jc w:val="center"/>
            </w:pPr>
            <w:r>
              <w:rPr>
                <w:b/>
                <w:bCs/>
                <w:sz w:val="22"/>
                <w:szCs w:val="22"/>
              </w:rPr>
              <w:t xml:space="preserve">Duration</w:t>
            </w:r>
          </w:p>
        </w:tc>
      </w:tr>
      <w:tr>
        <w:trPr>
          <w:tblHeader w:val="false"/>
        </w:trPr>
        <w:tc>
          <w:tcPr>
            <w:tcW w:type="dxa" w:w="6360"/>
            <w:tcBorders>
              <w:top w:val="single" w:color="CCCCCC" w:sz="1"/>
              <w:left w:val="single" w:color="CCCCCC" w:sz="1"/>
              <w:bottom w:val="single" w:color="CCCCCC" w:sz="1"/>
              <w:right w:val="single" w:color="CCCCCC" w:sz="1"/>
            </w:tcBorders>
            <w:vAlign w:val="center"/>
          </w:tcPr>
          <w:p>
            <w:pPr>
              <w:jc w:val="left"/>
            </w:pPr>
            <w:r>
              <w:rPr>
                <w:b w:val="false"/>
                <w:bCs w:val="false"/>
                <w:sz w:val="22"/>
                <w:szCs w:val="22"/>
              </w:rPr>
              <w:t xml:space="preserve">Phase 1: Foundation and launch</w:t>
            </w:r>
          </w:p>
        </w:tc>
        <w:tc>
          <w:tcPr>
            <w:tcW w:type="dxa" w:w="3000"/>
            <w:tcBorders>
              <w:top w:val="single" w:color="CCCCCC" w:sz="1"/>
              <w:left w:val="single" w:color="CCCCCC" w:sz="1"/>
              <w:bottom w:val="single" w:color="CCCCCC" w:sz="1"/>
              <w:right w:val="single" w:color="CCCCCC" w:sz="1"/>
            </w:tcBorders>
            <w:vAlign w:val="center"/>
          </w:tcPr>
          <w:p>
            <w:pPr>
              <w:jc w:val="center"/>
            </w:pPr>
            <w:r>
              <w:rPr>
                <w:b w:val="false"/>
                <w:bCs w:val="false"/>
                <w:sz w:val="22"/>
                <w:szCs w:val="22"/>
              </w:rPr>
              <w:t xml:space="preserve">approx. 2 weeks</w:t>
            </w:r>
          </w:p>
        </w:tc>
      </w:tr>
      <w:tr>
        <w:trPr>
          <w:tblHeader w:val="false"/>
        </w:trPr>
        <w:tc>
          <w:tcPr>
            <w:tcW w:type="dxa" w:w="6360"/>
            <w:tcBorders>
              <w:top w:val="single" w:color="CCCCCC" w:sz="1"/>
              <w:left w:val="single" w:color="CCCCCC" w:sz="1"/>
              <w:bottom w:val="single" w:color="CCCCCC" w:sz="1"/>
              <w:right w:val="single" w:color="CCCCCC" w:sz="1"/>
            </w:tcBorders>
            <w:vAlign w:val="center"/>
          </w:tcPr>
          <w:p>
            <w:pPr>
              <w:jc w:val="left"/>
            </w:pPr>
            <w:r>
              <w:rPr>
                <w:b w:val="false"/>
                <w:bCs w:val="false"/>
                <w:sz w:val="22"/>
                <w:szCs w:val="22"/>
              </w:rPr>
              <w:t xml:space="preserve">Phase 2: Team accounts and lead management</w:t>
            </w:r>
          </w:p>
        </w:tc>
        <w:tc>
          <w:tcPr>
            <w:tcW w:type="dxa" w:w="3000"/>
            <w:tcBorders>
              <w:top w:val="single" w:color="CCCCCC" w:sz="1"/>
              <w:left w:val="single" w:color="CCCCCC" w:sz="1"/>
              <w:bottom w:val="single" w:color="CCCCCC" w:sz="1"/>
              <w:right w:val="single" w:color="CCCCCC" w:sz="1"/>
            </w:tcBorders>
            <w:vAlign w:val="center"/>
          </w:tcPr>
          <w:p>
            <w:pPr>
              <w:jc w:val="center"/>
            </w:pPr>
            <w:r>
              <w:rPr>
                <w:b w:val="false"/>
                <w:bCs w:val="false"/>
                <w:sz w:val="22"/>
                <w:szCs w:val="22"/>
              </w:rPr>
              <w:t xml:space="preserve">approx. 1 week</w:t>
            </w:r>
          </w:p>
        </w:tc>
      </w:tr>
      <w:tr>
        <w:trPr>
          <w:tblHeader w:val="false"/>
        </w:trPr>
        <w:tc>
          <w:tcPr>
            <w:tcW w:type="dxa" w:w="6360"/>
            <w:tcBorders>
              <w:top w:val="single" w:color="CCCCCC" w:sz="1"/>
              <w:left w:val="single" w:color="CCCCCC" w:sz="1"/>
              <w:bottom w:val="single" w:color="CCCCCC" w:sz="1"/>
              <w:right w:val="single" w:color="CCCCCC" w:sz="1"/>
            </w:tcBorders>
            <w:vAlign w:val="center"/>
          </w:tcPr>
          <w:p>
            <w:pPr>
              <w:jc w:val="left"/>
            </w:pPr>
            <w:r>
              <w:rPr>
                <w:b w:val="false"/>
                <w:bCs w:val="false"/>
                <w:sz w:val="22"/>
                <w:szCs w:val="22"/>
              </w:rPr>
              <w:t xml:space="preserve">Phase 3: Partner white-label portals</w:t>
            </w:r>
          </w:p>
        </w:tc>
        <w:tc>
          <w:tcPr>
            <w:tcW w:type="dxa" w:w="3000"/>
            <w:tcBorders>
              <w:top w:val="single" w:color="CCCCCC" w:sz="1"/>
              <w:left w:val="single" w:color="CCCCCC" w:sz="1"/>
              <w:bottom w:val="single" w:color="CCCCCC" w:sz="1"/>
              <w:right w:val="single" w:color="CCCCCC" w:sz="1"/>
            </w:tcBorders>
            <w:vAlign w:val="center"/>
          </w:tcPr>
          <w:p>
            <w:pPr>
              <w:jc w:val="center"/>
            </w:pPr>
            <w:r>
              <w:rPr>
                <w:b w:val="false"/>
                <w:bCs w:val="false"/>
                <w:sz w:val="22"/>
                <w:szCs w:val="22"/>
              </w:rPr>
              <w:t xml:space="preserve">approx. 1 to 2 weeks</w:t>
            </w:r>
          </w:p>
        </w:tc>
      </w:tr>
      <w:tr>
        <w:trPr>
          <w:tblHeader w:val="false"/>
        </w:trPr>
        <w:tc>
          <w:tcPr>
            <w:tcW w:type="dxa" w:w="6360"/>
            <w:tcBorders>
              <w:top w:val="single" w:color="CCCCCC" w:sz="1"/>
              <w:left w:val="single" w:color="CCCCCC" w:sz="1"/>
              <w:bottom w:val="single" w:color="CCCCCC" w:sz="1"/>
              <w:right w:val="single" w:color="CCCCCC" w:sz="1"/>
            </w:tcBorders>
            <w:vAlign w:val="center"/>
          </w:tcPr>
          <w:p>
            <w:pPr>
              <w:jc w:val="left"/>
            </w:pPr>
            <w:r>
              <w:rPr>
                <w:b/>
                <w:bCs/>
                <w:sz w:val="22"/>
                <w:szCs w:val="22"/>
              </w:rPr>
              <w:t xml:space="preserve">Full build</w:t>
            </w:r>
          </w:p>
        </w:tc>
        <w:tc>
          <w:tcPr>
            <w:tcW w:type="dxa" w:w="3000"/>
            <w:tcBorders>
              <w:top w:val="single" w:color="CCCCCC" w:sz="1"/>
              <w:left w:val="single" w:color="CCCCCC" w:sz="1"/>
              <w:bottom w:val="single" w:color="CCCCCC" w:sz="1"/>
              <w:right w:val="single" w:color="CCCCCC" w:sz="1"/>
            </w:tcBorders>
            <w:vAlign w:val="center"/>
          </w:tcPr>
          <w:p>
            <w:pPr>
              <w:jc w:val="center"/>
            </w:pPr>
            <w:r>
              <w:rPr>
                <w:b/>
                <w:bCs/>
                <w:sz w:val="22"/>
                <w:szCs w:val="22"/>
              </w:rPr>
              <w:t xml:space="preserve">approx. 4 to 5 weeks</w:t>
            </w:r>
          </w:p>
        </w:tc>
      </w:tr>
    </w:tbl>
    <w:p>
      <w:pPr>
        <w:spacing w:after="160" w:before="200"/>
      </w:pPr>
      <w:r>
        <w:t xml:space="preserve">Phases will not necessarily run back to back. Phase 1 is confirmed and starts first. Phases 2 and 3 are scoped but not yet committed by the client, so Phase 1 must stand on its own as a working product.</w:t>
      </w:r>
    </w:p>
    <w:p>
      <w:pPr>
        <w:pStyle w:val="Heading1"/>
      </w:pPr>
      <w:r>
        <w:t xml:space="preserve">Working notes</w:t>
      </w:r>
    </w:p>
    <w:p>
      <w:pPr>
        <w:pStyle w:val="ListParagraph"/>
        <w:numPr>
          <w:ilvl w:val="0"/>
          <w:numId w:val="3"/>
        </w:numPr>
      </w:pPr>
      <w:r>
        <w:t xml:space="preserve">A preview link is shared with the client early in Phase 1, so deploy previews should be available throughout rather than only at the end.</w:t>
      </w:r>
    </w:p>
    <w:p>
      <w:pPr>
        <w:pStyle w:val="ListParagraph"/>
        <w:numPr>
          <w:ilvl w:val="0"/>
          <w:numId w:val="3"/>
        </w:numPr>
      </w:pPr>
      <w:r>
        <w:t xml:space="preserve">Revisions within an agreed phase scope are open-ended. New functionality that was not in a phase's scope moves to a later phase rather than expanding the current one.</w:t>
      </w:r>
    </w:p>
    <w:p>
      <w:pPr>
        <w:pStyle w:val="ListParagraph"/>
        <w:numPr>
          <w:ilvl w:val="0"/>
          <w:numId w:val="3"/>
        </w:numPr>
      </w:pPr>
      <w:r>
        <w:t xml:space="preserve">Anything that threatens a phase timeline needs flagging as soon as it is identified, not at the deadline.</w:t>
      </w:r>
    </w:p>
    <w:p>
      <w:pPr>
        <w:pStyle w:val="ListParagraph"/>
        <w:numPr>
          <w:ilvl w:val="0"/>
          <w:numId w:val="3"/>
        </w:numPr>
      </w:pPr>
      <w:r>
        <w:t xml:space="preserve">Keep the Phase 1 data model decisions documented, since Phases 2 and 3 build directly on them.</w:t>
      </w:r>
    </w:p>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ind w:left="720" w:hanging="360"/>
      </w:pPr>
    </w:lvl>
  </w:abstractNum>
  <w:abstractNum w:abstractNumId="3" w15:restartNumberingAfterBreak="0">
    <w:multiLevelType w:val="hybridMultilevel"/>
    <w:lvl w:ilvl="0" w15:tentative="1">
      <w:start w:val="1"/>
      <w:numFmt w:val="decimal"/>
      <w:lvlText w:val="%1."/>
      <w:lvlJc w:val="left"/>
      <w:pPr>
        <w:spacing w:after="60"/>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60" w:before="0"/>
      <w:jc w:val="left"/>
    </w:pPr>
    <w:rPr>
      <w:rFonts w:ascii="Arial" w:cs="Arial" w:eastAsia="Arial" w:hAnsi="Arial"/>
      <w:b/>
      <w:bCs/>
      <w:color w:val="1A1A1A"/>
      <w:sz w:val="40"/>
      <w:szCs w:val="40"/>
    </w:rPr>
  </w:style>
  <w:style w:type="paragraph" w:styleId="Heading1">
    <w:name w:val="Heading 1"/>
    <w:basedOn w:val="Normal"/>
    <w:next w:val="Normal"/>
    <w:qFormat/>
    <w:pPr>
      <w:spacing w:after="140" w:before="320"/>
      <w:outlineLvl w:val="0"/>
    </w:pPr>
    <w:rPr>
      <w:rFonts w:ascii="Arial" w:cs="Arial" w:eastAsia="Arial" w:hAnsi="Arial"/>
      <w:b/>
      <w:bCs/>
      <w:color w:val="1A1A1A"/>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2026-08-23T15:09:48.005Z</dcterms:created>
  <dcterms:modified xsi:type="dcterms:W3CDTF">2026-08-23T15:09:48.006Z</dcterms:modified>
</cp:coreProperties>
</file>

<file path=docProps/custom.xml><?xml version="1.0" encoding="utf-8"?>
<Properties xmlns="http://schemas.openxmlformats.org/officeDocument/2006/custom-properties" xmlns:vt="http://schemas.openxmlformats.org/officeDocument/2006/docPropsVTypes"/>
</file>