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aps/>
          <w:color w:val="4D0F1C"/>
          <w:sz w:val="46"/>
          <w:szCs w:val="46"/>
        </w:rPr>
        <w:t xml:space="preserve">CAHIER DES CHARGES</w:t>
      </w:r>
    </w:p>
    <w:p>
      <w:pPr>
        <w:pBdr>
          <w:bottom w:val="single" w:color="C9A84C" w:sz="5" w:space="10"/>
        </w:pBdr>
        <w:spacing w:after="280" w:before="0"/>
        <w:jc w:val="center"/>
      </w:pPr>
      <w:r>
        <w:rPr>
          <w:rFonts w:ascii="Arial" w:cs="Arial" w:eastAsia="Arial" w:hAnsi="Arial"/>
          <w:caps/>
          <w:color w:val="C9A84C"/>
          <w:sz w:val="28"/>
          <w:szCs w:val="28"/>
        </w:rPr>
        <w:t xml:space="preserve">VERSION RÉSUMÉE — V2.0</w:t>
      </w:r>
    </w:p>
    <w:p>
      <w:pPr>
        <w:spacing w:after="120" w:before="0"/>
      </w:pPr>
      <w:r>
        <w:t xml:space="preserve"/>
      </w:r>
    </w:p>
    <w:p>
      <w:pPr>
        <w:spacing w:after="60" w:before="0"/>
        <w:jc w:val="center"/>
      </w:pPr>
      <w:r>
        <w:rPr>
          <w:rFonts w:ascii="Georgia" w:cs="Georgia" w:eastAsia="Georgia" w:hAnsi="Georgia"/>
          <w:b/>
          <w:bCs/>
          <w:i/>
          <w:iCs/>
          <w:color w:val="6B1A2B"/>
          <w:sz w:val="42"/>
          <w:szCs w:val="42"/>
        </w:rPr>
        <w:t xml:space="preserve">Africa Wine Food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7A7069"/>
          <w:sz w:val="22"/>
          <w:szCs w:val="22"/>
        </w:rPr>
        <w:t xml:space="preserve">Site vitrine premium — Lomé, Togo</w:t>
      </w:r>
    </w:p>
    <w:p>
      <w:pPr>
        <w:spacing w:after="120" w:before="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Version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 Résumée — 15 mai 2026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Client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Africa Wine Food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Devis N°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AWF-2026-001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1. Contexte &amp; Objectifs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1"/>
              <w:left w:val="single" w:color="4D0F1C" w:sz="12"/>
              <w:bottom w:val="single" w:color="C9A84C" w:sz="1"/>
              <w:right w:val="single" w:color="F5EDE0" w:sz="1"/>
            </w:tcBorders>
            <w:shd w:fill="F5ED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D0F1C"/>
                <w:sz w:val="20"/>
                <w:szCs w:val="20"/>
              </w:rPr>
              <w:t xml:space="preserve">Qui est Africa Wine Food 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Agence togolaise de sélection et distribution de vins de luxe et spiritueux premium à destination du marché africain (hôtels, restaurants, particuliers, entreprises).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9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 projet consiste en la création d'un site vitrine premium 16 pages pour renforcer la présence digitale de la marque et générer des prises de contact qualifiées.</w:t>
      </w:r>
    </w:p>
    <w:p>
      <w:pPr>
        <w:spacing w:after="120" w:before="0"/>
      </w:pPr>
      <w:r>
        <w:t xml:space="preserve"/>
      </w:r>
    </w:p>
    <w:p>
      <w:pPr>
        <w:spacing w:after="90" w:before="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Objectifs principaux :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Asseoir le positionnement luxe de la marque en ligne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Présenter les 4 univers produits (vins, champagnes, spiritueux, collections)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Permettre la navigation bilingue FR/EN et multi-devises (XOF/EUR/USD)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Générer des commandes et devis directement depuis le site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Protéger l'historique des devis par accès administrateur sécurisé</w:t>
      </w:r>
    </w:p>
    <w:p>
      <w:pPr>
        <w:pStyle w:val="ListParagraph"/>
        <w:numPr>
          <w:ilvl w:val="0"/>
          <w:numId w:val="2"/>
        </w:numPr>
        <w:spacing w:after="5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Garantir la conformité légale internationale (RGPD, CCPA, Loi togolaise 2019-014)</w:t>
      </w:r>
    </w:p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2. Périmètre du projet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Pages principales (navigation publique)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58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 principal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Accueil (index.html)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Hero, univers produits, arguments, chiffres clés, blog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Catalogue (catalogue.html)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Produits filtrables + téléchargement PDF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À propos (about.html)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Histoire, valeurs, équipe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Blog (blog.html)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Articles et actualités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 (contact.html)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Formulaire + coordonnées + carte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Commande (commande.html)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Formulaire de commande multi-produits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Pages de support &amp; articles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62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devis.html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 devis PDF généré dynamiquement après commande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historique.html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Administration des devis — accès sécurisé par mot de passe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confidentialite.html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Politique de confidentialité internationale (RGPD, CCPA, Malabo)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404.html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Page d'erreur 404 personnalisée avec redirection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 pages articles blog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bb-brasserie, bienfaits-vin-rouge, cocktails-maison, caves-lome, definition-vin, types-de-vins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Fonctionnalités clés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Fonctionnalité</w:t>
            </w:r>
          </w:p>
        </w:tc>
        <w:tc>
          <w:tcPr>
            <w:tcW w:type="dxa" w:w="35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Bilingue FR / EN dynamique (sans rechargement)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Convertisseur de devises XOF / EUR / USD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 responsive — 320px à 4K (5 breakpoints)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Optimisation cross-browser (Chrome, Firefox, Safari, Edge)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Accessibilité : prefers-reduced-motion, focus-visible, ARIA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Cibles tactiles ≥ 44px — compatible touch / pointer: coarse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Anti-zoom iOS — font-size ≥ 16px sur tous les inputs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Génération de devis PDF dynamique (localStorage)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Historique admin sécurisé par mot de passe (overlay login)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Politique de confidentialité internationale (13 articles)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 sticky + hamburger mobile animé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Filtres catalogue + téléchargement PDF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Formulaires contact &amp; commande avec validation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 FAB + partage devis sur WhatsApp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SEO : meta, Open Graph, sitemap.xml, robots.txt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Séparation totale HTML / CSS (aucun style inline dans &lt;head&gt;)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Page 404 personnalisée aux couleurs de la marque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Livré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3. Aspects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1826"/>
      </w:tblGrid>
      <w:tr>
        <w:trPr>
          <w:tblHeader/>
        </w:trPr>
        <w:tc>
          <w:tcPr>
            <w:tcW w:type="dxa" w:w="28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44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18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style.css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Feuille de styles globale — responsive, animations, admin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3 056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devis.css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Styles du document devis (standalone)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508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main.js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Logique principale — i18n, carousel, filtres, devise, animations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1 723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historique.js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Logique admin — authentification, tri, CRUD devis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255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HTML (16 pages)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 sémantique complète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5 661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Volume de code source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11 203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9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Technologies : HTML5, CSS3, JavaScript Vanilla ES6+. Aucun framework, aucun CMS, aucune dépendance externe.</w:t>
      </w:r>
    </w:p>
    <w:p>
      <w:pPr>
        <w:spacing w:after="9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Charte graphique : Bordeaux #4D0F1C, Or #C9A84C, Crème #FAF7F2 — typographies Playfair Display &amp; Raleway.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1"/>
              <w:left w:val="single" w:color="4D0F1C" w:sz="12"/>
              <w:bottom w:val="single" w:color="C9A84C" w:sz="1"/>
              <w:right w:val="single" w:color="F5EDE0" w:sz="1"/>
            </w:tcBorders>
            <w:shd w:fill="F5ED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D0F1C"/>
                <w:sz w:val="20"/>
                <w:szCs w:val="20"/>
              </w:rPr>
              <w:t xml:space="preserve">Architecture CSS propre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Aucune balise &lt;style&gt; dans les fichiers HTML. Tout le CSS est externalisé dans style.css et devis.css, garantissant une maintenance facile et des performances optimales.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4. Hébergement &amp; Mise en ligne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8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  <w:tc>
          <w:tcPr>
            <w:tcW w:type="dxa" w:w="20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Durée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 de domaine .com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Namecheap / OVH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ans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Hébergement web Premium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Hostinger (SSL inclus)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ans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Maintenance &amp; support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Prestataire (48h réponse)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ans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5. Planning résumé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5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Durée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Maquettage + validation client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1-2 jours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Développement pages principales (6)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7-9 jours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Développement pages articles, devis, admin, 404, confidentialité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3-4 jours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Optimisation cross-browser, responsive, accessibilité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1-2 jours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Tests, mise en ligne, livraison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1-2 jours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14-20 jours ouvrables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1"/>
              <w:left w:val="single" w:color="4D0F1C" w:sz="12"/>
              <w:bottom w:val="single" w:color="C9A84C" w:sz="1"/>
              <w:right w:val="single" w:color="F5EDE0" w:sz="1"/>
            </w:tcBorders>
            <w:shd w:fill="F5ED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D0F1C"/>
                <w:sz w:val="20"/>
                <w:szCs w:val="20"/>
              </w:rPr>
              <w:t xml:space="preserve">Condition de démarrage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 délai court à compter de la réception de l'acompte (50%) ET des éléments fournis par le client (logo, photos, textes, PDF catalogue).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6. Volet financier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Détail du devis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026"/>
      </w:tblGrid>
      <w:tr>
        <w:trPr>
          <w:tblHeader/>
        </w:trPr>
        <w:tc>
          <w:tcPr>
            <w:tcW w:type="dxa" w:w="45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Poste</w:t>
            </w:r>
          </w:p>
        </w:tc>
        <w:tc>
          <w:tcPr>
            <w:tcW w:type="dxa" w:w="25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Montant FCFA</w:t>
            </w:r>
          </w:p>
        </w:tc>
        <w:tc>
          <w:tcPr>
            <w:tcW w:type="dxa" w:w="20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Montant EUR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Conception &amp; développement (16 pages)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350 000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~534 €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 premium &amp; charte graphique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~76 €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Système devis + admin sécurisé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~61 €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Conformité légale (RGPD, CCPA, Malabo)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~31 €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Optimisation cross-browser &amp; accessibilité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~31 €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 de domaine .com (2 ans)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18 000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~27 €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Hébergement web Premium (2 ans)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55 000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~84 €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Maintenance &amp; support (2 ans)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60 000</w:t>
            </w:r>
          </w:p>
        </w:tc>
        <w:tc>
          <w:tcPr>
            <w:tcW w:type="dxa" w:w="2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~92 €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tabs>
                <w:tab w:val="right" w:pos="8600"/>
              </w:tabs>
              <w:spacing w:after="80" w:before="80"/>
              <w:ind w:left="200" w:right="200"/>
            </w:pPr>
            <w:r>
              <w:rPr>
                <w:rFonts w:ascii="Arial" w:cs="Arial" w:eastAsia="Arial" w:hAnsi="Arial"/>
                <w:b w:val="false"/>
                <w:bCs w:val="false"/>
                <w:color w:val="C0A878"/>
                <w:sz w:val="20"/>
                <w:szCs w:val="20"/>
              </w:rPr>
              <w:t xml:space="preserve">Développement &amp; Design (16 pages + fonctionnalités)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FAF7F2"/>
                <w:sz w:val="20"/>
                <w:szCs w:val="20"/>
              </w:rPr>
              <w:t xml:space="preserve">480 000 FCFA</w:t>
            </w:r>
          </w:p>
          <w:p>
            <w:pPr>
              <w:tabs>
                <w:tab w:val="right" w:pos="8600"/>
              </w:tabs>
              <w:spacing w:after="80" w:before="80"/>
              <w:ind w:left="200" w:right="200"/>
            </w:pPr>
            <w:r>
              <w:rPr>
                <w:rFonts w:ascii="Arial" w:cs="Arial" w:eastAsia="Arial" w:hAnsi="Arial"/>
                <w:b w:val="false"/>
                <w:bCs w:val="false"/>
                <w:color w:val="C0A878"/>
                <w:sz w:val="20"/>
                <w:szCs w:val="20"/>
              </w:rPr>
              <w:t xml:space="preserve">Infrastructure 2 ans (hébergement + domaine)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FAF7F2"/>
                <w:sz w:val="20"/>
                <w:szCs w:val="20"/>
              </w:rPr>
              <w:t xml:space="preserve">73 000 FCFA</w:t>
            </w:r>
          </w:p>
          <w:p>
            <w:pPr>
              <w:tabs>
                <w:tab w:val="right" w:pos="8600"/>
              </w:tabs>
              <w:spacing w:after="80" w:before="80"/>
              <w:ind w:left="200" w:right="200"/>
            </w:pPr>
            <w:r>
              <w:rPr>
                <w:rFonts w:ascii="Arial" w:cs="Arial" w:eastAsia="Arial" w:hAnsi="Arial"/>
                <w:b w:val="false"/>
                <w:bCs w:val="false"/>
                <w:color w:val="C0A878"/>
                <w:sz w:val="20"/>
                <w:szCs w:val="20"/>
              </w:rPr>
              <w:t xml:space="preserve">Maintenance &amp; Support 2 ans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FAF7F2"/>
                <w:sz w:val="20"/>
                <w:szCs w:val="20"/>
              </w:rPr>
              <w:t xml:space="preserve">60 000 FCFA</w:t>
            </w:r>
          </w:p>
          <w:p>
            <w:pPr>
              <w:tabs>
                <w:tab w:val="right" w:pos="8600"/>
              </w:tabs>
              <w:spacing w:after="80" w:before="80"/>
              <w:ind w:left="200" w:right="200"/>
            </w:pPr>
            <w:r>
              <w:rPr>
                <w:rFonts w:ascii="Arial" w:cs="Arial" w:eastAsia="Arial" w:hAnsi="Arial"/>
                <w:b/>
                <w:bCs/>
                <w:color w:val="FAF7F2"/>
                <w:sz w:val="24"/>
                <w:szCs w:val="24"/>
              </w:rPr>
              <w:t xml:space="preserve">TOTAL TTC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613 000 FCFA  (~935 €)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Modalités de paiement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226"/>
      </w:tblGrid>
      <w:tr>
        <w:trPr>
          <w:tblHeader/>
        </w:trPr>
        <w:tc>
          <w:tcPr>
            <w:tcW w:type="dxa" w:w="30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  <w:tc>
          <w:tcPr>
            <w:tcW w:type="dxa" w:w="28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Montant</w:t>
            </w:r>
          </w:p>
        </w:tc>
        <w:tc>
          <w:tcPr>
            <w:tcW w:type="dxa" w:w="32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Déclencheur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Acompte — 50%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306 500 FCFA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Signature du devis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Solde — 50%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306 500 FCFA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Livraison du site en ligne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9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Moyens de paiement acceptés : Flooz, T-Money, Wave, Orange Money, virement, espèces.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1"/>
              <w:left w:val="single" w:color="4D0F1C" w:sz="12"/>
              <w:bottom w:val="single" w:color="C9A84C" w:sz="1"/>
              <w:right w:val="single" w:color="F5EDE0" w:sz="1"/>
            </w:tcBorders>
            <w:shd w:fill="F5ED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D0F1C"/>
                <w:sz w:val="20"/>
                <w:szCs w:val="20"/>
              </w:rPr>
              <w:t xml:space="preserve">Validité du devis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 cahier des charges et le devis associé (N° AWF-2026-001) sont valables 30 jours, soit jusqu'au 14 juin 2026.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40" w:before="320"/>
      </w:pPr>
      <w:r>
        <w:rPr>
          <w:rFonts w:ascii="Arial" w:cs="Arial" w:eastAsia="Arial" w:hAnsi="Arial"/>
          <w:b/>
          <w:bCs/>
          <w:color w:val="4D0F1C"/>
          <w:sz w:val="28"/>
          <w:szCs w:val="28"/>
        </w:rPr>
        <w:t xml:space="preserve">7. Bon pour accord</w:t>
      </w:r>
    </w:p>
    <w:p>
      <w:pPr>
        <w:spacing w:after="9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Lu et approuvé par les deux parties :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 PRESTATAIRE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 CLIENT</w:t>
            </w:r>
          </w:p>
        </w:tc>
      </w:tr>
      <w:tr>
        <w:tc>
          <w:tcPr>
            <w:tcW w:type="dxa" w:w="4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 : _______________________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Date : _______________________</w:t>
            </w:r>
          </w:p>
          <w:p>
            <w:pPr>
              <w:spacing w:after="0" w:before="2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Signature 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4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 : _______________________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Date : _______________________</w:t>
            </w:r>
          </w:p>
          <w:p>
            <w:pPr>
              <w:spacing w:after="0" w:before="2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Signature + Cachet 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jc w:val="center"/>
      </w:pPr>
      <w:r>
        <w:rPr>
          <w:rFonts w:ascii="Georgia" w:cs="Georgia" w:eastAsia="Georgia" w:hAnsi="Georgia"/>
          <w:i/>
          <w:iCs/>
          <w:color w:val="7A7069"/>
          <w:sz w:val="20"/>
          <w:szCs w:val="20"/>
        </w:rPr>
        <w:t xml:space="preserve">Africa Wine Food — L'excellence viticole au coeur de l'Afrique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Arial" w:cs="Arial" w:eastAsia="Arial" w:hAnsi="Arial"/>
        <w:color w:val="7A7069"/>
        <w:sz w:val="16"/>
        <w:szCs w:val="16"/>
      </w:rPr>
      <w:t xml:space="preserve">Confidentiel — Mai 2026</w:t>
    </w:r>
    <w:r>
      <w:rPr>
        <w:rFonts w:ascii="Arial" w:cs="Arial" w:eastAsia="Arial" w:hAnsi="Arial"/>
        <w:color w:val="7A7069"/>
        <w:sz w:val="16"/>
        <w:szCs w:val="16"/>
      </w:rPr>
      <w:t xml:space="preserve">	Page </w:t>
    </w:r>
    <w:r>
      <w:rPr>
        <w:rFonts w:ascii="Arial" w:cs="Arial" w:eastAsia="Arial" w:hAnsi="Arial"/>
        <w:color w:val="7A70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Arial" w:cs="Arial" w:eastAsia="Arial" w:hAnsi="Arial"/>
        <w:color w:val="7A7069"/>
        <w:sz w:val="18"/>
        <w:szCs w:val="18"/>
      </w:rPr>
      <w:t xml:space="preserve">CAHIER DES CHARGES — VERSION RÉSUMÉE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4D0F1C"/>
        <w:sz w:val="18"/>
        <w:szCs w:val="18"/>
      </w:rPr>
      <w:t xml:space="preserve">Africa Wine Food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4D0F1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6B1A2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2026-05-15T00:50:21.539Z</dcterms:created>
  <dcterms:modified xsi:type="dcterms:W3CDTF">2026-05-15T00:50:21.541Z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