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60" w:before="0"/>
        <w:jc w:val="center"/>
      </w:pPr>
      <w:r>
        <w:rPr>
          <w:rFonts w:ascii="Arial" w:cs="Arial" w:eastAsia="Arial" w:hAnsi="Arial"/>
          <w:b/>
          <w:bCs/>
          <w:caps/>
          <w:color w:val="4D0F1C"/>
          <w:sz w:val="52"/>
          <w:szCs w:val="52"/>
        </w:rPr>
        <w:t xml:space="preserve">CAHIER DES CHARGES</w:t>
      </w:r>
    </w:p>
    <w:p>
      <w:pPr>
        <w:pBdr>
          <w:bottom w:val="single" w:color="C9A84C" w:sz="6" w:space="12"/>
        </w:pBdr>
        <w:spacing w:after="300" w:before="0"/>
        <w:jc w:val="center"/>
      </w:pPr>
      <w:r>
        <w:rPr>
          <w:rFonts w:ascii="Arial" w:cs="Arial" w:eastAsia="Arial" w:hAnsi="Arial"/>
          <w:b w:val="false"/>
          <w:bCs w:val="false"/>
          <w:caps/>
          <w:color w:val="C9A84C"/>
          <w:sz w:val="34"/>
          <w:szCs w:val="34"/>
        </w:rPr>
        <w:t xml:space="preserve">SITE VITRINE PREMIUM</w:t>
      </w:r>
    </w:p>
    <w:p>
      <w:pPr>
        <w:spacing w:after="200" w:before="0"/>
      </w:pPr>
      <w:r>
        <w:t xml:space="preserve"/>
      </w:r>
    </w:p>
    <w:p>
      <w:pPr>
        <w:spacing w:after="80" w:before="0"/>
        <w:jc w:val="center"/>
      </w:pPr>
      <w:r>
        <w:rPr>
          <w:rFonts w:ascii="Georgia" w:cs="Georgia" w:eastAsia="Georgia" w:hAnsi="Georgia"/>
          <w:b/>
          <w:bCs/>
          <w:i/>
          <w:iCs/>
          <w:color w:val="6B1A2B"/>
          <w:sz w:val="48"/>
          <w:szCs w:val="48"/>
        </w:rPr>
        <w:t xml:space="preserve">Africa Wine Food</w:t>
      </w:r>
    </w:p>
    <w:p>
      <w:pPr>
        <w:spacing w:after="400" w:before="0"/>
        <w:jc w:val="center"/>
      </w:pPr>
      <w:r>
        <w:rPr>
          <w:rFonts w:ascii="Arial" w:cs="Arial" w:eastAsia="Arial" w:hAnsi="Arial"/>
          <w:i/>
          <w:iCs/>
          <w:color w:val="7A7069"/>
          <w:sz w:val="24"/>
          <w:szCs w:val="24"/>
        </w:rPr>
        <w:t xml:space="preserve">L'excellence viticole au cœur de l'Afrique</w:t>
      </w:r>
    </w:p>
    <w:p>
      <w:pPr>
        <w:spacing w:after="300" w:before="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tblGrid>
      <w:tr>
        <w:tc>
          <w:tcPr>
            <w:tcW w:type="dxa" w:w="2800"/>
            <w:tcBorders>
              <w:top w:val="none" w:color="FFFFFF" w:sz="0"/>
              <w:left w:val="none" w:color="FFFFFF" w:sz="0"/>
              <w:bottom w:val="none" w:color="FFFFFF" w:sz="0"/>
              <w:right w:val="none" w:color="FFFFFF" w:sz="0"/>
            </w:tcBorders>
            <w:shd w:fill="4D0F1C" w:val="clear"/>
            <w:tcMar>
              <w:top w:type="dxa" w:w="100"/>
              <w:left w:type="dxa" w:w="160"/>
              <w:bottom w:type="dxa" w:w="100"/>
              <w:right w:type="dxa" w:w="160"/>
            </w:tcMar>
          </w:tcPr>
          <w:p>
            <w:r>
              <w:rPr>
                <w:rFonts w:ascii="Arial" w:cs="Arial" w:eastAsia="Arial" w:hAnsi="Arial"/>
                <w:b/>
                <w:bCs/>
                <w:color w:val="FAF7F2"/>
                <w:sz w:val="20"/>
                <w:szCs w:val="20"/>
              </w:rPr>
              <w:t xml:space="preserve">Version</w:t>
            </w:r>
          </w:p>
        </w:tc>
        <w:tc>
          <w:tcPr>
            <w:tcW w:type="dxa" w:w="4200"/>
            <w:tcBorders>
              <w:top w:val="none" w:color="FFFFFF" w:sz="0"/>
              <w:left w:val="none" w:color="FFFFFF" w:sz="0"/>
              <w:bottom w:val="none" w:color="FFFFFF" w:sz="0"/>
              <w:right w:val="none" w:color="FFFFFF" w:sz="0"/>
            </w:tcBorders>
            <w:shd w:fill="F5EDE0" w:val="clear"/>
            <w:tcMar>
              <w:top w:type="dxa" w:w="100"/>
              <w:left w:type="dxa" w:w="160"/>
              <w:bottom w:type="dxa" w:w="100"/>
              <w:right w:type="dxa" w:w="160"/>
            </w:tcMar>
          </w:tcPr>
          <w:p>
            <w:r>
              <w:rPr>
                <w:rFonts w:ascii="Arial" w:cs="Arial" w:eastAsia="Arial" w:hAnsi="Arial"/>
                <w:color w:val="1A1A1A"/>
                <w:sz w:val="20"/>
                <w:szCs w:val="20"/>
              </w:rPr>
              <w:t xml:space="preserve">Version 1.0 — Détaillée</w:t>
            </w:r>
          </w:p>
        </w:tc>
      </w:tr>
      <w:tr>
        <w:tc>
          <w:tcPr>
            <w:tcW w:type="dxa" w:w="2800"/>
            <w:tcBorders>
              <w:top w:val="none" w:color="FFFFFF" w:sz="0"/>
              <w:left w:val="none" w:color="FFFFFF" w:sz="0"/>
              <w:bottom w:val="none" w:color="FFFFFF" w:sz="0"/>
              <w:right w:val="none" w:color="FFFFFF" w:sz="0"/>
            </w:tcBorders>
            <w:shd w:fill="4D0F1C" w:val="clear"/>
            <w:tcMar>
              <w:top w:type="dxa" w:w="100"/>
              <w:left w:type="dxa" w:w="160"/>
              <w:bottom w:type="dxa" w:w="100"/>
              <w:right w:type="dxa" w:w="160"/>
            </w:tcMar>
          </w:tcPr>
          <w:p>
            <w:r>
              <w:rPr>
                <w:rFonts w:ascii="Arial" w:cs="Arial" w:eastAsia="Arial" w:hAnsi="Arial"/>
                <w:b/>
                <w:bCs/>
                <w:color w:val="FAF7F2"/>
                <w:sz w:val="20"/>
                <w:szCs w:val="20"/>
              </w:rPr>
              <w:t xml:space="preserve">Date d'émission</w:t>
            </w:r>
          </w:p>
        </w:tc>
        <w:tc>
          <w:tcPr>
            <w:tcW w:type="dxa" w:w="4200"/>
            <w:tcBorders>
              <w:top w:val="none" w:color="FFFFFF" w:sz="0"/>
              <w:left w:val="none" w:color="FFFFFF" w:sz="0"/>
              <w:bottom w:val="none" w:color="FFFFFF" w:sz="0"/>
              <w:right w:val="none" w:color="FFFFFF" w:sz="0"/>
            </w:tcBorders>
            <w:shd w:fill="FFFFFF" w:val="clear"/>
            <w:tcMar>
              <w:top w:type="dxa" w:w="100"/>
              <w:left w:type="dxa" w:w="160"/>
              <w:bottom w:type="dxa" w:w="100"/>
              <w:right w:type="dxa" w:w="160"/>
            </w:tcMar>
          </w:tcPr>
          <w:p>
            <w:r>
              <w:rPr>
                <w:rFonts w:ascii="Arial" w:cs="Arial" w:eastAsia="Arial" w:hAnsi="Arial"/>
                <w:color w:val="1A1A1A"/>
                <w:sz w:val="20"/>
                <w:szCs w:val="20"/>
              </w:rPr>
              <w:t xml:space="preserve">13 mai 2026</w:t>
            </w:r>
          </w:p>
        </w:tc>
      </w:tr>
      <w:tr>
        <w:tc>
          <w:tcPr>
            <w:tcW w:type="dxa" w:w="2800"/>
            <w:tcBorders>
              <w:top w:val="none" w:color="FFFFFF" w:sz="0"/>
              <w:left w:val="none" w:color="FFFFFF" w:sz="0"/>
              <w:bottom w:val="none" w:color="FFFFFF" w:sz="0"/>
              <w:right w:val="none" w:color="FFFFFF" w:sz="0"/>
            </w:tcBorders>
            <w:shd w:fill="4D0F1C" w:val="clear"/>
            <w:tcMar>
              <w:top w:type="dxa" w:w="100"/>
              <w:left w:type="dxa" w:w="160"/>
              <w:bottom w:type="dxa" w:w="100"/>
              <w:right w:type="dxa" w:w="160"/>
            </w:tcMar>
          </w:tcPr>
          <w:p>
            <w:r>
              <w:rPr>
                <w:rFonts w:ascii="Arial" w:cs="Arial" w:eastAsia="Arial" w:hAnsi="Arial"/>
                <w:b/>
                <w:bCs/>
                <w:color w:val="FAF7F2"/>
                <w:sz w:val="20"/>
                <w:szCs w:val="20"/>
              </w:rPr>
              <w:t xml:space="preserve">Client</w:t>
            </w:r>
          </w:p>
        </w:tc>
        <w:tc>
          <w:tcPr>
            <w:tcW w:type="dxa" w:w="4200"/>
            <w:tcBorders>
              <w:top w:val="none" w:color="FFFFFF" w:sz="0"/>
              <w:left w:val="none" w:color="FFFFFF" w:sz="0"/>
              <w:bottom w:val="none" w:color="FFFFFF" w:sz="0"/>
              <w:right w:val="none" w:color="FFFFFF" w:sz="0"/>
            </w:tcBorders>
            <w:shd w:fill="F5EDE0" w:val="clear"/>
            <w:tcMar>
              <w:top w:type="dxa" w:w="100"/>
              <w:left w:type="dxa" w:w="160"/>
              <w:bottom w:type="dxa" w:w="100"/>
              <w:right w:type="dxa" w:w="160"/>
            </w:tcMar>
          </w:tcPr>
          <w:p>
            <w:r>
              <w:rPr>
                <w:rFonts w:ascii="Arial" w:cs="Arial" w:eastAsia="Arial" w:hAnsi="Arial"/>
                <w:color w:val="1A1A1A"/>
                <w:sz w:val="20"/>
                <w:szCs w:val="20"/>
              </w:rPr>
              <w:t xml:space="preserve">Africa Wine Food — Lomé, Togo</w:t>
            </w:r>
          </w:p>
        </w:tc>
      </w:tr>
      <w:tr>
        <w:tc>
          <w:tcPr>
            <w:tcW w:type="dxa" w:w="2800"/>
            <w:tcBorders>
              <w:top w:val="none" w:color="FFFFFF" w:sz="0"/>
              <w:left w:val="none" w:color="FFFFFF" w:sz="0"/>
              <w:bottom w:val="none" w:color="FFFFFF" w:sz="0"/>
              <w:right w:val="none" w:color="FFFFFF" w:sz="0"/>
            </w:tcBorders>
            <w:shd w:fill="4D0F1C" w:val="clear"/>
            <w:tcMar>
              <w:top w:type="dxa" w:w="100"/>
              <w:left w:type="dxa" w:w="160"/>
              <w:bottom w:type="dxa" w:w="100"/>
              <w:right w:type="dxa" w:w="160"/>
            </w:tcMar>
          </w:tcPr>
          <w:p>
            <w:r>
              <w:rPr>
                <w:rFonts w:ascii="Arial" w:cs="Arial" w:eastAsia="Arial" w:hAnsi="Arial"/>
                <w:b/>
                <w:bCs/>
                <w:color w:val="FAF7F2"/>
                <w:sz w:val="20"/>
                <w:szCs w:val="20"/>
              </w:rPr>
              <w:t xml:space="preserve">Prestataire</w:t>
            </w:r>
          </w:p>
        </w:tc>
        <w:tc>
          <w:tcPr>
            <w:tcW w:type="dxa" w:w="4200"/>
            <w:tcBorders>
              <w:top w:val="none" w:color="FFFFFF" w:sz="0"/>
              <w:left w:val="none" w:color="FFFFFF" w:sz="0"/>
              <w:bottom w:val="none" w:color="FFFFFF" w:sz="0"/>
              <w:right w:val="none" w:color="FFFFFF" w:sz="0"/>
            </w:tcBorders>
            <w:shd w:fill="FFFFFF" w:val="clear"/>
            <w:tcMar>
              <w:top w:type="dxa" w:w="100"/>
              <w:left w:type="dxa" w:w="160"/>
              <w:bottom w:type="dxa" w:w="100"/>
              <w:right w:type="dxa" w:w="160"/>
            </w:tcMar>
          </w:tcPr>
          <w:p>
            <w:r>
              <w:rPr>
                <w:rFonts w:ascii="Arial" w:cs="Arial" w:eastAsia="Arial" w:hAnsi="Arial"/>
                <w:color w:val="1A1A1A"/>
                <w:sz w:val="20"/>
                <w:szCs w:val="20"/>
              </w:rPr>
              <w:t xml:space="preserve">Développeur Web Freelance — Lomé, Togo</w:t>
            </w:r>
          </w:p>
        </w:tc>
      </w:tr>
      <w:tr>
        <w:tc>
          <w:tcPr>
            <w:tcW w:type="dxa" w:w="2800"/>
            <w:tcBorders>
              <w:top w:val="none" w:color="FFFFFF" w:sz="0"/>
              <w:left w:val="none" w:color="FFFFFF" w:sz="0"/>
              <w:bottom w:val="none" w:color="FFFFFF" w:sz="0"/>
              <w:right w:val="none" w:color="FFFFFF" w:sz="0"/>
            </w:tcBorders>
            <w:shd w:fill="4D0F1C" w:val="clear"/>
            <w:tcMar>
              <w:top w:type="dxa" w:w="100"/>
              <w:left w:type="dxa" w:w="160"/>
              <w:bottom w:type="dxa" w:w="100"/>
              <w:right w:type="dxa" w:w="160"/>
            </w:tcMar>
          </w:tcPr>
          <w:p>
            <w:r>
              <w:rPr>
                <w:rFonts w:ascii="Arial" w:cs="Arial" w:eastAsia="Arial" w:hAnsi="Arial"/>
                <w:b/>
                <w:bCs/>
                <w:color w:val="FAF7F2"/>
                <w:sz w:val="20"/>
                <w:szCs w:val="20"/>
              </w:rPr>
              <w:t xml:space="preserve">Référence devis</w:t>
            </w:r>
          </w:p>
        </w:tc>
        <w:tc>
          <w:tcPr>
            <w:tcW w:type="dxa" w:w="4200"/>
            <w:tcBorders>
              <w:top w:val="none" w:color="FFFFFF" w:sz="0"/>
              <w:left w:val="none" w:color="FFFFFF" w:sz="0"/>
              <w:bottom w:val="none" w:color="FFFFFF" w:sz="0"/>
              <w:right w:val="none" w:color="FFFFFF" w:sz="0"/>
            </w:tcBorders>
            <w:shd w:fill="F5EDE0" w:val="clear"/>
            <w:tcMar>
              <w:top w:type="dxa" w:w="100"/>
              <w:left w:type="dxa" w:w="160"/>
              <w:bottom w:type="dxa" w:w="100"/>
              <w:right w:type="dxa" w:w="160"/>
            </w:tcMar>
          </w:tcPr>
          <w:p>
            <w:r>
              <w:rPr>
                <w:rFonts w:ascii="Arial" w:cs="Arial" w:eastAsia="Arial" w:hAnsi="Arial"/>
                <w:b/>
                <w:bCs/>
                <w:color w:val="6B1A2B"/>
                <w:sz w:val="20"/>
                <w:szCs w:val="20"/>
              </w:rPr>
              <w:t xml:space="preserve">AWF-2026-001</w:t>
            </w:r>
          </w:p>
        </w:tc>
      </w:tr>
    </w:tbl>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Sommaire</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1. Présentation du projet</w:t>
      </w:r>
    </w:p>
    <w:p>
      <w:pPr>
        <w:pStyle w:val="Heading2"/>
        <w:spacing w:after="120" w:before="280"/>
      </w:pPr>
      <w:r>
        <w:rPr>
          <w:rFonts w:ascii="Arial" w:cs="Arial" w:eastAsia="Arial" w:hAnsi="Arial"/>
          <w:b/>
          <w:bCs/>
          <w:color w:val="6B1A2B"/>
          <w:sz w:val="26"/>
          <w:szCs w:val="26"/>
        </w:rPr>
        <w:t xml:space="preserve">1.1 Contexte</w:t>
      </w:r>
    </w:p>
    <w:p>
      <w:pPr>
        <w:spacing w:after="100" w:before="60"/>
      </w:pPr>
      <w:r>
        <w:rPr>
          <w:rFonts w:ascii="Arial" w:cs="Arial" w:eastAsia="Arial" w:hAnsi="Arial"/>
          <w:color w:val="1A1A1A"/>
          <w:sz w:val="22"/>
          <w:szCs w:val="22"/>
        </w:rPr>
        <w:t xml:space="preserve">Africa Wine Food est une agence togolaise spécialisée dans la sélection et la distribution de vins de luxe et de spiritueux premium à destination du marché africain. Dans le cadre de son développement et de sa visibilité digitale, l’entreprise souhaite disposer d’un site vitrine haut de gamme reflétant son positionnement premium.</w:t>
      </w:r>
    </w:p>
    <w:p>
      <w:pPr>
        <w:spacing w:after="100" w:before="0"/>
      </w:pPr>
      <w:r>
        <w:t xml:space="preserve"/>
      </w:r>
    </w:p>
    <w:p>
      <w:pPr>
        <w:pStyle w:val="Heading2"/>
        <w:spacing w:after="120" w:before="280"/>
      </w:pPr>
      <w:r>
        <w:rPr>
          <w:rFonts w:ascii="Arial" w:cs="Arial" w:eastAsia="Arial" w:hAnsi="Arial"/>
          <w:b/>
          <w:bCs/>
          <w:color w:val="6B1A2B"/>
          <w:sz w:val="26"/>
          <w:szCs w:val="26"/>
        </w:rPr>
        <w:t xml:space="preserve">1.2 Objectifs du projet</w:t>
      </w:r>
    </w:p>
    <w:p>
      <w:pPr>
        <w:pStyle w:val="ListParagraph"/>
        <w:numPr>
          <w:ilvl w:val="0"/>
          <w:numId w:val="2"/>
        </w:numPr>
        <w:spacing w:after="60" w:before="40"/>
      </w:pPr>
      <w:r>
        <w:rPr>
          <w:rFonts w:ascii="Arial" w:cs="Arial" w:eastAsia="Arial" w:hAnsi="Arial"/>
          <w:color w:val="1A1A1A"/>
          <w:sz w:val="21"/>
          <w:szCs w:val="21"/>
        </w:rPr>
        <w:t xml:space="preserve">Asseoir la crédibilité et le prestige de la marque en ligne</w:t>
      </w:r>
    </w:p>
    <w:p>
      <w:pPr>
        <w:pStyle w:val="ListParagraph"/>
        <w:numPr>
          <w:ilvl w:val="0"/>
          <w:numId w:val="2"/>
        </w:numPr>
        <w:spacing w:after="60" w:before="40"/>
      </w:pPr>
      <w:r>
        <w:rPr>
          <w:rFonts w:ascii="Arial" w:cs="Arial" w:eastAsia="Arial" w:hAnsi="Arial"/>
          <w:color w:val="1A1A1A"/>
          <w:sz w:val="21"/>
          <w:szCs w:val="21"/>
        </w:rPr>
        <w:t xml:space="preserve">Présenter l’offre produit (vins, champagnes, spiritueux, collections rares)</w:t>
      </w:r>
    </w:p>
    <w:p>
      <w:pPr>
        <w:pStyle w:val="ListParagraph"/>
        <w:numPr>
          <w:ilvl w:val="0"/>
          <w:numId w:val="2"/>
        </w:numPr>
        <w:spacing w:after="60" w:before="40"/>
      </w:pPr>
      <w:r>
        <w:rPr>
          <w:rFonts w:ascii="Arial" w:cs="Arial" w:eastAsia="Arial" w:hAnsi="Arial"/>
          <w:color w:val="1A1A1A"/>
          <w:sz w:val="21"/>
          <w:szCs w:val="21"/>
        </w:rPr>
        <w:t xml:space="preserve">Générer des prises de contact qualifiées (formulaire, WhatsApp)</w:t>
      </w:r>
    </w:p>
    <w:p>
      <w:pPr>
        <w:pStyle w:val="ListParagraph"/>
        <w:numPr>
          <w:ilvl w:val="0"/>
          <w:numId w:val="2"/>
        </w:numPr>
        <w:spacing w:after="60" w:before="40"/>
      </w:pPr>
      <w:r>
        <w:rPr>
          <w:rFonts w:ascii="Arial" w:cs="Arial" w:eastAsia="Arial" w:hAnsi="Arial"/>
          <w:color w:val="1A1A1A"/>
          <w:sz w:val="21"/>
          <w:szCs w:val="21"/>
        </w:rPr>
        <w:t xml:space="preserve">Proposer un catalogue téléchargeable au format PDF</w:t>
      </w:r>
    </w:p>
    <w:p>
      <w:pPr>
        <w:pStyle w:val="ListParagraph"/>
        <w:numPr>
          <w:ilvl w:val="0"/>
          <w:numId w:val="2"/>
        </w:numPr>
        <w:spacing w:after="60" w:before="40"/>
      </w:pPr>
      <w:r>
        <w:rPr>
          <w:rFonts w:ascii="Arial" w:cs="Arial" w:eastAsia="Arial" w:hAnsi="Arial"/>
          <w:color w:val="1A1A1A"/>
          <w:sz w:val="21"/>
          <w:szCs w:val="21"/>
        </w:rPr>
        <w:t xml:space="preserve">Permettre une navigation fluide en français et en anglais</w:t>
      </w:r>
    </w:p>
    <w:p>
      <w:pPr>
        <w:pStyle w:val="ListParagraph"/>
        <w:numPr>
          <w:ilvl w:val="0"/>
          <w:numId w:val="2"/>
        </w:numPr>
        <w:spacing w:after="60" w:before="40"/>
      </w:pPr>
      <w:r>
        <w:rPr>
          <w:rFonts w:ascii="Arial" w:cs="Arial" w:eastAsia="Arial" w:hAnsi="Arial"/>
          <w:color w:val="1A1A1A"/>
          <w:sz w:val="21"/>
          <w:szCs w:val="21"/>
        </w:rPr>
        <w:t xml:space="preserve">S’adresser à une clientèle exigeante : hôtels, restaurants, particuliers et entreprises</w:t>
      </w:r>
    </w:p>
    <w:p>
      <w:pPr>
        <w:spacing w:after="100" w:before="0"/>
      </w:pPr>
      <w:r>
        <w:t xml:space="preserve"/>
      </w:r>
    </w:p>
    <w:p>
      <w:pPr>
        <w:pStyle w:val="Heading2"/>
        <w:spacing w:after="120" w:before="280"/>
      </w:pPr>
      <w:r>
        <w:rPr>
          <w:rFonts w:ascii="Arial" w:cs="Arial" w:eastAsia="Arial" w:hAnsi="Arial"/>
          <w:b/>
          <w:bCs/>
          <w:color w:val="6B1A2B"/>
          <w:sz w:val="26"/>
          <w:szCs w:val="26"/>
        </w:rPr>
        <w:t xml:space="preserve">1.3 Périmètre fonctionnel</w:t>
      </w:r>
    </w:p>
    <w:p>
      <w:pPr>
        <w:spacing w:after="100" w:before="60"/>
      </w:pPr>
      <w:r>
        <w:rPr>
          <w:rFonts w:ascii="Arial" w:cs="Arial" w:eastAsia="Arial" w:hAnsi="Arial"/>
          <w:color w:val="1A1A1A"/>
          <w:sz w:val="22"/>
          <w:szCs w:val="22"/>
        </w:rPr>
        <w:t xml:space="preserve">Le projet consiste en un site vitrine statique (HTML/CSS/JS), sans CMS ni base de données, composé de 6 pages complètes. Il ne s’agit pas d’un site e-commerce avec paiement en ligne.</w:t>
      </w:r>
    </w:p>
    <w:p>
      <w:pPr>
        <w:spacing w:after="200" w:before="0"/>
      </w:pPr>
      <w:r>
        <w:t xml:space="preserve"/>
      </w:r>
    </w:p>
    <w:p>
      <w:pPr>
        <w:pStyle w:val="Heading1"/>
        <w:pBdr>
          <w:bottom w:val="single" w:color="C9A84C" w:sz="4" w:space="6"/>
        </w:pBdr>
        <w:spacing w:after="160" w:before="400"/>
      </w:pPr>
      <w:r>
        <w:rPr>
          <w:rFonts w:ascii="Arial" w:cs="Arial" w:eastAsia="Arial" w:hAnsi="Arial"/>
          <w:b/>
          <w:bCs/>
          <w:color w:val="4D0F1C"/>
          <w:sz w:val="32"/>
          <w:szCs w:val="32"/>
        </w:rPr>
        <w:t xml:space="preserve">2. Description technique</w:t>
      </w:r>
    </w:p>
    <w:p>
      <w:pPr>
        <w:pStyle w:val="Heading2"/>
        <w:spacing w:after="120" w:before="280"/>
      </w:pPr>
      <w:r>
        <w:rPr>
          <w:rFonts w:ascii="Arial" w:cs="Arial" w:eastAsia="Arial" w:hAnsi="Arial"/>
          <w:b/>
          <w:bCs/>
          <w:color w:val="6B1A2B"/>
          <w:sz w:val="26"/>
          <w:szCs w:val="26"/>
        </w:rPr>
        <w:t xml:space="preserve">2.1 Technologies utilisées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700"/>
        <w:gridCol w:w="2126"/>
      </w:tblGrid>
      <w:tr>
        <w:trPr>
          <w:tblHeader/>
        </w:trPr>
        <w:tc>
          <w:tcPr>
            <w:tcW w:type="dxa" w:w="32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Technologie</w:t>
            </w:r>
          </w:p>
        </w:tc>
        <w:tc>
          <w:tcPr>
            <w:tcW w:type="dxa" w:w="37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Rôle</w:t>
            </w:r>
          </w:p>
        </w:tc>
        <w:tc>
          <w:tcPr>
            <w:tcW w:type="dxa" w:w="2126"/>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Version</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HTML5</w:t>
            </w:r>
          </w:p>
        </w:tc>
        <w:tc>
          <w:tcPr>
            <w:tcW w:type="dxa" w:w="37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Structure sémantique des pages</w:t>
            </w:r>
          </w:p>
        </w:tc>
        <w:tc>
          <w:tcPr>
            <w:tcW w:type="dxa" w:w="21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Standard actuel</w:t>
            </w:r>
          </w:p>
        </w:tc>
      </w:tr>
      <w:tr>
        <w:tc>
          <w:tcPr>
            <w:tcW w:type="dxa" w:w="32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CSS3</w:t>
            </w:r>
          </w:p>
        </w:tc>
        <w:tc>
          <w:tcPr>
            <w:tcW w:type="dxa" w:w="37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Mise en page, animations, responsive</w:t>
            </w:r>
          </w:p>
        </w:tc>
        <w:tc>
          <w:tcPr>
            <w:tcW w:type="dxa" w:w="21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Standard actuel</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JavaScript (Vanilla)</w:t>
            </w:r>
          </w:p>
        </w:tc>
        <w:tc>
          <w:tcPr>
            <w:tcW w:type="dxa" w:w="37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Interactions, bilinguisme, carousel</w:t>
            </w:r>
          </w:p>
        </w:tc>
        <w:tc>
          <w:tcPr>
            <w:tcW w:type="dxa" w:w="21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ES6+</w:t>
            </w:r>
          </w:p>
        </w:tc>
      </w:tr>
      <w:tr>
        <w:tc>
          <w:tcPr>
            <w:tcW w:type="dxa" w:w="32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Google Fonts</w:t>
            </w:r>
          </w:p>
        </w:tc>
        <w:tc>
          <w:tcPr>
            <w:tcW w:type="dxa" w:w="37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Typographies premium (Playfair Display, Raleway)</w:t>
            </w:r>
          </w:p>
        </w:tc>
        <w:tc>
          <w:tcPr>
            <w:tcW w:type="dxa" w:w="21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CDN</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Unsplash API</w:t>
            </w:r>
          </w:p>
        </w:tc>
        <w:tc>
          <w:tcPr>
            <w:tcW w:type="dxa" w:w="37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Images haute résolution (hôte externe)</w:t>
            </w:r>
          </w:p>
        </w:tc>
        <w:tc>
          <w:tcPr>
            <w:tcW w:type="dxa" w:w="21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CDN</w:t>
            </w:r>
          </w:p>
        </w:tc>
      </w:tr>
    </w:tbl>
    <w:p>
      <w:pPr>
        <w:spacing w:after="200" w:before="0"/>
      </w:pPr>
      <w:r>
        <w:t xml:space="preserve"/>
      </w:r>
    </w:p>
    <w:p>
      <w:pPr>
        <w:pStyle w:val="Heading2"/>
        <w:spacing w:after="120" w:before="280"/>
      </w:pPr>
      <w:r>
        <w:rPr>
          <w:rFonts w:ascii="Arial" w:cs="Arial" w:eastAsia="Arial" w:hAnsi="Arial"/>
          <w:b/>
          <w:bCs/>
          <w:color w:val="6B1A2B"/>
          <w:sz w:val="26"/>
          <w:szCs w:val="26"/>
        </w:rPr>
        <w:t xml:space="preserve">2.2 Architecture des fichiers</w:t>
      </w:r>
    </w:p>
    <w:p>
      <w:pPr>
        <w:pStyle w:val="ListParagraph"/>
        <w:numPr>
          <w:ilvl w:val="0"/>
          <w:numId w:val="2"/>
        </w:numPr>
        <w:spacing w:after="60" w:before="40"/>
      </w:pPr>
      <w:r>
        <w:rPr>
          <w:rFonts w:ascii="Arial" w:cs="Arial" w:eastAsia="Arial" w:hAnsi="Arial"/>
          <w:color w:val="1A1A1A"/>
          <w:sz w:val="21"/>
          <w:szCs w:val="21"/>
        </w:rPr>
        <w:t xml:space="preserve">index.html — Page d’accueil (hero, univers, pourquoi nous, clientèle, blog)</w:t>
      </w:r>
    </w:p>
    <w:p>
      <w:pPr>
        <w:pStyle w:val="ListParagraph"/>
        <w:numPr>
          <w:ilvl w:val="0"/>
          <w:numId w:val="2"/>
        </w:numPr>
        <w:spacing w:after="60" w:before="40"/>
      </w:pPr>
      <w:r>
        <w:rPr>
          <w:rFonts w:ascii="Arial" w:cs="Arial" w:eastAsia="Arial" w:hAnsi="Arial"/>
          <w:color w:val="1A1A1A"/>
          <w:sz w:val="21"/>
          <w:szCs w:val="21"/>
        </w:rPr>
        <w:t xml:space="preserve">catalogue.html — Page catalogue avec filtres par catégorie</w:t>
      </w:r>
    </w:p>
    <w:p>
      <w:pPr>
        <w:pStyle w:val="ListParagraph"/>
        <w:numPr>
          <w:ilvl w:val="0"/>
          <w:numId w:val="2"/>
        </w:numPr>
        <w:spacing w:after="60" w:before="40"/>
      </w:pPr>
      <w:r>
        <w:rPr>
          <w:rFonts w:ascii="Arial" w:cs="Arial" w:eastAsia="Arial" w:hAnsi="Arial"/>
          <w:color w:val="1A1A1A"/>
          <w:sz w:val="21"/>
          <w:szCs w:val="21"/>
        </w:rPr>
        <w:t xml:space="preserve">about.html — Page à propos (histoire, équipe, valeurs)</w:t>
      </w:r>
    </w:p>
    <w:p>
      <w:pPr>
        <w:pStyle w:val="ListParagraph"/>
        <w:numPr>
          <w:ilvl w:val="0"/>
          <w:numId w:val="2"/>
        </w:numPr>
        <w:spacing w:after="60" w:before="40"/>
      </w:pPr>
      <w:r>
        <w:rPr>
          <w:rFonts w:ascii="Arial" w:cs="Arial" w:eastAsia="Arial" w:hAnsi="Arial"/>
          <w:color w:val="1A1A1A"/>
          <w:sz w:val="21"/>
          <w:szCs w:val="21"/>
        </w:rPr>
        <w:t xml:space="preserve">blog.html — Page blog et actualités</w:t>
      </w:r>
    </w:p>
    <w:p>
      <w:pPr>
        <w:pStyle w:val="ListParagraph"/>
        <w:numPr>
          <w:ilvl w:val="0"/>
          <w:numId w:val="2"/>
        </w:numPr>
        <w:spacing w:after="60" w:before="40"/>
      </w:pPr>
      <w:r>
        <w:rPr>
          <w:rFonts w:ascii="Arial" w:cs="Arial" w:eastAsia="Arial" w:hAnsi="Arial"/>
          <w:color w:val="1A1A1A"/>
          <w:sz w:val="21"/>
          <w:szCs w:val="21"/>
        </w:rPr>
        <w:t xml:space="preserve">contact.html — Formulaire de contact</w:t>
      </w:r>
    </w:p>
    <w:p>
      <w:pPr>
        <w:pStyle w:val="ListParagraph"/>
        <w:numPr>
          <w:ilvl w:val="0"/>
          <w:numId w:val="2"/>
        </w:numPr>
        <w:spacing w:after="60" w:before="40"/>
      </w:pPr>
      <w:r>
        <w:rPr>
          <w:rFonts w:ascii="Arial" w:cs="Arial" w:eastAsia="Arial" w:hAnsi="Arial"/>
          <w:color w:val="1A1A1A"/>
          <w:sz w:val="21"/>
          <w:szCs w:val="21"/>
        </w:rPr>
        <w:t xml:space="preserve">commande.html — Formulaire de commande</w:t>
      </w:r>
    </w:p>
    <w:p>
      <w:pPr>
        <w:pStyle w:val="ListParagraph"/>
        <w:numPr>
          <w:ilvl w:val="0"/>
          <w:numId w:val="2"/>
        </w:numPr>
        <w:spacing w:after="60" w:before="40"/>
      </w:pPr>
      <w:r>
        <w:rPr>
          <w:rFonts w:ascii="Arial" w:cs="Arial" w:eastAsia="Arial" w:hAnsi="Arial"/>
          <w:color w:val="1A1A1A"/>
          <w:sz w:val="21"/>
          <w:szCs w:val="21"/>
        </w:rPr>
        <w:t xml:space="preserve">style.css — Feuille de styles globale (2 129 lignes)</w:t>
      </w:r>
    </w:p>
    <w:p>
      <w:pPr>
        <w:pStyle w:val="ListParagraph"/>
        <w:numPr>
          <w:ilvl w:val="0"/>
          <w:numId w:val="2"/>
        </w:numPr>
        <w:spacing w:after="60" w:before="40"/>
      </w:pPr>
      <w:r>
        <w:rPr>
          <w:rFonts w:ascii="Arial" w:cs="Arial" w:eastAsia="Arial" w:hAnsi="Arial"/>
          <w:color w:val="1A1A1A"/>
          <w:sz w:val="21"/>
          <w:szCs w:val="21"/>
        </w:rPr>
        <w:t xml:space="preserve">main.js — Logique JavaScript (1 633 lignes)</w:t>
      </w:r>
    </w:p>
    <w:p>
      <w:pPr>
        <w:pStyle w:val="ListParagraph"/>
        <w:numPr>
          <w:ilvl w:val="0"/>
          <w:numId w:val="2"/>
        </w:numPr>
        <w:spacing w:after="60" w:before="40"/>
      </w:pPr>
      <w:r>
        <w:rPr>
          <w:rFonts w:ascii="Arial" w:cs="Arial" w:eastAsia="Arial" w:hAnsi="Arial"/>
          <w:color w:val="1A1A1A"/>
          <w:sz w:val="21"/>
          <w:szCs w:val="21"/>
        </w:rPr>
        <w:t xml:space="preserve">currency.js — Convertisseur de devises</w:t>
      </w:r>
    </w:p>
    <w:p>
      <w:pPr>
        <w:pStyle w:val="ListParagraph"/>
        <w:numPr>
          <w:ilvl w:val="0"/>
          <w:numId w:val="2"/>
        </w:numPr>
        <w:spacing w:after="60" w:before="40"/>
      </w:pPr>
      <w:r>
        <w:rPr>
          <w:rFonts w:ascii="Arial" w:cs="Arial" w:eastAsia="Arial" w:hAnsi="Arial"/>
          <w:color w:val="1A1A1A"/>
          <w:sz w:val="21"/>
          <w:szCs w:val="21"/>
        </w:rPr>
        <w:t xml:space="preserve">assets/docs/catalogues.pdf — Catalogue téléchargeable</w:t>
      </w:r>
    </w:p>
    <w:p>
      <w:pPr>
        <w:spacing w:after="200" w:before="0"/>
      </w:pPr>
      <w:r>
        <w:t xml:space="preserve"/>
      </w:r>
    </w:p>
    <w:p>
      <w:pPr>
        <w:pStyle w:val="Heading2"/>
        <w:spacing w:after="120" w:before="280"/>
      </w:pPr>
      <w:r>
        <w:rPr>
          <w:rFonts w:ascii="Arial" w:cs="Arial" w:eastAsia="Arial" w:hAnsi="Arial"/>
          <w:b/>
          <w:bCs/>
          <w:color w:val="6B1A2B"/>
          <w:sz w:val="26"/>
          <w:szCs w:val="26"/>
        </w:rPr>
        <w:t xml:space="preserve">2.3 Fonctionnalités développées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300"/>
        <w:gridCol w:w="1726"/>
      </w:tblGrid>
      <w:tr>
        <w:trPr>
          <w:tblHeader/>
        </w:trPr>
        <w:tc>
          <w:tcPr>
            <w:tcW w:type="dxa" w:w="30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Fonctionnalité</w:t>
            </w:r>
          </w:p>
        </w:tc>
        <w:tc>
          <w:tcPr>
            <w:tcW w:type="dxa" w:w="43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Description</w:t>
            </w:r>
          </w:p>
        </w:tc>
        <w:tc>
          <w:tcPr>
            <w:tcW w:type="dxa" w:w="1726"/>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Statut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Système bilingue FR/EN</w:t>
            </w:r>
          </w:p>
        </w:tc>
        <w:tc>
          <w:tcPr>
            <w:tcW w:type="dxa" w:w="43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Traduction dynamique de 100% du contenu sans rechargement</w:t>
            </w:r>
          </w:p>
        </w:tc>
        <w:tc>
          <w:tcPr>
            <w:tcW w:type="dxa" w:w="17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Convertisseur de devises</w:t>
            </w:r>
          </w:p>
        </w:tc>
        <w:tc>
          <w:tcPr>
            <w:tcW w:type="dxa" w:w="43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Affichage des prix en XOF, EUR, USD en temps réel</w:t>
            </w:r>
          </w:p>
        </w:tc>
        <w:tc>
          <w:tcPr>
            <w:tcW w:type="dxa" w:w="17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Design responsive</w:t>
            </w:r>
          </w:p>
        </w:tc>
        <w:tc>
          <w:tcPr>
            <w:tcW w:type="dxa" w:w="43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Adaptation mobile (320px), tablette (768px), desktop (1200px+)</w:t>
            </w:r>
          </w:p>
        </w:tc>
        <w:tc>
          <w:tcPr>
            <w:tcW w:type="dxa" w:w="17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Navigation sticky</w:t>
            </w:r>
          </w:p>
        </w:tc>
        <w:tc>
          <w:tcPr>
            <w:tcW w:type="dxa" w:w="43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Barre de navigation fixe au scroll avec effet glassmorphism</w:t>
            </w:r>
          </w:p>
        </w:tc>
        <w:tc>
          <w:tcPr>
            <w:tcW w:type="dxa" w:w="17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Menu hamburger</w:t>
            </w:r>
          </w:p>
        </w:tc>
        <w:tc>
          <w:tcPr>
            <w:tcW w:type="dxa" w:w="43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Navigation mobile animée avec fermeture au clic extérieur</w:t>
            </w:r>
          </w:p>
        </w:tc>
        <w:tc>
          <w:tcPr>
            <w:tcW w:type="dxa" w:w="17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Effet parallaxe</w:t>
            </w:r>
          </w:p>
        </w:tc>
        <w:tc>
          <w:tcPr>
            <w:tcW w:type="dxa" w:w="43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Animation de profondeur sur le hero et sections visuelles</w:t>
            </w:r>
          </w:p>
        </w:tc>
        <w:tc>
          <w:tcPr>
            <w:tcW w:type="dxa" w:w="17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Carousel auto</w:t>
            </w:r>
          </w:p>
        </w:tc>
        <w:tc>
          <w:tcPr>
            <w:tcW w:type="dxa" w:w="43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Défilement automatique des catégories produits</w:t>
            </w:r>
          </w:p>
        </w:tc>
        <w:tc>
          <w:tcPr>
            <w:tcW w:type="dxa" w:w="17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Filtres catalogue</w:t>
            </w:r>
          </w:p>
        </w:tc>
        <w:tc>
          <w:tcPr>
            <w:tcW w:type="dxa" w:w="43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Filtrage des produits par catégorie sans rechargement</w:t>
            </w:r>
          </w:p>
        </w:tc>
        <w:tc>
          <w:tcPr>
            <w:tcW w:type="dxa" w:w="17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Compteurs animés</w:t>
            </w:r>
          </w:p>
        </w:tc>
        <w:tc>
          <w:tcPr>
            <w:tcW w:type="dxa" w:w="43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Animation des chiffres clés au scroll</w:t>
            </w:r>
          </w:p>
        </w:tc>
        <w:tc>
          <w:tcPr>
            <w:tcW w:type="dxa" w:w="17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Smooth scroll</w:t>
            </w:r>
          </w:p>
        </w:tc>
        <w:tc>
          <w:tcPr>
            <w:tcW w:type="dxa" w:w="43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Navigation fluide entre les ancres</w:t>
            </w:r>
          </w:p>
        </w:tc>
        <w:tc>
          <w:tcPr>
            <w:tcW w:type="dxa" w:w="17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Back-to-top</w:t>
            </w:r>
          </w:p>
        </w:tc>
        <w:tc>
          <w:tcPr>
            <w:tcW w:type="dxa" w:w="43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Bouton retour en haut visible au scroll</w:t>
            </w:r>
          </w:p>
        </w:tc>
        <w:tc>
          <w:tcPr>
            <w:tcW w:type="dxa" w:w="17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Formulaires</w:t>
            </w:r>
          </w:p>
        </w:tc>
        <w:tc>
          <w:tcPr>
            <w:tcW w:type="dxa" w:w="43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Contact et commande avec validation côté client</w:t>
            </w:r>
          </w:p>
        </w:tc>
        <w:tc>
          <w:tcPr>
            <w:tcW w:type="dxa" w:w="17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PDF Catalogue</w:t>
            </w:r>
          </w:p>
        </w:tc>
        <w:tc>
          <w:tcPr>
            <w:tcW w:type="dxa" w:w="43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Téléchargement du catalogue produits en un clic</w:t>
            </w:r>
          </w:p>
        </w:tc>
        <w:tc>
          <w:tcPr>
            <w:tcW w:type="dxa" w:w="17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Livré</w:t>
            </w:r>
          </w:p>
        </w:tc>
      </w:tr>
      <w:tr>
        <w:tc>
          <w:tcPr>
            <w:tcW w:type="dxa" w:w="3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SEO de base</w:t>
            </w:r>
          </w:p>
        </w:tc>
        <w:tc>
          <w:tcPr>
            <w:tcW w:type="dxa" w:w="43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Balises meta, titres hiérarchisés, description, viewport</w:t>
            </w:r>
          </w:p>
        </w:tc>
        <w:tc>
          <w:tcPr>
            <w:tcW w:type="dxa" w:w="17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Livré</w:t>
            </w:r>
          </w:p>
        </w:tc>
      </w:tr>
    </w:tbl>
    <w:p>
      <w:pPr>
        <w:spacing w:after="200" w:before="0"/>
      </w:pPr>
      <w:r>
        <w:t xml:space="preserve"/>
      </w:r>
    </w:p>
    <w:p>
      <w:pPr>
        <w:pStyle w:val="Heading2"/>
        <w:spacing w:after="120" w:before="280"/>
      </w:pPr>
      <w:r>
        <w:rPr>
          <w:rFonts w:ascii="Arial" w:cs="Arial" w:eastAsia="Arial" w:hAnsi="Arial"/>
          <w:b/>
          <w:bCs/>
          <w:color w:val="6B1A2B"/>
          <w:sz w:val="26"/>
          <w:szCs w:val="26"/>
        </w:rPr>
        <w:t xml:space="preserve">2.4 Design &amp; charte graphique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Élément</w:t>
            </w:r>
          </w:p>
        </w:tc>
        <w:tc>
          <w:tcPr>
            <w:tcW w:type="dxa" w:w="5526"/>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Détail</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Couleur principale</w:t>
            </w:r>
          </w:p>
        </w:tc>
        <w:tc>
          <w:tcPr>
            <w:tcW w:type="dxa" w:w="55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Bordeaux profond #4D0F1C / #6B1A2B</w:t>
            </w:r>
          </w:p>
        </w:tc>
      </w:tr>
      <w:tr>
        <w:tc>
          <w:tcPr>
            <w:tcW w:type="dxa" w:w="3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Couleur accent</w:t>
            </w:r>
          </w:p>
        </w:tc>
        <w:tc>
          <w:tcPr>
            <w:tcW w:type="dxa" w:w="55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Or luxe #C9A84C / #DFC07A</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Fond</w:t>
            </w:r>
          </w:p>
        </w:tc>
        <w:tc>
          <w:tcPr>
            <w:tcW w:type="dxa" w:w="55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Crème #FAF7F2</w:t>
            </w:r>
          </w:p>
        </w:tc>
      </w:tr>
      <w:tr>
        <w:tc>
          <w:tcPr>
            <w:tcW w:type="dxa" w:w="3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Texte</w:t>
            </w:r>
          </w:p>
        </w:tc>
        <w:tc>
          <w:tcPr>
            <w:tcW w:type="dxa" w:w="55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Noir doux #1A1A1A / #2C2C2C</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Typographie titres</w:t>
            </w:r>
          </w:p>
        </w:tc>
        <w:tc>
          <w:tcPr>
            <w:tcW w:type="dxa" w:w="55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Playfair Display (sérif, classique, luxe)</w:t>
            </w:r>
          </w:p>
        </w:tc>
      </w:tr>
      <w:tr>
        <w:tc>
          <w:tcPr>
            <w:tcW w:type="dxa" w:w="3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Typographie corps</w:t>
            </w:r>
          </w:p>
        </w:tc>
        <w:tc>
          <w:tcPr>
            <w:tcW w:type="dxa" w:w="55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Raleway (sans-sérif, moderne, élégant)</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Style général</w:t>
            </w:r>
          </w:p>
        </w:tc>
        <w:tc>
          <w:tcPr>
            <w:tcW w:type="dxa" w:w="55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Luxe élégant, contrastes bordeaux/or, espacements généreux</w:t>
            </w:r>
          </w:p>
        </w:tc>
      </w:tr>
    </w:tbl>
    <w:p>
      <w:pPr>
        <w:spacing w:after="200" w:before="0"/>
      </w:pPr>
      <w:r>
        <w:t xml:space="preserve"/>
      </w:r>
    </w:p>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3. Détail des pages</w:t>
      </w:r>
    </w:p>
    <w:p>
      <w:pPr>
        <w:pStyle w:val="Heading2"/>
        <w:spacing w:after="120" w:before="280"/>
      </w:pPr>
      <w:r>
        <w:rPr>
          <w:rFonts w:ascii="Arial" w:cs="Arial" w:eastAsia="Arial" w:hAnsi="Arial"/>
          <w:b/>
          <w:bCs/>
          <w:color w:val="6B1A2B"/>
          <w:sz w:val="26"/>
          <w:szCs w:val="26"/>
        </w:rPr>
        <w:t xml:space="preserve">3.1 Page d’accueil (index.html)</w:t>
      </w:r>
    </w:p>
    <w:p>
      <w:pPr>
        <w:spacing w:after="100" w:before="60"/>
      </w:pPr>
      <w:r>
        <w:rPr>
          <w:rFonts w:ascii="Arial" w:cs="Arial" w:eastAsia="Arial" w:hAnsi="Arial"/>
          <w:color w:val="1A1A1A"/>
          <w:sz w:val="22"/>
          <w:szCs w:val="22"/>
        </w:rPr>
        <w:t xml:space="preserve">La page d’accueil est la page principale du site. Elle est structurée en 7 sections distinctes :</w:t>
      </w:r>
    </w:p>
    <w:p>
      <w:pPr>
        <w:pStyle w:val="ListParagraph"/>
        <w:numPr>
          <w:ilvl w:val="0"/>
          <w:numId w:val="2"/>
        </w:numPr>
        <w:spacing w:after="60" w:before="40"/>
      </w:pPr>
      <w:r>
        <w:rPr>
          <w:rFonts w:ascii="Arial" w:cs="Arial" w:eastAsia="Arial" w:hAnsi="Arial"/>
          <w:color w:val="1A1A1A"/>
          <w:sz w:val="21"/>
          <w:szCs w:val="21"/>
        </w:rPr>
        <w:t xml:space="preserve">Hero : image plein écran, titre principal, sous-titre, bouton CTA vers le catalogue</w:t>
      </w:r>
    </w:p>
    <w:p>
      <w:pPr>
        <w:pStyle w:val="ListParagraph"/>
        <w:numPr>
          <w:ilvl w:val="0"/>
          <w:numId w:val="2"/>
        </w:numPr>
        <w:spacing w:after="60" w:before="40"/>
      </w:pPr>
      <w:r>
        <w:rPr>
          <w:rFonts w:ascii="Arial" w:cs="Arial" w:eastAsia="Arial" w:hAnsi="Arial"/>
          <w:color w:val="1A1A1A"/>
          <w:sz w:val="21"/>
          <w:szCs w:val="21"/>
        </w:rPr>
        <w:t xml:space="preserve">Univers : 4 cartes catégories (Vins Rouges/Blancs, Champagnes, Spiritueux, Collections Rares)</w:t>
      </w:r>
    </w:p>
    <w:p>
      <w:pPr>
        <w:pStyle w:val="ListParagraph"/>
        <w:numPr>
          <w:ilvl w:val="0"/>
          <w:numId w:val="2"/>
        </w:numPr>
        <w:spacing w:after="60" w:before="40"/>
      </w:pPr>
      <w:r>
        <w:rPr>
          <w:rFonts w:ascii="Arial" w:cs="Arial" w:eastAsia="Arial" w:hAnsi="Arial"/>
          <w:color w:val="1A1A1A"/>
          <w:sz w:val="21"/>
          <w:szCs w:val="21"/>
        </w:rPr>
        <w:t xml:space="preserve">Pourquoi nous choisir : 3 arguments clés avec icônes (sélection, livraison, expertise)</w:t>
      </w:r>
    </w:p>
    <w:p>
      <w:pPr>
        <w:pStyle w:val="ListParagraph"/>
        <w:numPr>
          <w:ilvl w:val="0"/>
          <w:numId w:val="2"/>
        </w:numPr>
        <w:spacing w:after="60" w:before="40"/>
      </w:pPr>
      <w:r>
        <w:rPr>
          <w:rFonts w:ascii="Arial" w:cs="Arial" w:eastAsia="Arial" w:hAnsi="Arial"/>
          <w:color w:val="1A1A1A"/>
          <w:sz w:val="21"/>
          <w:szCs w:val="21"/>
        </w:rPr>
        <w:t xml:space="preserve">Clientèle : présentation des profils clients (hôtels, restaurants, particuliers, entreprises)</w:t>
      </w:r>
    </w:p>
    <w:p>
      <w:pPr>
        <w:pStyle w:val="ListParagraph"/>
        <w:numPr>
          <w:ilvl w:val="0"/>
          <w:numId w:val="2"/>
        </w:numPr>
        <w:spacing w:after="60" w:before="40"/>
      </w:pPr>
      <w:r>
        <w:rPr>
          <w:rFonts w:ascii="Arial" w:cs="Arial" w:eastAsia="Arial" w:hAnsi="Arial"/>
          <w:color w:val="1A1A1A"/>
          <w:sz w:val="21"/>
          <w:szCs w:val="21"/>
        </w:rPr>
        <w:t xml:space="preserve">Chiffres clés : compteurs animés (années d’expérience, références, pays couverts)</w:t>
      </w:r>
    </w:p>
    <w:p>
      <w:pPr>
        <w:pStyle w:val="ListParagraph"/>
        <w:numPr>
          <w:ilvl w:val="0"/>
          <w:numId w:val="2"/>
        </w:numPr>
        <w:spacing w:after="60" w:before="40"/>
      </w:pPr>
      <w:r>
        <w:rPr>
          <w:rFonts w:ascii="Arial" w:cs="Arial" w:eastAsia="Arial" w:hAnsi="Arial"/>
          <w:color w:val="1A1A1A"/>
          <w:sz w:val="21"/>
          <w:szCs w:val="21"/>
        </w:rPr>
        <w:t xml:space="preserve">Extrait blog : 3 derniers articles mis en avant</w:t>
      </w:r>
    </w:p>
    <w:p>
      <w:pPr>
        <w:pStyle w:val="ListParagraph"/>
        <w:numPr>
          <w:ilvl w:val="0"/>
          <w:numId w:val="2"/>
        </w:numPr>
        <w:spacing w:after="60" w:before="40"/>
      </w:pPr>
      <w:r>
        <w:rPr>
          <w:rFonts w:ascii="Arial" w:cs="Arial" w:eastAsia="Arial" w:hAnsi="Arial"/>
          <w:color w:val="1A1A1A"/>
          <w:sz w:val="21"/>
          <w:szCs w:val="21"/>
        </w:rPr>
        <w:t xml:space="preserve">Call-to-action final : invitation au contact</w:t>
      </w:r>
    </w:p>
    <w:p>
      <w:pPr>
        <w:spacing w:after="100" w:before="0"/>
      </w:pPr>
      <w:r>
        <w:t xml:space="preserve"/>
      </w:r>
    </w:p>
    <w:p>
      <w:pPr>
        <w:pStyle w:val="Heading2"/>
        <w:spacing w:after="120" w:before="280"/>
      </w:pPr>
      <w:r>
        <w:rPr>
          <w:rFonts w:ascii="Arial" w:cs="Arial" w:eastAsia="Arial" w:hAnsi="Arial"/>
          <w:b/>
          <w:bCs/>
          <w:color w:val="6B1A2B"/>
          <w:sz w:val="26"/>
          <w:szCs w:val="26"/>
        </w:rPr>
        <w:t xml:space="preserve">3.2 Page Catalogue (catalogue.html)</w:t>
      </w:r>
    </w:p>
    <w:p>
      <w:pPr>
        <w:spacing w:after="100" w:before="60"/>
      </w:pPr>
      <w:r>
        <w:rPr>
          <w:rFonts w:ascii="Arial" w:cs="Arial" w:eastAsia="Arial" w:hAnsi="Arial"/>
          <w:color w:val="1A1A1A"/>
          <w:sz w:val="22"/>
          <w:szCs w:val="22"/>
        </w:rPr>
        <w:t xml:space="preserve">Le catalogue présente les produits disponibles avec un système de filtres :</w:t>
      </w:r>
    </w:p>
    <w:p>
      <w:pPr>
        <w:pStyle w:val="ListParagraph"/>
        <w:numPr>
          <w:ilvl w:val="0"/>
          <w:numId w:val="2"/>
        </w:numPr>
        <w:spacing w:after="60" w:before="40"/>
      </w:pPr>
      <w:r>
        <w:rPr>
          <w:rFonts w:ascii="Arial" w:cs="Arial" w:eastAsia="Arial" w:hAnsi="Arial"/>
          <w:color w:val="1A1A1A"/>
          <w:sz w:val="21"/>
          <w:szCs w:val="21"/>
        </w:rPr>
        <w:t xml:space="preserve">Filtres par catégorie : Tous, Vins Rouges, Vins Blancs, Rosés, Champagnes, Spiritueux, Collections</w:t>
      </w:r>
    </w:p>
    <w:p>
      <w:pPr>
        <w:pStyle w:val="ListParagraph"/>
        <w:numPr>
          <w:ilvl w:val="0"/>
          <w:numId w:val="2"/>
        </w:numPr>
        <w:spacing w:after="60" w:before="40"/>
      </w:pPr>
      <w:r>
        <w:rPr>
          <w:rFonts w:ascii="Arial" w:cs="Arial" w:eastAsia="Arial" w:hAnsi="Arial"/>
          <w:color w:val="1A1A1A"/>
          <w:sz w:val="21"/>
          <w:szCs w:val="21"/>
        </w:rPr>
        <w:t xml:space="preserve">Cartes produits : photo, nom, appellation, millésime, prix indicatif</w:t>
      </w:r>
    </w:p>
    <w:p>
      <w:pPr>
        <w:pStyle w:val="ListParagraph"/>
        <w:numPr>
          <w:ilvl w:val="0"/>
          <w:numId w:val="2"/>
        </w:numPr>
        <w:spacing w:after="60" w:before="40"/>
      </w:pPr>
      <w:r>
        <w:rPr>
          <w:rFonts w:ascii="Arial" w:cs="Arial" w:eastAsia="Arial" w:hAnsi="Arial"/>
          <w:color w:val="1A1A1A"/>
          <w:sz w:val="21"/>
          <w:szCs w:val="21"/>
        </w:rPr>
        <w:t xml:space="preserve">Bouton téléchargement PDF du catalogue complet</w:t>
      </w:r>
    </w:p>
    <w:p>
      <w:pPr>
        <w:spacing w:after="100" w:before="0"/>
      </w:pPr>
      <w:r>
        <w:t xml:space="preserve"/>
      </w:r>
    </w:p>
    <w:p>
      <w:pPr>
        <w:pStyle w:val="Heading2"/>
        <w:spacing w:after="120" w:before="280"/>
      </w:pPr>
      <w:r>
        <w:rPr>
          <w:rFonts w:ascii="Arial" w:cs="Arial" w:eastAsia="Arial" w:hAnsi="Arial"/>
          <w:b/>
          <w:bCs/>
          <w:color w:val="6B1A2B"/>
          <w:sz w:val="26"/>
          <w:szCs w:val="26"/>
        </w:rPr>
        <w:t xml:space="preserve">3.3 Page À propos (about.html)</w:t>
      </w:r>
    </w:p>
    <w:p>
      <w:pPr>
        <w:spacing w:after="100" w:before="60"/>
      </w:pPr>
      <w:r>
        <w:rPr>
          <w:rFonts w:ascii="Arial" w:cs="Arial" w:eastAsia="Arial" w:hAnsi="Arial"/>
          <w:color w:val="1A1A1A"/>
          <w:sz w:val="22"/>
          <w:szCs w:val="22"/>
        </w:rPr>
        <w:t xml:space="preserve">Présente l’identité et les valeurs de Africa Wine Food :</w:t>
      </w:r>
    </w:p>
    <w:p>
      <w:pPr>
        <w:pStyle w:val="ListParagraph"/>
        <w:numPr>
          <w:ilvl w:val="0"/>
          <w:numId w:val="2"/>
        </w:numPr>
        <w:spacing w:after="60" w:before="40"/>
      </w:pPr>
      <w:r>
        <w:rPr>
          <w:rFonts w:ascii="Arial" w:cs="Arial" w:eastAsia="Arial" w:hAnsi="Arial"/>
          <w:color w:val="1A1A1A"/>
          <w:sz w:val="21"/>
          <w:szCs w:val="21"/>
        </w:rPr>
        <w:t xml:space="preserve">Histoire de l’agence et mission</w:t>
      </w:r>
    </w:p>
    <w:p>
      <w:pPr>
        <w:pStyle w:val="ListParagraph"/>
        <w:numPr>
          <w:ilvl w:val="0"/>
          <w:numId w:val="2"/>
        </w:numPr>
        <w:spacing w:after="60" w:before="40"/>
      </w:pPr>
      <w:r>
        <w:rPr>
          <w:rFonts w:ascii="Arial" w:cs="Arial" w:eastAsia="Arial" w:hAnsi="Arial"/>
          <w:color w:val="1A1A1A"/>
          <w:sz w:val="21"/>
          <w:szCs w:val="21"/>
        </w:rPr>
        <w:t xml:space="preserve">Valeurs fondatrices : excellence, authenticité, service</w:t>
      </w:r>
    </w:p>
    <w:p>
      <w:pPr>
        <w:pStyle w:val="ListParagraph"/>
        <w:numPr>
          <w:ilvl w:val="0"/>
          <w:numId w:val="2"/>
        </w:numPr>
        <w:spacing w:after="60" w:before="40"/>
      </w:pPr>
      <w:r>
        <w:rPr>
          <w:rFonts w:ascii="Arial" w:cs="Arial" w:eastAsia="Arial" w:hAnsi="Arial"/>
          <w:color w:val="1A1A1A"/>
          <w:sz w:val="21"/>
          <w:szCs w:val="21"/>
        </w:rPr>
        <w:t xml:space="preserve">Équipe et expertise sommeliers</w:t>
      </w:r>
    </w:p>
    <w:p>
      <w:pPr>
        <w:spacing w:after="100" w:before="0"/>
      </w:pPr>
      <w:r>
        <w:t xml:space="preserve"/>
      </w:r>
    </w:p>
    <w:p>
      <w:pPr>
        <w:pStyle w:val="Heading2"/>
        <w:spacing w:after="120" w:before="280"/>
      </w:pPr>
      <w:r>
        <w:rPr>
          <w:rFonts w:ascii="Arial" w:cs="Arial" w:eastAsia="Arial" w:hAnsi="Arial"/>
          <w:b/>
          <w:bCs/>
          <w:color w:val="6B1A2B"/>
          <w:sz w:val="26"/>
          <w:szCs w:val="26"/>
        </w:rPr>
        <w:t xml:space="preserve">3.4 Page Blog (blog.html)</w:t>
      </w:r>
    </w:p>
    <w:p>
      <w:pPr>
        <w:spacing w:after="100" w:before="60"/>
      </w:pPr>
      <w:r>
        <w:rPr>
          <w:rFonts w:ascii="Arial" w:cs="Arial" w:eastAsia="Arial" w:hAnsi="Arial"/>
          <w:color w:val="1A1A1A"/>
          <w:sz w:val="22"/>
          <w:szCs w:val="22"/>
        </w:rPr>
        <w:t xml:space="preserve">Espace éditorial pour les actualités et articles :</w:t>
      </w:r>
    </w:p>
    <w:p>
      <w:pPr>
        <w:pStyle w:val="ListParagraph"/>
        <w:numPr>
          <w:ilvl w:val="0"/>
          <w:numId w:val="2"/>
        </w:numPr>
        <w:spacing w:after="60" w:before="40"/>
      </w:pPr>
      <w:r>
        <w:rPr>
          <w:rFonts w:ascii="Arial" w:cs="Arial" w:eastAsia="Arial" w:hAnsi="Arial"/>
          <w:color w:val="1A1A1A"/>
          <w:sz w:val="21"/>
          <w:szCs w:val="21"/>
        </w:rPr>
        <w:t xml:space="preserve">Grille d’articles avec image, titre, catégorie, date et extrait</w:t>
      </w:r>
    </w:p>
    <w:p>
      <w:pPr>
        <w:pStyle w:val="ListParagraph"/>
        <w:numPr>
          <w:ilvl w:val="0"/>
          <w:numId w:val="2"/>
        </w:numPr>
        <w:spacing w:after="60" w:before="40"/>
      </w:pPr>
      <w:r>
        <w:rPr>
          <w:rFonts w:ascii="Arial" w:cs="Arial" w:eastAsia="Arial" w:hAnsi="Arial"/>
          <w:color w:val="1A1A1A"/>
          <w:sz w:val="21"/>
          <w:szCs w:val="21"/>
        </w:rPr>
        <w:t xml:space="preserve">Catégories : Dégustation, Actualités, Conseils, Investissement</w:t>
      </w:r>
    </w:p>
    <w:p>
      <w:pPr>
        <w:spacing w:after="100" w:before="0"/>
      </w:pPr>
      <w:r>
        <w:t xml:space="preserve"/>
      </w:r>
    </w:p>
    <w:p>
      <w:pPr>
        <w:pStyle w:val="Heading2"/>
        <w:spacing w:after="120" w:before="280"/>
      </w:pPr>
      <w:r>
        <w:rPr>
          <w:rFonts w:ascii="Arial" w:cs="Arial" w:eastAsia="Arial" w:hAnsi="Arial"/>
          <w:b/>
          <w:bCs/>
          <w:color w:val="6B1A2B"/>
          <w:sz w:val="26"/>
          <w:szCs w:val="26"/>
        </w:rPr>
        <w:t xml:space="preserve">3.5 Page Contact (contact.html)</w:t>
      </w:r>
    </w:p>
    <w:p>
      <w:pPr>
        <w:spacing w:after="100" w:before="60"/>
      </w:pPr>
      <w:r>
        <w:rPr>
          <w:rFonts w:ascii="Arial" w:cs="Arial" w:eastAsia="Arial" w:hAnsi="Arial"/>
          <w:color w:val="1A1A1A"/>
          <w:sz w:val="22"/>
          <w:szCs w:val="22"/>
        </w:rPr>
        <w:t xml:space="preserve">Formulaire de prise de contact avec champs : nom, email, téléphone, sujet, message. Coordonnées complètes et liens réseaux sociaux.</w:t>
      </w:r>
    </w:p>
    <w:p>
      <w:pPr>
        <w:spacing w:after="100" w:before="0"/>
      </w:pPr>
      <w:r>
        <w:t xml:space="preserve"/>
      </w:r>
    </w:p>
    <w:p>
      <w:pPr>
        <w:pStyle w:val="Heading2"/>
        <w:spacing w:after="120" w:before="280"/>
      </w:pPr>
      <w:r>
        <w:rPr>
          <w:rFonts w:ascii="Arial" w:cs="Arial" w:eastAsia="Arial" w:hAnsi="Arial"/>
          <w:b/>
          <w:bCs/>
          <w:color w:val="6B1A2B"/>
          <w:sz w:val="26"/>
          <w:szCs w:val="26"/>
        </w:rPr>
        <w:t xml:space="preserve">3.6 Page Commande (commande.html)</w:t>
      </w:r>
    </w:p>
    <w:p>
      <w:pPr>
        <w:spacing w:after="100" w:before="60"/>
      </w:pPr>
      <w:r>
        <w:rPr>
          <w:rFonts w:ascii="Arial" w:cs="Arial" w:eastAsia="Arial" w:hAnsi="Arial"/>
          <w:color w:val="1A1A1A"/>
          <w:sz w:val="22"/>
          <w:szCs w:val="22"/>
        </w:rPr>
        <w:t xml:space="preserve">Formulaire de commande avec sélection de produits, quantités, adresse de livraison et instructions spéciales. La commande est transmise par email ou WhatsApp.</w:t>
      </w:r>
    </w:p>
    <w:p>
      <w:pPr>
        <w:spacing w:after="200" w:before="0"/>
      </w:pPr>
      <w:r>
        <w:t xml:space="preserve"/>
      </w:r>
    </w:p>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4. Infrastructure &amp; Hébergement</w:t>
      </w:r>
    </w:p>
    <w:p>
      <w:pPr>
        <w:pStyle w:val="Heading2"/>
        <w:spacing w:after="120" w:before="280"/>
      </w:pPr>
      <w:r>
        <w:rPr>
          <w:rFonts w:ascii="Arial" w:cs="Arial" w:eastAsia="Arial" w:hAnsi="Arial"/>
          <w:b/>
          <w:bCs/>
          <w:color w:val="6B1A2B"/>
          <w:sz w:val="26"/>
          <w:szCs w:val="26"/>
        </w:rPr>
        <w:t xml:space="preserve">4.1 Solution retenue</w:t>
      </w:r>
    </w:p>
    <w:p>
      <w:pPr>
        <w:spacing w:after="100" w:before="60"/>
      </w:pPr>
      <w:r>
        <w:rPr>
          <w:rFonts w:ascii="Arial" w:cs="Arial" w:eastAsia="Arial" w:hAnsi="Arial"/>
          <w:color w:val="1A1A1A"/>
          <w:sz w:val="22"/>
          <w:szCs w:val="22"/>
        </w:rPr>
        <w:t xml:space="preserve">Compte tenu du profil statique du site (aucune base de données, aucun back-office), une solution d’hébergement mutualisé performance est pleinement adaptée.</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1526"/>
      </w:tblGrid>
      <w:tr>
        <w:trPr>
          <w:tblHeader/>
        </w:trPr>
        <w:tc>
          <w:tcPr>
            <w:tcW w:type="dxa" w:w="25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Composant</w:t>
            </w:r>
          </w:p>
        </w:tc>
        <w:tc>
          <w:tcPr>
            <w:tcW w:type="dxa" w:w="25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Solution</w:t>
            </w:r>
          </w:p>
        </w:tc>
        <w:tc>
          <w:tcPr>
            <w:tcW w:type="dxa" w:w="25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Fournisseur</w:t>
            </w:r>
          </w:p>
        </w:tc>
        <w:tc>
          <w:tcPr>
            <w:tcW w:type="dxa" w:w="1526"/>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Durée</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Nom de domaine</w:t>
            </w:r>
          </w:p>
        </w:tc>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africawinefood.com</w:t>
            </w:r>
          </w:p>
        </w:tc>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Namecheap / OVH</w:t>
            </w:r>
          </w:p>
        </w:tc>
        <w:tc>
          <w:tcPr>
            <w:tcW w:type="dxa" w:w="15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2 ans</w:t>
            </w:r>
          </w:p>
        </w:tc>
      </w:tr>
      <w:tr>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Hébergement web</w:t>
            </w:r>
          </w:p>
        </w:tc>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Hébergement Premium</w:t>
            </w:r>
          </w:p>
        </w:tc>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Hostinger</w:t>
            </w:r>
          </w:p>
        </w:tc>
        <w:tc>
          <w:tcPr>
            <w:tcW w:type="dxa" w:w="15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2 ans</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Certificat SSL</w:t>
            </w:r>
          </w:p>
        </w:tc>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Let’s Encrypt (HTTPS)</w:t>
            </w:r>
          </w:p>
        </w:tc>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Inclus Hostinger</w:t>
            </w:r>
          </w:p>
        </w:tc>
        <w:tc>
          <w:tcPr>
            <w:tcW w:type="dxa" w:w="15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2 ans</w:t>
            </w:r>
          </w:p>
        </w:tc>
      </w:tr>
      <w:tr>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Bande passante</w:t>
            </w:r>
          </w:p>
        </w:tc>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Illimitée</w:t>
            </w:r>
          </w:p>
        </w:tc>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Inclus Hostinger</w:t>
            </w:r>
          </w:p>
        </w:tc>
        <w:tc>
          <w:tcPr>
            <w:tcW w:type="dxa" w:w="15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2 ans</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Sauvegardes</w:t>
            </w:r>
          </w:p>
        </w:tc>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Automatiques hebdomadaires</w:t>
            </w:r>
          </w:p>
        </w:tc>
        <w:tc>
          <w:tcPr>
            <w:tcW w:type="dxa" w:w="2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Inclus Hostinger</w:t>
            </w:r>
          </w:p>
        </w:tc>
        <w:tc>
          <w:tcPr>
            <w:tcW w:type="dxa" w:w="15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2 ans</w:t>
            </w:r>
          </w:p>
        </w:tc>
      </w:tr>
      <w:tr>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Uptime garanti</w:t>
            </w:r>
          </w:p>
        </w:tc>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99,9%</w:t>
            </w:r>
          </w:p>
        </w:tc>
        <w:tc>
          <w:tcPr>
            <w:tcW w:type="dxa" w:w="2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SLA Hostinger</w:t>
            </w:r>
          </w:p>
        </w:tc>
        <w:tc>
          <w:tcPr>
            <w:tcW w:type="dxa" w:w="15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2 ans</w:t>
            </w:r>
          </w:p>
        </w:tc>
      </w:tr>
    </w:tbl>
    <w:p>
      <w:pPr>
        <w:spacing w:after="200" w:before="0"/>
      </w:pPr>
      <w:r>
        <w:t xml:space="preserve"/>
      </w:r>
    </w:p>
    <w:p>
      <w:pPr>
        <w:pStyle w:val="Heading2"/>
        <w:spacing w:after="120" w:before="280"/>
      </w:pPr>
      <w:r>
        <w:rPr>
          <w:rFonts w:ascii="Arial" w:cs="Arial" w:eastAsia="Arial" w:hAnsi="Arial"/>
          <w:b/>
          <w:bCs/>
          <w:color w:val="6B1A2B"/>
          <w:sz w:val="26"/>
          <w:szCs w:val="26"/>
        </w:rPr>
        <w:t xml:space="preserve">4.2 Modalités de mise en ligne</w:t>
      </w:r>
    </w:p>
    <w:p>
      <w:pPr>
        <w:pStyle w:val="ListParagraph"/>
        <w:numPr>
          <w:ilvl w:val="0"/>
          <w:numId w:val="2"/>
        </w:numPr>
        <w:spacing w:after="60" w:before="40"/>
      </w:pPr>
      <w:r>
        <w:rPr>
          <w:rFonts w:ascii="Arial" w:cs="Arial" w:eastAsia="Arial" w:hAnsi="Arial"/>
          <w:color w:val="1A1A1A"/>
          <w:sz w:val="21"/>
          <w:szCs w:val="21"/>
        </w:rPr>
        <w:t xml:space="preserve">Transfert des fichiers par FTP/SFTP ou panneau cPanel</w:t>
      </w:r>
    </w:p>
    <w:p>
      <w:pPr>
        <w:pStyle w:val="ListParagraph"/>
        <w:numPr>
          <w:ilvl w:val="0"/>
          <w:numId w:val="2"/>
        </w:numPr>
        <w:spacing w:after="60" w:before="40"/>
      </w:pPr>
      <w:r>
        <w:rPr>
          <w:rFonts w:ascii="Arial" w:cs="Arial" w:eastAsia="Arial" w:hAnsi="Arial"/>
          <w:color w:val="1A1A1A"/>
          <w:sz w:val="21"/>
          <w:szCs w:val="21"/>
        </w:rPr>
        <w:t xml:space="preserve">Configuration DNS (enregistrements A, CNAME, MX)</w:t>
      </w:r>
    </w:p>
    <w:p>
      <w:pPr>
        <w:pStyle w:val="ListParagraph"/>
        <w:numPr>
          <w:ilvl w:val="0"/>
          <w:numId w:val="2"/>
        </w:numPr>
        <w:spacing w:after="60" w:before="40"/>
      </w:pPr>
      <w:r>
        <w:rPr>
          <w:rFonts w:ascii="Arial" w:cs="Arial" w:eastAsia="Arial" w:hAnsi="Arial"/>
          <w:color w:val="1A1A1A"/>
          <w:sz w:val="21"/>
          <w:szCs w:val="21"/>
        </w:rPr>
        <w:t xml:space="preserve">Activation et vérification SSL</w:t>
      </w:r>
    </w:p>
    <w:p>
      <w:pPr>
        <w:pStyle w:val="ListParagraph"/>
        <w:numPr>
          <w:ilvl w:val="0"/>
          <w:numId w:val="2"/>
        </w:numPr>
        <w:spacing w:after="60" w:before="40"/>
      </w:pPr>
      <w:r>
        <w:rPr>
          <w:rFonts w:ascii="Arial" w:cs="Arial" w:eastAsia="Arial" w:hAnsi="Arial"/>
          <w:color w:val="1A1A1A"/>
          <w:sz w:val="21"/>
          <w:szCs w:val="21"/>
        </w:rPr>
        <w:t xml:space="preserve">Tests de compatibilité cross-browser (Chrome, Firefox, Safari, Edge)</w:t>
      </w:r>
    </w:p>
    <w:p>
      <w:pPr>
        <w:pStyle w:val="ListParagraph"/>
        <w:numPr>
          <w:ilvl w:val="0"/>
          <w:numId w:val="2"/>
        </w:numPr>
        <w:spacing w:after="60" w:before="40"/>
      </w:pPr>
      <w:r>
        <w:rPr>
          <w:rFonts w:ascii="Arial" w:cs="Arial" w:eastAsia="Arial" w:hAnsi="Arial"/>
          <w:color w:val="1A1A1A"/>
          <w:sz w:val="21"/>
          <w:szCs w:val="21"/>
        </w:rPr>
        <w:t xml:space="preserve">Tests de performance (chargement &lt; 3 secondes sur connexion mobile)</w:t>
      </w:r>
    </w:p>
    <w:p>
      <w:pPr>
        <w:pStyle w:val="ListParagraph"/>
        <w:numPr>
          <w:ilvl w:val="0"/>
          <w:numId w:val="2"/>
        </w:numPr>
        <w:spacing w:after="60" w:before="40"/>
      </w:pPr>
      <w:r>
        <w:rPr>
          <w:rFonts w:ascii="Arial" w:cs="Arial" w:eastAsia="Arial" w:hAnsi="Arial"/>
          <w:color w:val="1A1A1A"/>
          <w:sz w:val="21"/>
          <w:szCs w:val="21"/>
        </w:rPr>
        <w:t xml:space="preserve">Livraison des accès hébergement au client</w:t>
      </w:r>
    </w:p>
    <w:p>
      <w:pPr>
        <w:spacing w:after="200" w:before="0"/>
      </w:pPr>
      <w:r>
        <w:t xml:space="preserve"/>
      </w:r>
    </w:p>
    <w:p>
      <w:pPr>
        <w:pStyle w:val="Heading2"/>
        <w:spacing w:after="120" w:before="280"/>
      </w:pPr>
      <w:r>
        <w:rPr>
          <w:rFonts w:ascii="Arial" w:cs="Arial" w:eastAsia="Arial" w:hAnsi="Arial"/>
          <w:b/>
          <w:bCs/>
          <w:color w:val="6B1A2B"/>
          <w:sz w:val="26"/>
          <w:szCs w:val="26"/>
        </w:rPr>
        <w:t xml:space="preserve">4.3 Maintenance 2 ans incluse</w:t>
      </w:r>
    </w:p>
    <w:p>
      <w:pPr>
        <w:pStyle w:val="ListParagraph"/>
        <w:numPr>
          <w:ilvl w:val="0"/>
          <w:numId w:val="2"/>
        </w:numPr>
        <w:spacing w:after="60" w:before="40"/>
      </w:pPr>
      <w:r>
        <w:rPr>
          <w:rFonts w:ascii="Arial" w:cs="Arial" w:eastAsia="Arial" w:hAnsi="Arial"/>
          <w:color w:val="1A1A1A"/>
          <w:sz w:val="21"/>
          <w:szCs w:val="21"/>
        </w:rPr>
        <w:t xml:space="preserve">Corrections de bugs ou anomalies d’affichage</w:t>
      </w:r>
    </w:p>
    <w:p>
      <w:pPr>
        <w:pStyle w:val="ListParagraph"/>
        <w:numPr>
          <w:ilvl w:val="0"/>
          <w:numId w:val="2"/>
        </w:numPr>
        <w:spacing w:after="60" w:before="40"/>
      </w:pPr>
      <w:r>
        <w:rPr>
          <w:rFonts w:ascii="Arial" w:cs="Arial" w:eastAsia="Arial" w:hAnsi="Arial"/>
          <w:color w:val="1A1A1A"/>
          <w:sz w:val="21"/>
          <w:szCs w:val="21"/>
        </w:rPr>
        <w:t xml:space="preserve">Mises à jour mineures de contenu (textes, prix, photos)</w:t>
      </w:r>
    </w:p>
    <w:p>
      <w:pPr>
        <w:pStyle w:val="ListParagraph"/>
        <w:numPr>
          <w:ilvl w:val="0"/>
          <w:numId w:val="2"/>
        </w:numPr>
        <w:spacing w:after="60" w:before="40"/>
      </w:pPr>
      <w:r>
        <w:rPr>
          <w:rFonts w:ascii="Arial" w:cs="Arial" w:eastAsia="Arial" w:hAnsi="Arial"/>
          <w:color w:val="1A1A1A"/>
          <w:sz w:val="21"/>
          <w:szCs w:val="21"/>
        </w:rPr>
        <w:t xml:space="preserve">Surveillance de la disponibilité du site</w:t>
      </w:r>
    </w:p>
    <w:p>
      <w:pPr>
        <w:pStyle w:val="ListParagraph"/>
        <w:numPr>
          <w:ilvl w:val="0"/>
          <w:numId w:val="2"/>
        </w:numPr>
        <w:spacing w:after="60" w:before="40"/>
      </w:pPr>
      <w:r>
        <w:rPr>
          <w:rFonts w:ascii="Arial" w:cs="Arial" w:eastAsia="Arial" w:hAnsi="Arial"/>
          <w:color w:val="1A1A1A"/>
          <w:sz w:val="21"/>
          <w:szCs w:val="21"/>
        </w:rPr>
        <w:t xml:space="preserve">Support par WhatsApp et email sous 48h ouvrables</w:t>
      </w:r>
    </w:p>
    <w:p>
      <w:pPr>
        <w:pStyle w:val="ListParagraph"/>
        <w:numPr>
          <w:ilvl w:val="0"/>
          <w:numId w:val="2"/>
        </w:numPr>
        <w:spacing w:after="60" w:before="40"/>
      </w:pPr>
      <w:r>
        <w:rPr>
          <w:rFonts w:ascii="Arial" w:cs="Arial" w:eastAsia="Arial" w:hAnsi="Arial"/>
          <w:color w:val="1A1A1A"/>
          <w:sz w:val="21"/>
          <w:szCs w:val="21"/>
        </w:rPr>
        <w:t xml:space="preserve">Renouvellement domaine et hébergement géré par le prestataire</w:t>
      </w:r>
    </w:p>
    <w:p>
      <w:pPr>
        <w:spacing w:after="200" w:before="0"/>
      </w:pPr>
      <w:r>
        <w:t xml:space="preserve"/>
      </w:r>
    </w:p>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5. Planning de réalisation</w:t>
      </w:r>
    </w:p>
    <w:p>
      <w:pPr>
        <w:spacing w:after="100" w:before="60"/>
      </w:pPr>
      <w:r>
        <w:rPr>
          <w:rFonts w:ascii="Arial" w:cs="Arial" w:eastAsia="Arial" w:hAnsi="Arial"/>
          <w:color w:val="1A1A1A"/>
          <w:sz w:val="22"/>
          <w:szCs w:val="22"/>
        </w:rPr>
        <w:t xml:space="preserve">Le délai de livraison est estimé à 7 à 14 jours ouvrables à compter de la réception de l’acompte et des éléments de contenu.</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500"/>
        <w:gridCol w:w="2326"/>
      </w:tblGrid>
      <w:tr>
        <w:trPr>
          <w:tblHeader/>
        </w:trPr>
        <w:tc>
          <w:tcPr>
            <w:tcW w:type="dxa" w:w="12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Étape</w:t>
            </w:r>
          </w:p>
        </w:tc>
        <w:tc>
          <w:tcPr>
            <w:tcW w:type="dxa" w:w="55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Activité</w:t>
            </w:r>
          </w:p>
        </w:tc>
        <w:tc>
          <w:tcPr>
            <w:tcW w:type="dxa" w:w="2326"/>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Durée estimée</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1</w:t>
            </w:r>
          </w:p>
        </w:tc>
        <w:tc>
          <w:tcPr>
            <w:tcW w:type="dxa" w:w="5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Réception acompte + briefing détaillé client</w:t>
            </w:r>
          </w:p>
        </w:tc>
        <w:tc>
          <w:tcPr>
            <w:tcW w:type="dxa" w:w="23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Jour 1</w:t>
            </w:r>
          </w:p>
        </w:tc>
      </w:tr>
      <w:tr>
        <w:tc>
          <w:tcPr>
            <w:tcW w:type="dxa" w:w="12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2</w:t>
            </w:r>
          </w:p>
        </w:tc>
        <w:tc>
          <w:tcPr>
            <w:tcW w:type="dxa" w:w="5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Maquettage et validation charte graphique</w:t>
            </w:r>
          </w:p>
        </w:tc>
        <w:tc>
          <w:tcPr>
            <w:tcW w:type="dxa" w:w="23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Jours 2-3</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3</w:t>
            </w:r>
          </w:p>
        </w:tc>
        <w:tc>
          <w:tcPr>
            <w:tcW w:type="dxa" w:w="5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Développement page Accueil</w:t>
            </w:r>
          </w:p>
        </w:tc>
        <w:tc>
          <w:tcPr>
            <w:tcW w:type="dxa" w:w="23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Jours 3-5</w:t>
            </w:r>
          </w:p>
        </w:tc>
      </w:tr>
      <w:tr>
        <w:tc>
          <w:tcPr>
            <w:tcW w:type="dxa" w:w="12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4</w:t>
            </w:r>
          </w:p>
        </w:tc>
        <w:tc>
          <w:tcPr>
            <w:tcW w:type="dxa" w:w="5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Développement pages secondaires (Catalogue, About, Blog)</w:t>
            </w:r>
          </w:p>
        </w:tc>
        <w:tc>
          <w:tcPr>
            <w:tcW w:type="dxa" w:w="23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Jours 5-8</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5</w:t>
            </w:r>
          </w:p>
        </w:tc>
        <w:tc>
          <w:tcPr>
            <w:tcW w:type="dxa" w:w="5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Développement pages Contact et Commande</w:t>
            </w:r>
          </w:p>
        </w:tc>
        <w:tc>
          <w:tcPr>
            <w:tcW w:type="dxa" w:w="23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Jours 8-9</w:t>
            </w:r>
          </w:p>
        </w:tc>
      </w:tr>
      <w:tr>
        <w:tc>
          <w:tcPr>
            <w:tcW w:type="dxa" w:w="12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6</w:t>
            </w:r>
          </w:p>
        </w:tc>
        <w:tc>
          <w:tcPr>
            <w:tcW w:type="dxa" w:w="5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Intégration bilinguisme, devise, animations</w:t>
            </w:r>
          </w:p>
        </w:tc>
        <w:tc>
          <w:tcPr>
            <w:tcW w:type="dxa" w:w="23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Jours 9-11</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7</w:t>
            </w:r>
          </w:p>
        </w:tc>
        <w:tc>
          <w:tcPr>
            <w:tcW w:type="dxa" w:w="5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Tests, corrections, optimisation mobile</w:t>
            </w:r>
          </w:p>
        </w:tc>
        <w:tc>
          <w:tcPr>
            <w:tcW w:type="dxa" w:w="23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Jours 11-12</w:t>
            </w:r>
          </w:p>
        </w:tc>
      </w:tr>
      <w:tr>
        <w:tc>
          <w:tcPr>
            <w:tcW w:type="dxa" w:w="12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8</w:t>
            </w:r>
          </w:p>
        </w:tc>
        <w:tc>
          <w:tcPr>
            <w:tcW w:type="dxa" w:w="55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Mise en ligne, configuration hébergement</w:t>
            </w:r>
          </w:p>
        </w:tc>
        <w:tc>
          <w:tcPr>
            <w:tcW w:type="dxa" w:w="23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Jours 13-14</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9</w:t>
            </w:r>
          </w:p>
        </w:tc>
        <w:tc>
          <w:tcPr>
            <w:tcW w:type="dxa" w:w="55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Livraison finale + formation client</w:t>
            </w:r>
          </w:p>
        </w:tc>
        <w:tc>
          <w:tcPr>
            <w:tcW w:type="dxa" w:w="23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Jour 14</w:t>
            </w:r>
          </w:p>
        </w:tc>
      </w:tr>
    </w:tbl>
    <w:p>
      <w:pPr>
        <w:spacing w:after="200" w:before="0"/>
      </w:pPr>
      <w:r>
        <w:t xml:space="preserve"/>
      </w:r>
    </w:p>
    <w:p>
      <w:pPr>
        <w:pStyle w:val="Heading2"/>
        <w:spacing w:after="120" w:before="280"/>
      </w:pPr>
      <w:r>
        <w:rPr>
          <w:rFonts w:ascii="Arial" w:cs="Arial" w:eastAsia="Arial" w:hAnsi="Arial"/>
          <w:b/>
          <w:bCs/>
          <w:color w:val="6B1A2B"/>
          <w:sz w:val="26"/>
          <w:szCs w:val="26"/>
        </w:rPr>
        <w:t xml:space="preserve">5.1 Conditions de respect des délais</w:t>
      </w:r>
    </w:p>
    <w:p>
      <w:pPr>
        <w:spacing w:after="100" w:before="60"/>
      </w:pPr>
      <w:r>
        <w:rPr>
          <w:rFonts w:ascii="Arial" w:cs="Arial" w:eastAsia="Arial" w:hAnsi="Arial"/>
          <w:color w:val="1A1A1A"/>
          <w:sz w:val="22"/>
          <w:szCs w:val="22"/>
        </w:rPr>
        <w:t xml:space="preserve">Le respect du planning est conditionné à la fourniture par le client, dans les 48h suivant le versement de l’acompte, des éléments suivants :</w:t>
      </w:r>
    </w:p>
    <w:p>
      <w:pPr>
        <w:pStyle w:val="ListParagraph"/>
        <w:numPr>
          <w:ilvl w:val="0"/>
          <w:numId w:val="2"/>
        </w:numPr>
        <w:spacing w:after="60" w:before="40"/>
      </w:pPr>
      <w:r>
        <w:rPr>
          <w:rFonts w:ascii="Arial" w:cs="Arial" w:eastAsia="Arial" w:hAnsi="Arial"/>
          <w:color w:val="1A1A1A"/>
          <w:sz w:val="21"/>
          <w:szCs w:val="21"/>
        </w:rPr>
        <w:t xml:space="preserve">Logo en haute définition (PNG transparent ou SVG)</w:t>
      </w:r>
    </w:p>
    <w:p>
      <w:pPr>
        <w:pStyle w:val="ListParagraph"/>
        <w:numPr>
          <w:ilvl w:val="0"/>
          <w:numId w:val="2"/>
        </w:numPr>
        <w:spacing w:after="60" w:before="40"/>
      </w:pPr>
      <w:r>
        <w:rPr>
          <w:rFonts w:ascii="Arial" w:cs="Arial" w:eastAsia="Arial" w:hAnsi="Arial"/>
          <w:color w:val="1A1A1A"/>
          <w:sz w:val="21"/>
          <w:szCs w:val="21"/>
        </w:rPr>
        <w:t xml:space="preserve">Photos produits (minimum 10 visuels haute résolution)</w:t>
      </w:r>
    </w:p>
    <w:p>
      <w:pPr>
        <w:pStyle w:val="ListParagraph"/>
        <w:numPr>
          <w:ilvl w:val="0"/>
          <w:numId w:val="2"/>
        </w:numPr>
        <w:spacing w:after="60" w:before="40"/>
      </w:pPr>
      <w:r>
        <w:rPr>
          <w:rFonts w:ascii="Arial" w:cs="Arial" w:eastAsia="Arial" w:hAnsi="Arial"/>
          <w:color w:val="1A1A1A"/>
          <w:sz w:val="21"/>
          <w:szCs w:val="21"/>
        </w:rPr>
        <w:t xml:space="preserve">Textes définitifs (présentation entreprise, descriptifs produits)</w:t>
      </w:r>
    </w:p>
    <w:p>
      <w:pPr>
        <w:pStyle w:val="ListParagraph"/>
        <w:numPr>
          <w:ilvl w:val="0"/>
          <w:numId w:val="2"/>
        </w:numPr>
        <w:spacing w:after="60" w:before="40"/>
      </w:pPr>
      <w:r>
        <w:rPr>
          <w:rFonts w:ascii="Arial" w:cs="Arial" w:eastAsia="Arial" w:hAnsi="Arial"/>
          <w:color w:val="1A1A1A"/>
          <w:sz w:val="21"/>
          <w:szCs w:val="21"/>
        </w:rPr>
        <w:t xml:space="preserve">Coordonnées complètes (adresse, téléphone, email, réseaux)</w:t>
      </w:r>
    </w:p>
    <w:p>
      <w:pPr>
        <w:pStyle w:val="ListParagraph"/>
        <w:numPr>
          <w:ilvl w:val="0"/>
          <w:numId w:val="2"/>
        </w:numPr>
        <w:spacing w:after="60" w:before="40"/>
      </w:pPr>
      <w:r>
        <w:rPr>
          <w:rFonts w:ascii="Arial" w:cs="Arial" w:eastAsia="Arial" w:hAnsi="Arial"/>
          <w:color w:val="1A1A1A"/>
          <w:sz w:val="21"/>
          <w:szCs w:val="21"/>
        </w:rPr>
        <w:t xml:space="preserve">Catalogue PDF à mettre en téléchargement</w:t>
      </w:r>
    </w:p>
    <w:p>
      <w:pPr>
        <w:spacing w:after="200" w:before="0"/>
      </w:pPr>
      <w:r>
        <w:t xml:space="preserve"/>
      </w:r>
    </w:p>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6. Volet financier</w:t>
      </w:r>
    </w:p>
    <w:p>
      <w:pPr>
        <w:pStyle w:val="Heading2"/>
        <w:spacing w:after="120" w:before="280"/>
      </w:pPr>
      <w:r>
        <w:rPr>
          <w:rFonts w:ascii="Arial" w:cs="Arial" w:eastAsia="Arial" w:hAnsi="Arial"/>
          <w:b/>
          <w:bCs/>
          <w:color w:val="6B1A2B"/>
          <w:sz w:val="26"/>
          <w:szCs w:val="26"/>
        </w:rPr>
        <w:t xml:space="preserve">6.1 Détail des coûts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1600"/>
        <w:gridCol w:w="1026"/>
      </w:tblGrid>
      <w:tr>
        <w:trPr>
          <w:tblHeader/>
        </w:trPr>
        <w:tc>
          <w:tcPr>
            <w:tcW w:type="dxa" w:w="28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Poste</w:t>
            </w:r>
          </w:p>
        </w:tc>
        <w:tc>
          <w:tcPr>
            <w:tcW w:type="dxa" w:w="36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Description</w:t>
            </w:r>
          </w:p>
        </w:tc>
        <w:tc>
          <w:tcPr>
            <w:tcW w:type="dxa" w:w="16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Montant FCFA</w:t>
            </w:r>
          </w:p>
        </w:tc>
        <w:tc>
          <w:tcPr>
            <w:tcW w:type="dxa" w:w="1026"/>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Montant EUR</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Conception &amp; développement</w:t>
            </w:r>
          </w:p>
        </w:tc>
        <w:tc>
          <w:tcPr>
            <w:tcW w:type="dxa" w:w="36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6 pages HTML/CSS/JS complètes</w:t>
            </w:r>
          </w:p>
        </w:tc>
        <w:tc>
          <w:tcPr>
            <w:tcW w:type="dxa" w:w="16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250 000</w:t>
            </w:r>
          </w:p>
        </w:tc>
        <w:tc>
          <w:tcPr>
            <w:tcW w:type="dxa" w:w="10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~381 €</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Design premium</w:t>
            </w:r>
          </w:p>
        </w:tc>
        <w:tc>
          <w:tcPr>
            <w:tcW w:type="dxa" w:w="36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Charte graphique luxe, animations, responsive</w:t>
            </w:r>
          </w:p>
        </w:tc>
        <w:tc>
          <w:tcPr>
            <w:tcW w:type="dxa" w:w="16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50 000</w:t>
            </w:r>
          </w:p>
        </w:tc>
        <w:tc>
          <w:tcPr>
            <w:tcW w:type="dxa" w:w="10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~76 €</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Sous-total développement</w:t>
            </w:r>
          </w:p>
        </w:tc>
        <w:tc>
          <w:tcPr>
            <w:tcW w:type="dxa" w:w="36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
            </w:r>
          </w:p>
        </w:tc>
        <w:tc>
          <w:tcPr>
            <w:tcW w:type="dxa" w:w="16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300 000</w:t>
            </w:r>
          </w:p>
        </w:tc>
        <w:tc>
          <w:tcPr>
            <w:tcW w:type="dxa" w:w="10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~457 €</w:t>
            </w:r>
          </w:p>
        </w:tc>
      </w:tr>
    </w:tbl>
    <w:p>
      <w:pPr>
        <w:spacing w:after="100" w:before="0"/>
      </w:pPr>
      <w:r>
        <w:t xml:space="preserve"/>
      </w:r>
    </w:p>
    <w:p>
      <w:pPr>
        <w:pStyle w:val="Heading2"/>
        <w:spacing w:after="120" w:before="280"/>
      </w:pPr>
      <w:r>
        <w:rPr>
          <w:rFonts w:ascii="Arial" w:cs="Arial" w:eastAsia="Arial" w:hAnsi="Arial"/>
          <w:b/>
          <w:bCs/>
          <w:color w:val="6B1A2B"/>
          <w:sz w:val="26"/>
          <w:szCs w:val="26"/>
        </w:rPr>
        <w:t xml:space="preserve">6.2 Détail des coûts d’infrastructure (2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800"/>
        <w:gridCol w:w="1826"/>
      </w:tblGrid>
      <w:tr>
        <w:trPr>
          <w:tblHeader/>
        </w:trPr>
        <w:tc>
          <w:tcPr>
            <w:tcW w:type="dxa" w:w="28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Poste</w:t>
            </w:r>
          </w:p>
        </w:tc>
        <w:tc>
          <w:tcPr>
            <w:tcW w:type="dxa" w:w="26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Fournisseur</w:t>
            </w:r>
          </w:p>
        </w:tc>
        <w:tc>
          <w:tcPr>
            <w:tcW w:type="dxa" w:w="18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Montant FCFA</w:t>
            </w:r>
          </w:p>
        </w:tc>
        <w:tc>
          <w:tcPr>
            <w:tcW w:type="dxa" w:w="1826"/>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Montant EUR</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Nom de domaine .com</w:t>
            </w:r>
          </w:p>
        </w:tc>
        <w:tc>
          <w:tcPr>
            <w:tcW w:type="dxa" w:w="26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Namecheap/OVH</w:t>
            </w:r>
          </w:p>
        </w:tc>
        <w:tc>
          <w:tcPr>
            <w:tcW w:type="dxa" w:w="1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18 000</w:t>
            </w:r>
          </w:p>
        </w:tc>
        <w:tc>
          <w:tcPr>
            <w:tcW w:type="dxa" w:w="18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~27 €</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Hébergement web Premium</w:t>
            </w:r>
          </w:p>
        </w:tc>
        <w:tc>
          <w:tcPr>
            <w:tcW w:type="dxa" w:w="26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Hostinger</w:t>
            </w:r>
          </w:p>
        </w:tc>
        <w:tc>
          <w:tcPr>
            <w:tcW w:type="dxa" w:w="1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55 000</w:t>
            </w:r>
          </w:p>
        </w:tc>
        <w:tc>
          <w:tcPr>
            <w:tcW w:type="dxa" w:w="18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~84 €</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Maintenance &amp; support</w:t>
            </w:r>
          </w:p>
        </w:tc>
        <w:tc>
          <w:tcPr>
            <w:tcW w:type="dxa" w:w="26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Prestataire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60 000</w:t>
            </w:r>
          </w:p>
        </w:tc>
        <w:tc>
          <w:tcPr>
            <w:tcW w:type="dxa" w:w="1826"/>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~92 €</w:t>
            </w:r>
          </w:p>
        </w:tc>
      </w:tr>
      <w:tr>
        <w:tc>
          <w:tcPr>
            <w:tcW w:type="dxa" w:w="2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Sous-total infrastructure</w:t>
            </w:r>
          </w:p>
        </w:tc>
        <w:tc>
          <w:tcPr>
            <w:tcW w:type="dxa" w:w="26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
            </w:r>
          </w:p>
        </w:tc>
        <w:tc>
          <w:tcPr>
            <w:tcW w:type="dxa" w:w="1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133 000</w:t>
            </w:r>
          </w:p>
        </w:tc>
        <w:tc>
          <w:tcPr>
            <w:tcW w:type="dxa" w:w="1826"/>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~203 €</w:t>
            </w:r>
          </w:p>
        </w:tc>
      </w:tr>
    </w:tbl>
    <w:p>
      <w:pPr>
        <w:spacing w:after="200" w:before="0"/>
      </w:pPr>
      <w:r>
        <w:t xml:space="preserve"/>
      </w:r>
    </w:p>
    <w:p>
      <w:pPr>
        <w:pStyle w:val="Heading2"/>
        <w:spacing w:after="120" w:before="280"/>
      </w:pPr>
      <w:r>
        <w:rPr>
          <w:rFonts w:ascii="Arial" w:cs="Arial" w:eastAsia="Arial" w:hAnsi="Arial"/>
          <w:b/>
          <w:bCs/>
          <w:color w:val="6B1A2B"/>
          <w:sz w:val="26"/>
          <w:szCs w:val="26"/>
        </w:rPr>
        <w:t xml:space="preserve">6.3 Récapitulatif financier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A"/>
                <w:sz w:val="20"/>
                <w:szCs w:val="20"/>
              </w:rPr>
              <w:t xml:space="preserve">Développement &amp; Design</w:t>
            </w:r>
          </w:p>
        </w:tc>
        <w:tc>
          <w:tcPr>
            <w:tcW w:type="dxa" w:w="386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pPr>
              <w:jc w:val="right"/>
            </w:pPr>
            <w:r>
              <w:rPr>
                <w:rFonts w:ascii="Arial" w:cs="Arial" w:eastAsia="Arial" w:hAnsi="Arial"/>
                <w:b w:val="false"/>
                <w:bCs w:val="false"/>
                <w:color w:val="6B1A2B"/>
                <w:sz w:val="20"/>
                <w:szCs w:val="20"/>
              </w:rPr>
              <w:t xml:space="preserve">300 000 FCFA</w:t>
            </w:r>
          </w:p>
        </w:tc>
      </w:tr>
      <w:tr>
        <w:tc>
          <w:tcPr>
            <w:tcW w:type="dxa" w:w="5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A"/>
                <w:sz w:val="20"/>
                <w:szCs w:val="20"/>
              </w:rPr>
              <w:t xml:space="preserve">Hébergement + Domaine (2 ans)</w:t>
            </w:r>
          </w:p>
        </w:tc>
        <w:tc>
          <w:tcPr>
            <w:tcW w:type="dxa" w:w="386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pPr>
              <w:jc w:val="right"/>
            </w:pPr>
            <w:r>
              <w:rPr>
                <w:rFonts w:ascii="Arial" w:cs="Arial" w:eastAsia="Arial" w:hAnsi="Arial"/>
                <w:b w:val="false"/>
                <w:bCs w:val="false"/>
                <w:color w:val="6B1A2B"/>
                <w:sz w:val="20"/>
                <w:szCs w:val="20"/>
              </w:rPr>
              <w:t xml:space="preserve">73 000 FCFA</w:t>
            </w:r>
          </w:p>
        </w:tc>
      </w:tr>
      <w:tr>
        <w:tc>
          <w:tcPr>
            <w:tcW w:type="dxa" w:w="5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A"/>
                <w:sz w:val="20"/>
                <w:szCs w:val="20"/>
              </w:rPr>
              <w:t xml:space="preserve">Maintenance &amp; Support (2 ans)</w:t>
            </w:r>
          </w:p>
        </w:tc>
        <w:tc>
          <w:tcPr>
            <w:tcW w:type="dxa" w:w="386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pPr>
              <w:jc w:val="right"/>
            </w:pPr>
            <w:r>
              <w:rPr>
                <w:rFonts w:ascii="Arial" w:cs="Arial" w:eastAsia="Arial" w:hAnsi="Arial"/>
                <w:b w:val="false"/>
                <w:bCs w:val="false"/>
                <w:color w:val="6B1A2B"/>
                <w:sz w:val="20"/>
                <w:szCs w:val="20"/>
              </w:rPr>
              <w:t xml:space="preserve">60 000 FCFA</w:t>
            </w:r>
          </w:p>
        </w:tc>
      </w:tr>
      <w:tr>
        <w:tc>
          <w:tcPr>
            <w:tcW w:type="dxa" w:w="550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r>
              <w:rPr>
                <w:rFonts w:ascii="Arial" w:cs="Arial" w:eastAsia="Arial" w:hAnsi="Arial"/>
                <w:b w:val="false"/>
                <w:bCs w:val="false"/>
                <w:color w:val="1A1A1A"/>
                <w:sz w:val="20"/>
                <w:szCs w:val="20"/>
              </w:rPr>
              <w:t xml:space="preserve">TVA</w:t>
            </w:r>
          </w:p>
        </w:tc>
        <w:tc>
          <w:tcPr>
            <w:tcW w:type="dxa" w:w="3860"/>
            <w:tcBorders>
              <w:top w:val="single" w:color="DDDDDD" w:sz="1"/>
              <w:left w:val="single" w:color="DDDDDD" w:sz="1"/>
              <w:bottom w:val="single" w:color="DDDDDD" w:sz="1"/>
              <w:right w:val="single" w:color="DDDDDD" w:sz="1"/>
            </w:tcBorders>
            <w:shd w:fill="FFFFFF" w:val="clear"/>
            <w:tcMar>
              <w:top w:type="dxa" w:w="100"/>
              <w:left w:type="dxa" w:w="140"/>
              <w:bottom w:type="dxa" w:w="100"/>
              <w:right w:type="dxa" w:w="140"/>
            </w:tcMar>
          </w:tcPr>
          <w:p>
            <w:pPr>
              <w:jc w:val="right"/>
            </w:pPr>
            <w:r>
              <w:rPr>
                <w:rFonts w:ascii="Arial" w:cs="Arial" w:eastAsia="Arial" w:hAnsi="Arial"/>
                <w:b w:val="false"/>
                <w:bCs w:val="false"/>
                <w:color w:val="6B1A2B"/>
                <w:sz w:val="20"/>
                <w:szCs w:val="20"/>
              </w:rPr>
              <w:t xml:space="preserve">Non applicable</w:t>
            </w:r>
          </w:p>
        </w:tc>
      </w:tr>
      <w:tr>
        <w:tc>
          <w:tcPr>
            <w:tcW w:type="dxa" w:w="55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tcPr>
          <w:p>
            <w:r>
              <w:rPr>
                <w:rFonts w:ascii="Arial" w:cs="Arial" w:eastAsia="Arial" w:hAnsi="Arial"/>
                <w:b/>
                <w:bCs/>
                <w:color w:val="FFFFFF"/>
                <w:sz w:val="22"/>
                <w:szCs w:val="22"/>
              </w:rPr>
              <w:t xml:space="preserve">TOTAL TTC</w:t>
            </w:r>
          </w:p>
        </w:tc>
        <w:tc>
          <w:tcPr>
            <w:tcW w:type="dxa" w:w="386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tcPr>
          <w:p>
            <w:pPr>
              <w:jc w:val="right"/>
            </w:pPr>
            <w:r>
              <w:rPr>
                <w:rFonts w:ascii="Arial" w:cs="Arial" w:eastAsia="Arial" w:hAnsi="Arial"/>
                <w:b/>
                <w:bCs/>
                <w:color w:val="C9A84C"/>
                <w:sz w:val="24"/>
                <w:szCs w:val="24"/>
              </w:rPr>
              <w:t xml:space="preserve">433 000 FCFA  (~660 €)</w:t>
            </w:r>
          </w:p>
        </w:tc>
      </w:tr>
    </w:tbl>
    <w:p>
      <w:pPr>
        <w:spacing w:after="200" w:before="0"/>
      </w:pPr>
      <w:r>
        <w:t xml:space="preserve"/>
      </w:r>
    </w:p>
    <w:p>
      <w:pPr>
        <w:pStyle w:val="Heading2"/>
        <w:spacing w:after="120" w:before="280"/>
      </w:pPr>
      <w:r>
        <w:rPr>
          <w:rFonts w:ascii="Arial" w:cs="Arial" w:eastAsia="Arial" w:hAnsi="Arial"/>
          <w:b/>
          <w:bCs/>
          <w:color w:val="6B1A2B"/>
          <w:sz w:val="26"/>
          <w:szCs w:val="26"/>
        </w:rPr>
        <w:t xml:space="preserve">6.4 Modalités de paiement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rPr>
          <w:tblHeader/>
        </w:trPr>
        <w:tc>
          <w:tcPr>
            <w:tcW w:type="dxa" w:w="18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Échéance</w:t>
            </w:r>
          </w:p>
        </w:tc>
        <w:tc>
          <w:tcPr>
            <w:tcW w:type="dxa" w:w="20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Montant</w:t>
            </w:r>
          </w:p>
        </w:tc>
        <w:tc>
          <w:tcPr>
            <w:tcW w:type="dxa" w:w="28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Condition</w:t>
            </w:r>
          </w:p>
        </w:tc>
        <w:tc>
          <w:tcPr>
            <w:tcW w:type="dxa" w:w="276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Moyen accepté</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Acompte (50%)</w:t>
            </w:r>
          </w:p>
        </w:tc>
        <w:tc>
          <w:tcPr>
            <w:tcW w:type="dxa" w:w="20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216 500 FCFA</w:t>
            </w:r>
          </w:p>
        </w:tc>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Dès signature du devis</w:t>
            </w:r>
          </w:p>
        </w:tc>
        <w:tc>
          <w:tcPr>
            <w:tcW w:type="dxa" w:w="27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Mobile Money, virement, espèces</w:t>
            </w:r>
          </w:p>
        </w:tc>
      </w:tr>
      <w:tr>
        <w:tc>
          <w:tcPr>
            <w:tcW w:type="dxa" w:w="1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Solde (50%)</w:t>
            </w:r>
          </w:p>
        </w:tc>
        <w:tc>
          <w:tcPr>
            <w:tcW w:type="dxa" w:w="20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216 500 FCFA</w:t>
            </w:r>
          </w:p>
        </w:tc>
        <w:tc>
          <w:tcPr>
            <w:tcW w:type="dxa" w:w="2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Livraison du site en ligne</w:t>
            </w:r>
          </w:p>
        </w:tc>
        <w:tc>
          <w:tcPr>
            <w:tcW w:type="dxa" w:w="276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Mobile Money, virement, espèces</w:t>
            </w:r>
          </w:p>
        </w:tc>
      </w:tr>
    </w:tbl>
    <w:p>
      <w:pPr>
        <w:spacing w:after="100" w:before="0"/>
      </w:pPr>
      <w:r>
        <w:t xml:space="preserve"/>
      </w:r>
    </w:p>
    <w:p>
      <w:pPr>
        <w:spacing w:after="100" w:before="60"/>
      </w:pPr>
      <w:r>
        <w:rPr>
          <w:rFonts w:ascii="Arial" w:cs="Arial" w:eastAsia="Arial" w:hAnsi="Arial"/>
          <w:color w:val="1A1A1A"/>
          <w:sz w:val="22"/>
          <w:szCs w:val="22"/>
        </w:rPr>
        <w:t xml:space="preserve">Moyens de paiement acceptés : Flooz, T-Money, Wave, Orange Money, virement bancaire, espèces.</w:t>
      </w:r>
    </w:p>
    <w:p>
      <w:pPr>
        <w:spacing w:after="200" w:before="0"/>
      </w:pPr>
      <w:r>
        <w:t xml:space="preserve"/>
      </w:r>
    </w:p>
    <w:p>
      <w:pPr>
        <w:pStyle w:val="Heading2"/>
        <w:spacing w:after="120" w:before="280"/>
      </w:pPr>
      <w:r>
        <w:rPr>
          <w:rFonts w:ascii="Arial" w:cs="Arial" w:eastAsia="Arial" w:hAnsi="Arial"/>
          <w:b/>
          <w:bCs/>
          <w:color w:val="6B1A2B"/>
          <w:sz w:val="26"/>
          <w:szCs w:val="26"/>
        </w:rPr>
        <w:t xml:space="preserve">6.5 Validité et conditions</w:t>
      </w:r>
    </w:p>
    <w:p>
      <w:pPr>
        <w:pStyle w:val="ListParagraph"/>
        <w:numPr>
          <w:ilvl w:val="0"/>
          <w:numId w:val="2"/>
        </w:numPr>
        <w:spacing w:after="60" w:before="40"/>
      </w:pPr>
      <w:r>
        <w:rPr>
          <w:rFonts w:ascii="Arial" w:cs="Arial" w:eastAsia="Arial" w:hAnsi="Arial"/>
          <w:color w:val="1A1A1A"/>
          <w:sz w:val="21"/>
          <w:szCs w:val="21"/>
        </w:rPr>
        <w:t xml:space="preserve">Devis valable 30 jours à compter du 13 mai 2026 (soit jusqu’au 12 juin 2026)</w:t>
      </w:r>
    </w:p>
    <w:p>
      <w:pPr>
        <w:pStyle w:val="ListParagraph"/>
        <w:numPr>
          <w:ilvl w:val="0"/>
          <w:numId w:val="2"/>
        </w:numPr>
        <w:spacing w:after="60" w:before="40"/>
      </w:pPr>
      <w:r>
        <w:rPr>
          <w:rFonts w:ascii="Arial" w:cs="Arial" w:eastAsia="Arial" w:hAnsi="Arial"/>
          <w:color w:val="1A1A1A"/>
          <w:sz w:val="21"/>
          <w:szCs w:val="21"/>
        </w:rPr>
        <w:t xml:space="preserve">Les droits sur le site sont intégralement transférés au client après règlement complet</w:t>
      </w:r>
    </w:p>
    <w:p>
      <w:pPr>
        <w:pStyle w:val="ListParagraph"/>
        <w:numPr>
          <w:ilvl w:val="0"/>
          <w:numId w:val="2"/>
        </w:numPr>
        <w:spacing w:after="60" w:before="40"/>
      </w:pPr>
      <w:r>
        <w:rPr>
          <w:rFonts w:ascii="Arial" w:cs="Arial" w:eastAsia="Arial" w:hAnsi="Arial"/>
          <w:color w:val="1A1A1A"/>
          <w:sz w:val="21"/>
          <w:szCs w:val="21"/>
        </w:rPr>
        <w:t xml:space="preserve">Tout développement supplémentaire hors périmètre fera l’objet d’un avenant tarifaire</w:t>
      </w:r>
    </w:p>
    <w:p>
      <w:pPr>
        <w:pStyle w:val="ListParagraph"/>
        <w:numPr>
          <w:ilvl w:val="0"/>
          <w:numId w:val="2"/>
        </w:numPr>
        <w:spacing w:after="60" w:before="40"/>
      </w:pPr>
      <w:r>
        <w:rPr>
          <w:rFonts w:ascii="Arial" w:cs="Arial" w:eastAsia="Arial" w:hAnsi="Arial"/>
          <w:color w:val="1A1A1A"/>
          <w:sz w:val="21"/>
          <w:szCs w:val="21"/>
        </w:rPr>
        <w:t xml:space="preserve">Les contenus (textes, photos, logo, PDF) sont à fournir par le client</w:t>
      </w:r>
    </w:p>
    <w:p>
      <w:pPr>
        <w:spacing w:after="200" w:before="0"/>
      </w:pPr>
      <w:r>
        <w:t xml:space="preserve"/>
      </w:r>
    </w:p>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7. Livrables &amp; propriété intellectuelle</w:t>
      </w:r>
    </w:p>
    <w:p>
      <w:pPr>
        <w:pStyle w:val="Heading2"/>
        <w:spacing w:after="120" w:before="280"/>
      </w:pPr>
      <w:r>
        <w:rPr>
          <w:rFonts w:ascii="Arial" w:cs="Arial" w:eastAsia="Arial" w:hAnsi="Arial"/>
          <w:b/>
          <w:bCs/>
          <w:color w:val="6B1A2B"/>
          <w:sz w:val="26"/>
          <w:szCs w:val="26"/>
        </w:rPr>
        <w:t xml:space="preserve">7.1 Livrables fournis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Livrable</w:t>
            </w:r>
          </w:p>
        </w:tc>
        <w:tc>
          <w:tcPr>
            <w:tcW w:type="dxa" w:w="280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Format</w:t>
            </w:r>
          </w:p>
        </w:tc>
        <w:tc>
          <w:tcPr>
            <w:tcW w:type="dxa" w:w="2760"/>
            <w:tcBorders>
              <w:top w:val="single" w:color="4D0F1C" w:sz="1"/>
              <w:left w:val="single" w:color="4D0F1C" w:sz="1"/>
              <w:bottom w:val="single" w:color="4D0F1C" w:sz="1"/>
              <w:right w:val="single" w:color="4D0F1C" w:sz="1"/>
            </w:tcBorders>
            <w:shd w:fill="4D0F1C"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Inclus</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Code source complet du site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Dossier ZIP (HTML/CSS/JS)</w:t>
            </w:r>
          </w:p>
        </w:tc>
        <w:tc>
          <w:tcPr>
            <w:tcW w:type="dxa" w:w="27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Oui</w:t>
            </w:r>
          </w:p>
        </w:tc>
      </w:tr>
      <w:tr>
        <w:tc>
          <w:tcPr>
            <w:tcW w:type="dxa" w:w="3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Site mis en ligne sur domaine client</w:t>
            </w:r>
          </w:p>
        </w:tc>
        <w:tc>
          <w:tcPr>
            <w:tcW w:type="dxa" w:w="2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URL publique HTTPS</w:t>
            </w:r>
          </w:p>
        </w:tc>
        <w:tc>
          <w:tcPr>
            <w:tcW w:type="dxa" w:w="276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Oui</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Accès FTP / cPanel hébergement</w:t>
            </w:r>
          </w:p>
        </w:tc>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Identifiants sécurisés</w:t>
            </w:r>
          </w:p>
        </w:tc>
        <w:tc>
          <w:tcPr>
            <w:tcW w:type="dxa" w:w="27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Oui</w:t>
            </w:r>
          </w:p>
        </w:tc>
      </w:tr>
      <w:tr>
        <w:tc>
          <w:tcPr>
            <w:tcW w:type="dxa" w:w="3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Documentation utilisation simple</w:t>
            </w:r>
          </w:p>
        </w:tc>
        <w:tc>
          <w:tcPr>
            <w:tcW w:type="dxa" w:w="280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PDF 1 page</w:t>
            </w:r>
          </w:p>
        </w:tc>
        <w:tc>
          <w:tcPr>
            <w:tcW w:type="dxa" w:w="2760"/>
            <w:tcBorders>
              <w:top w:val="single" w:color="DDDDDD" w:sz="1"/>
              <w:left w:val="single" w:color="DDDDDD" w:sz="1"/>
              <w:bottom w:val="single" w:color="DDDDDD" w:sz="1"/>
              <w:right w:val="single" w:color="DDDDDD" w:sz="1"/>
            </w:tcBorders>
            <w:shd w:fill="F2F2F2" w:val="clear"/>
            <w:tcMar>
              <w:top w:type="dxa" w:w="80"/>
              <w:left w:type="dxa" w:w="140"/>
              <w:bottom w:type="dxa" w:w="80"/>
              <w:right w:type="dxa" w:w="140"/>
            </w:tcMar>
          </w:tcPr>
          <w:p>
            <w:r>
              <w:rPr>
                <w:rFonts w:ascii="Arial" w:cs="Arial" w:eastAsia="Arial" w:hAnsi="Arial"/>
                <w:color w:val="1A1A1A"/>
                <w:sz w:val="20"/>
                <w:szCs w:val="20"/>
              </w:rPr>
              <w:t xml:space="preserve">Oui</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Session de formation à la prise en main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1h par WhatsApp/appel</w:t>
            </w:r>
          </w:p>
        </w:tc>
        <w:tc>
          <w:tcPr>
            <w:tcW w:type="dxa" w:w="27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Oui</w:t>
            </w:r>
          </w:p>
        </w:tc>
      </w:tr>
    </w:tbl>
    <w:p>
      <w:pPr>
        <w:spacing w:after="200" w:before="0"/>
      </w:pPr>
      <w:r>
        <w:t xml:space="preserve"/>
      </w:r>
    </w:p>
    <w:p>
      <w:pPr>
        <w:pStyle w:val="Heading2"/>
        <w:spacing w:after="120" w:before="280"/>
      </w:pPr>
      <w:r>
        <w:rPr>
          <w:rFonts w:ascii="Arial" w:cs="Arial" w:eastAsia="Arial" w:hAnsi="Arial"/>
          <w:b/>
          <w:bCs/>
          <w:color w:val="6B1A2B"/>
          <w:sz w:val="26"/>
          <w:szCs w:val="26"/>
        </w:rPr>
        <w:t xml:space="preserve">7.2 Propriété intellectuelle</w:t>
      </w:r>
    </w:p>
    <w:p>
      <w:pPr>
        <w:spacing w:after="100" w:before="60"/>
      </w:pPr>
      <w:r>
        <w:rPr>
          <w:rFonts w:ascii="Arial" w:cs="Arial" w:eastAsia="Arial" w:hAnsi="Arial"/>
          <w:color w:val="1A1A1A"/>
          <w:sz w:val="22"/>
          <w:szCs w:val="22"/>
        </w:rPr>
        <w:t xml:space="preserve">Après règlement intégral du montant du devis, le client Africa Wine Food devient propriétaire exclusif du code source, du design et de l’ensemble des éléments créés spécifiquement pour ce projet. Les bibliothèques open-source utilisées (Google Fonts) restent soumises à leurs licences respectives.</w:t>
      </w:r>
    </w:p>
    <w:p>
      <w:pPr>
        <w:spacing w:after="200" w:before="0"/>
      </w:pPr>
      <w:r>
        <w:t xml:space="preserve"/>
      </w:r>
    </w:p>
    <w:p>
      <w:r>
        <w:br w:type="page"/>
      </w:r>
    </w:p>
    <w:p>
      <w:pPr>
        <w:pStyle w:val="Heading1"/>
        <w:pBdr>
          <w:bottom w:val="single" w:color="C9A84C" w:sz="4" w:space="6"/>
        </w:pBdr>
        <w:spacing w:after="160" w:before="400"/>
      </w:pPr>
      <w:r>
        <w:rPr>
          <w:rFonts w:ascii="Arial" w:cs="Arial" w:eastAsia="Arial" w:hAnsi="Arial"/>
          <w:b/>
          <w:bCs/>
          <w:color w:val="4D0F1C"/>
          <w:sz w:val="32"/>
          <w:szCs w:val="32"/>
        </w:rPr>
        <w:t xml:space="preserve">8. Bon pour accord</w:t>
      </w:r>
    </w:p>
    <w:p>
      <w:pPr>
        <w:spacing w:after="100" w:before="60"/>
      </w:pPr>
      <w:r>
        <w:rPr>
          <w:rFonts w:ascii="Arial" w:cs="Arial" w:eastAsia="Arial" w:hAnsi="Arial"/>
          <w:color w:val="1A1A1A"/>
          <w:sz w:val="22"/>
          <w:szCs w:val="22"/>
        </w:rPr>
        <w:t xml:space="preserve">Les deux parties, après lecture et acceptation de l’intégralité des clauses du présent cahier des charges, certifient leur accord par leur signature.</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4D0F1C"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LE PRESTATAIRE</w:t>
            </w:r>
          </w:p>
        </w:tc>
        <w:tc>
          <w:tcPr>
            <w:tcW w:type="dxa" w:w="4680"/>
            <w:tcBorders>
              <w:top w:val="none" w:color="FFFFFF" w:sz="0"/>
              <w:left w:val="none" w:color="FFFFFF" w:sz="0"/>
              <w:bottom w:val="none" w:color="FFFFFF" w:sz="0"/>
              <w:right w:val="none" w:color="FFFFFF" w:sz="0"/>
            </w:tcBorders>
            <w:shd w:fill="4D0F1C"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LE CLIENT</w:t>
            </w:r>
          </w:p>
        </w:tc>
      </w:tr>
      <w:tr>
        <w:tc>
          <w:tcPr>
            <w:tcW w:type="dxa" w:w="4680"/>
            <w:tcBorders>
              <w:top w:val="single" w:color="DDDDDD" w:sz="1"/>
              <w:left w:val="single" w:color="DDDDDD" w:sz="1"/>
              <w:bottom w:val="single" w:color="DDDDDD" w:sz="1"/>
              <w:right w:val="single" w:color="DDDDDD" w:sz="1"/>
            </w:tcBorders>
            <w:shd w:fill="F5EDE0" w:val="clear"/>
            <w:tcMar>
              <w:top w:type="dxa" w:w="200"/>
              <w:left w:type="dxa" w:w="160"/>
              <w:bottom w:type="dxa" w:w="200"/>
              <w:right w:type="dxa" w:w="160"/>
            </w:tcMar>
          </w:tcPr>
          <w:p>
            <w:pPr>
              <w:spacing w:after="80" w:before="0"/>
            </w:pPr>
            <w:r>
              <w:rPr>
                <w:rFonts w:ascii="Arial" w:cs="Arial" w:eastAsia="Arial" w:hAnsi="Arial"/>
                <w:color w:val="1A1A1A"/>
                <w:sz w:val="20"/>
                <w:szCs w:val="20"/>
              </w:rPr>
              <w:t xml:space="preserve">Nom : ___________________________</w:t>
            </w:r>
          </w:p>
          <w:p>
            <w:pPr>
              <w:spacing w:after="80" w:before="0"/>
            </w:pPr>
            <w:r>
              <w:rPr>
                <w:rFonts w:ascii="Arial" w:cs="Arial" w:eastAsia="Arial" w:hAnsi="Arial"/>
                <w:color w:val="1A1A1A"/>
                <w:sz w:val="20"/>
                <w:szCs w:val="20"/>
              </w:rPr>
              <w:t xml:space="preserve">Date : ___________________________</w:t>
            </w:r>
          </w:p>
          <w:p>
            <w:pPr>
              <w:spacing w:after="0" w:before="300"/>
            </w:pPr>
            <w:r>
              <w:rPr>
                <w:rFonts w:ascii="Arial" w:cs="Arial" w:eastAsia="Arial" w:hAnsi="Arial"/>
                <w:color w:val="1A1A1A"/>
                <w:sz w:val="20"/>
                <w:szCs w:val="20"/>
              </w:rPr>
              <w:t xml:space="preserve">Signature :</w:t>
            </w:r>
          </w:p>
          <w:p>
            <w:pPr>
              <w:spacing w:after="300" w:before="0"/>
            </w:pPr>
            <w:r>
              <w:t xml:space="preserve"/>
            </w:r>
          </w:p>
        </w:tc>
        <w:tc>
          <w:tcPr>
            <w:tcW w:type="dxa" w:w="4680"/>
            <w:tcBorders>
              <w:top w:val="single" w:color="DDDDDD" w:sz="1"/>
              <w:left w:val="single" w:color="DDDDDD" w:sz="1"/>
              <w:bottom w:val="single" w:color="DDDDDD" w:sz="1"/>
              <w:right w:val="single" w:color="DDDDDD" w:sz="1"/>
            </w:tcBorders>
            <w:shd w:fill="FFFFFF" w:val="clear"/>
            <w:tcMar>
              <w:top w:type="dxa" w:w="200"/>
              <w:left w:type="dxa" w:w="160"/>
              <w:bottom w:type="dxa" w:w="200"/>
              <w:right w:type="dxa" w:w="160"/>
            </w:tcMar>
          </w:tcPr>
          <w:p>
            <w:pPr>
              <w:spacing w:after="80" w:before="0"/>
            </w:pPr>
            <w:r>
              <w:rPr>
                <w:rFonts w:ascii="Arial" w:cs="Arial" w:eastAsia="Arial" w:hAnsi="Arial"/>
                <w:color w:val="1A1A1A"/>
                <w:sz w:val="20"/>
                <w:szCs w:val="20"/>
              </w:rPr>
              <w:t xml:space="preserve">Nom : ___________________________</w:t>
            </w:r>
          </w:p>
          <w:p>
            <w:pPr>
              <w:spacing w:after="80" w:before="0"/>
            </w:pPr>
            <w:r>
              <w:rPr>
                <w:rFonts w:ascii="Arial" w:cs="Arial" w:eastAsia="Arial" w:hAnsi="Arial"/>
                <w:color w:val="1A1A1A"/>
                <w:sz w:val="20"/>
                <w:szCs w:val="20"/>
              </w:rPr>
              <w:t xml:space="preserve">Date : ___________________________</w:t>
            </w:r>
          </w:p>
          <w:p>
            <w:pPr>
              <w:spacing w:after="0" w:before="300"/>
            </w:pPr>
            <w:r>
              <w:rPr>
                <w:rFonts w:ascii="Arial" w:cs="Arial" w:eastAsia="Arial" w:hAnsi="Arial"/>
                <w:color w:val="1A1A1A"/>
                <w:sz w:val="20"/>
                <w:szCs w:val="20"/>
              </w:rPr>
              <w:t xml:space="preserve">Signature + Cachet :</w:t>
            </w:r>
          </w:p>
          <w:p>
            <w:pPr>
              <w:spacing w:after="300" w:before="0"/>
            </w:pPr>
            <w:r>
              <w:t xml:space="preserve"/>
            </w:r>
          </w:p>
        </w:tc>
      </w:tr>
    </w:tbl>
    <w:p>
      <w:pPr>
        <w:spacing w:after="200" w:before="0"/>
      </w:pPr>
      <w:r>
        <w:t xml:space="preserve"/>
      </w:r>
    </w:p>
    <w:p>
      <w:pPr>
        <w:jc w:val="center"/>
      </w:pPr>
      <w:r>
        <w:rPr>
          <w:rFonts w:ascii="Georgia" w:cs="Georgia" w:eastAsia="Georgia" w:hAnsi="Georgia"/>
          <w:i/>
          <w:iCs/>
          <w:color w:val="7A7069"/>
          <w:sz w:val="20"/>
          <w:szCs w:val="20"/>
        </w:rPr>
        <w:t xml:space="preserve">Africa Wine Food — L’excellence viticole au cœur de l’Afrique</w:t>
      </w:r>
    </w:p>
    <w:sectPr>
      <w:headerReference w:type="default" r:id="rId7"/>
      <w:footerReference w:type="default" r:id="rId8"/>
      <w:pgSz w:w="11906" w:h="16838" w:orient="portrait"/>
      <w:pgMar w:top="1200" w:right="120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Arial" w:cs="Arial" w:eastAsia="Arial" w:hAnsi="Arial"/>
        <w:color w:val="7A7069"/>
        <w:sz w:val="16"/>
        <w:szCs w:val="16"/>
      </w:rPr>
      <w:t xml:space="preserve">Document confidentiel — Mai 2026</w:t>
    </w:r>
    <w:r>
      <w:rPr>
        <w:rFonts w:ascii="Arial" w:cs="Arial" w:eastAsia="Arial" w:hAnsi="Arial"/>
        <w:color w:val="7A7069"/>
        <w:sz w:val="16"/>
        <w:szCs w:val="16"/>
      </w:rPr>
      <w:t xml:space="preserve">	Page </w:t>
    </w:r>
    <w:r>
      <w:rPr>
        <w:rFonts w:ascii="Arial" w:cs="Arial" w:eastAsia="Arial" w:hAnsi="Arial"/>
        <w:color w:val="7A70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Arial" w:cs="Arial" w:eastAsia="Arial" w:hAnsi="Arial"/>
        <w:color w:val="7A7069"/>
        <w:sz w:val="18"/>
        <w:szCs w:val="18"/>
      </w:rPr>
      <w:t xml:space="preserve">CAHIER DES CHARGES — SITE VITRINE PREMIUM</w:t>
    </w:r>
    <w:r>
      <w:rPr>
        <w:rFonts w:ascii="Arial" w:cs="Arial" w:eastAsia="Arial" w:hAnsi="Arial"/>
      </w:rPr>
      <w:t xml:space="preserve">	</w:t>
    </w:r>
    <w:r>
      <w:rPr>
        <w:rFonts w:ascii="Arial" w:cs="Arial" w:eastAsia="Arial" w:hAnsi="Arial"/>
        <w:b/>
        <w:bCs/>
        <w:color w:val="4D0F1C"/>
        <w:sz w:val="18"/>
        <w:szCs w:val="18"/>
      </w:rPr>
      <w:t xml:space="preserve">Africa Wine Food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4D0F1C"/>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6B1A2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2026-05-13T03:04:32.027Z</dcterms:created>
  <dcterms:modified xsi:type="dcterms:W3CDTF">2026-05-13T03:04:32.028Z</dcterms:modified>
</cp:coreProperties>
</file>

<file path=docProps/custom.xml><?xml version="1.0" encoding="utf-8"?>
<Properties xmlns="http://schemas.openxmlformats.org/officeDocument/2006/custom-properties" xmlns:vt="http://schemas.openxmlformats.org/officeDocument/2006/docPropsVTypes"/>
</file>