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4D0F1C"/>
          <w:sz w:val="46"/>
          <w:szCs w:val="46"/>
        </w:rPr>
        <w:t xml:space="preserve">CAHIER DES CHARGES</w:t>
      </w:r>
    </w:p>
    <w:p>
      <w:pPr>
        <w:pBdr>
          <w:bottom w:val="single" w:color="C9A84C" w:sz="5" w:space="10"/>
        </w:pBdr>
        <w:spacing w:after="280" w:before="0"/>
        <w:jc w:val="center"/>
      </w:pPr>
      <w:r>
        <w:rPr>
          <w:rFonts w:ascii="Arial" w:cs="Arial" w:eastAsia="Arial" w:hAnsi="Arial"/>
          <w:caps/>
          <w:color w:val="C9A84C"/>
          <w:sz w:val="28"/>
          <w:szCs w:val="28"/>
        </w:rPr>
        <w:t xml:space="preserve">VERSION RÉSUMÉE</w:t>
      </w:r>
    </w:p>
    <w:p>
      <w:pPr>
        <w:spacing w:after="120" w:before="0"/>
      </w:pPr>
      <w:r>
        <w:t xml:space="preserve"/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6B1A2B"/>
          <w:sz w:val="42"/>
          <w:szCs w:val="42"/>
        </w:rPr>
        <w:t xml:space="preserve">Africa Wine Food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7A7069"/>
          <w:sz w:val="22"/>
          <w:szCs w:val="22"/>
        </w:rPr>
        <w:t xml:space="preserve">Site vitrine premium — Lomé, Togo</w:t>
      </w:r>
    </w:p>
    <w:p>
      <w:pPr>
        <w:spacing w:after="120" w:before="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Résumée — 13 mai 2026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Client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Africa Wine Food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AF7F2"/>
                <w:sz w:val="20"/>
                <w:szCs w:val="20"/>
              </w:rPr>
              <w:t xml:space="preserve">Devis N°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D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B1A2B"/>
                <w:sz w:val="20"/>
                <w:szCs w:val="20"/>
              </w:rPr>
              <w:t xml:space="preserve">AWF-2026-001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4" w:space="5"/>
        </w:pBdr>
        <w:spacing w:after="140" w:before="320"/>
      </w:pPr>
      <w:r>
        <w:rPr>
          <w:rFonts w:ascii="Arial" w:cs="Arial" w:eastAsia="Arial" w:hAnsi="Arial"/>
          <w:b/>
          <w:bCs/>
          <w:color w:val="4D0F1C"/>
          <w:sz w:val="28"/>
          <w:szCs w:val="28"/>
        </w:rPr>
        <w:t xml:space="preserve">1. Contexte &amp; Objectifs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"/>
              <w:left w:val="single" w:color="4D0F1C" w:sz="12"/>
              <w:bottom w:val="single" w:color="C9A84C" w:sz="1"/>
              <w:right w:val="single" w:color="F5EDE0" w:sz="1"/>
            </w:tcBorders>
            <w:shd w:fill="F5ED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0F1C"/>
                <w:sz w:val="20"/>
                <w:szCs w:val="20"/>
              </w:rPr>
              <w:t xml:space="preserve">Qui est Africa Wine Food 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Agence togolaise de sélection et distribution de vins de luxe et spiritueux premium à destination du marché africain (hôtels, restaurants, particuliers, entreprises).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9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Le projet consiste en la création d'un site vitrine premium 6 pages pour renforcer la présence digitale de la marque et générer des prises de contact qualifiées.</w:t>
      </w:r>
    </w:p>
    <w:p>
      <w:pPr>
        <w:spacing w:after="120" w:before="0"/>
      </w:pPr>
      <w:r>
        <w:t xml:space="preserve"/>
      </w:r>
    </w:p>
    <w:p>
      <w:pPr>
        <w:spacing w:after="9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Objectifs principaux :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Asseoir le positionnement luxe de la marque en ligne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Présenter les 4 univers produits (vins, champagnes, spiritueux, collections)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Permettre la navigation bilingue FR/EN et multi-devises</w:t>
      </w:r>
    </w:p>
    <w:p>
      <w:pPr>
        <w:pStyle w:val="ListParagraph"/>
        <w:numPr>
          <w:ilvl w:val="0"/>
          <w:numId w:val="2"/>
        </w:numPr>
        <w:spacing w:after="50" w:before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Générer des commandes et demandes de contact directement depuis le site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40" w:before="320"/>
      </w:pPr>
      <w:r>
        <w:rPr>
          <w:rFonts w:ascii="Arial" w:cs="Arial" w:eastAsia="Arial" w:hAnsi="Arial"/>
          <w:b/>
          <w:bCs/>
          <w:color w:val="4D0F1C"/>
          <w:sz w:val="28"/>
          <w:szCs w:val="28"/>
        </w:rPr>
        <w:t xml:space="preserve">2. Périmètre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58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principal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Accueil (index.html)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Hero, univers produits, arguments, chiffres clés, blog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Catalogue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Produits filtrables + téléchargement PDF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À propos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Histoire, valeurs, équipe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Blog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Articles et actualités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Contact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Formulaire + coordonnées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Commande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Formulaire de commande produits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Fonctionnalités clés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35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Bilingue FR / EN dynamique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Convertisseur de devises (XOF / EUR / USD)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100% responsive (mobile, tablette, desktop)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Animations : parallaxe, carousel, compteurs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Navigation sticky + hamburger mobile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Filtres catalogue + PDF téléchargeable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Formulaires contact &amp; commande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SEO de base (balises meta, titres, descriptions)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40" w:before="320"/>
      </w:pPr>
      <w:r>
        <w:rPr>
          <w:rFonts w:ascii="Arial" w:cs="Arial" w:eastAsia="Arial" w:hAnsi="Arial"/>
          <w:b/>
          <w:bCs/>
          <w:color w:val="4D0F1C"/>
          <w:sz w:val="28"/>
          <w:szCs w:val="28"/>
        </w:rPr>
        <w:t xml:space="preserve">3. Aspects techniques</w:t>
      </w:r>
    </w:p>
    <w:p>
      <w:pPr>
        <w:spacing w:after="9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Technologies : HTML5, CSS3, JavaScript vanilla (ES6+), sans framework ni CMS.</w:t>
      </w:r>
    </w:p>
    <w:p>
      <w:pPr>
        <w:spacing w:after="9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Volume de code : ~6 000 lignes (2 129 CSS / 1 633 JS / ~2 000 HTML).</w:t>
      </w:r>
    </w:p>
    <w:p>
      <w:pPr>
        <w:spacing w:after="9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Charte graphique : Bordeaux #4D0F1C, Or #C9A84C, Crème #FAF7F2 — typographies Playfair Display &amp; Raleway.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40" w:before="320"/>
      </w:pPr>
      <w:r>
        <w:rPr>
          <w:rFonts w:ascii="Arial" w:cs="Arial" w:eastAsia="Arial" w:hAnsi="Arial"/>
          <w:b/>
          <w:bCs/>
          <w:color w:val="4D0F1C"/>
          <w:sz w:val="28"/>
          <w:szCs w:val="28"/>
        </w:rPr>
        <w:t xml:space="preserve">4. Hébergement &amp; Mise en ligne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8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0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de domaine .com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Namecheap / OVH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ans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Hébergement web Premium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Hostinger (SSL inclus)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ans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&amp; support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Prestataire (48h réponse)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ans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40" w:before="320"/>
      </w:pPr>
      <w:r>
        <w:rPr>
          <w:rFonts w:ascii="Arial" w:cs="Arial" w:eastAsia="Arial" w:hAnsi="Arial"/>
          <w:b/>
          <w:bCs/>
          <w:color w:val="4D0F1C"/>
          <w:sz w:val="28"/>
          <w:szCs w:val="28"/>
        </w:rPr>
        <w:t xml:space="preserve">5. Planning résumé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rPr>
          <w:tblHeader/>
        </w:trPr>
        <w:tc>
          <w:tcPr>
            <w:tcW w:type="dxa" w:w="55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Maquettage + validation client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1-2 jours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Développement complet (6 pages)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7-9 jours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Tests, optimisation, mise en ligne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2-3 jours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Livraison finale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Jour 14 maximum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"/>
              <w:left w:val="single" w:color="4D0F1C" w:sz="12"/>
              <w:bottom w:val="single" w:color="C9A84C" w:sz="1"/>
              <w:right w:val="single" w:color="F5EDE0" w:sz="1"/>
            </w:tcBorders>
            <w:shd w:fill="F5ED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0F1C"/>
                <w:sz w:val="20"/>
                <w:szCs w:val="20"/>
              </w:rPr>
              <w:t xml:space="preserve">Condition de démarrage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 délai court à compter de la réception de l'acompte (50%) ET des éléments fournis par le client (logo, photos, textes, PDF catalogue).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40" w:before="320"/>
      </w:pPr>
      <w:r>
        <w:rPr>
          <w:rFonts w:ascii="Arial" w:cs="Arial" w:eastAsia="Arial" w:hAnsi="Arial"/>
          <w:b/>
          <w:bCs/>
          <w:color w:val="4D0F1C"/>
          <w:sz w:val="28"/>
          <w:szCs w:val="28"/>
        </w:rPr>
        <w:t xml:space="preserve">6. Volet financier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Détail du devis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26"/>
      </w:tblGrid>
      <w:tr>
        <w:trPr>
          <w:tblHeader/>
        </w:trPr>
        <w:tc>
          <w:tcPr>
            <w:tcW w:type="dxa" w:w="45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5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FCFA</w:t>
            </w:r>
          </w:p>
        </w:tc>
        <w:tc>
          <w:tcPr>
            <w:tcW w:type="dxa" w:w="20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EUR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Conception &amp; développement (6 pages)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250 000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~381 €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 premium &amp; charte graphique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50 000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~76 €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de domaine .com (2 ans)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18 000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~27 €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Hébergement web Premium (2 ans)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55 000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~84 €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Maintenance &amp; support (2 ans)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60 000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~92 €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tabs>
                <w:tab w:val="right" w:pos="8600"/>
              </w:tabs>
              <w:spacing w:after="80" w:before="80"/>
              <w:ind w:left="200" w:right="200"/>
            </w:pPr>
            <w:r>
              <w:rPr>
                <w:rFonts w:ascii="Arial" w:cs="Arial" w:eastAsia="Arial" w:hAnsi="Arial"/>
                <w:b w:val="false"/>
                <w:bCs w:val="false"/>
                <w:color w:val="C0A878"/>
                <w:sz w:val="20"/>
                <w:szCs w:val="20"/>
              </w:rPr>
              <w:t xml:space="preserve">Développement &amp; Design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FAF7F2"/>
                <w:sz w:val="20"/>
                <w:szCs w:val="20"/>
              </w:rPr>
              <w:t xml:space="preserve">300 000 FCFA</w:t>
            </w:r>
          </w:p>
          <w:p>
            <w:pPr>
              <w:tabs>
                <w:tab w:val="right" w:pos="8600"/>
              </w:tabs>
              <w:spacing w:after="80" w:before="80"/>
              <w:ind w:left="200" w:right="200"/>
            </w:pPr>
            <w:r>
              <w:rPr>
                <w:rFonts w:ascii="Arial" w:cs="Arial" w:eastAsia="Arial" w:hAnsi="Arial"/>
                <w:b w:val="false"/>
                <w:bCs w:val="false"/>
                <w:color w:val="C0A878"/>
                <w:sz w:val="20"/>
                <w:szCs w:val="20"/>
              </w:rPr>
              <w:t xml:space="preserve">Infrastructure 2 ans (hébergement + domaine)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FAF7F2"/>
                <w:sz w:val="20"/>
                <w:szCs w:val="20"/>
              </w:rPr>
              <w:t xml:space="preserve">73 000 FCFA</w:t>
            </w:r>
          </w:p>
          <w:p>
            <w:pPr>
              <w:tabs>
                <w:tab w:val="right" w:pos="8600"/>
              </w:tabs>
              <w:spacing w:after="80" w:before="80"/>
              <w:ind w:left="200" w:right="200"/>
            </w:pPr>
            <w:r>
              <w:rPr>
                <w:rFonts w:ascii="Arial" w:cs="Arial" w:eastAsia="Arial" w:hAnsi="Arial"/>
                <w:b w:val="false"/>
                <w:bCs w:val="false"/>
                <w:color w:val="C0A878"/>
                <w:sz w:val="20"/>
                <w:szCs w:val="20"/>
              </w:rPr>
              <w:t xml:space="preserve">Maintenance &amp; Support 2 ans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 w:val="false"/>
                <w:bCs w:val="false"/>
                <w:color w:val="FAF7F2"/>
                <w:sz w:val="20"/>
                <w:szCs w:val="20"/>
              </w:rPr>
              <w:t xml:space="preserve">60 000 FCFA</w:t>
            </w:r>
          </w:p>
          <w:p>
            <w:pPr>
              <w:tabs>
                <w:tab w:val="right" w:pos="8600"/>
              </w:tabs>
              <w:spacing w:after="80" w:before="80"/>
              <w:ind w:left="200" w:right="200"/>
            </w:pPr>
            <w:r>
              <w:rPr>
                <w:rFonts w:ascii="Arial" w:cs="Arial" w:eastAsia="Arial" w:hAnsi="Arial"/>
                <w:b/>
                <w:bCs/>
                <w:color w:val="FAF7F2"/>
                <w:sz w:val="24"/>
                <w:szCs w:val="24"/>
              </w:rPr>
              <w:t xml:space="preserve">TOTAL TTC</w:t>
            </w:r>
            <w:r>
              <w:rPr>
                <w:rFonts w:ascii="Arial" w:cs="Arial" w:eastAsia="Arial" w:hAnsi="Arial"/>
              </w:rPr>
              <w:t xml:space="preserve">	</w:t>
            </w: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433 000 FCFA  (~660 €)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6B1A2B"/>
          <w:sz w:val="24"/>
          <w:szCs w:val="24"/>
        </w:rPr>
        <w:t xml:space="preserve">Modalités de paiement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26"/>
      </w:tblGrid>
      <w:tr>
        <w:trPr>
          <w:tblHeader/>
        </w:trPr>
        <w:tc>
          <w:tcPr>
            <w:tcW w:type="dxa" w:w="30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  <w:tc>
          <w:tcPr>
            <w:tcW w:type="dxa" w:w="2800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</w:t>
            </w:r>
          </w:p>
        </w:tc>
        <w:tc>
          <w:tcPr>
            <w:tcW w:type="dxa" w:w="3226"/>
            <w:tcBorders>
              <w:top w:val="single" w:color="4D0F1C" w:sz="1"/>
              <w:left w:val="single" w:color="4D0F1C" w:sz="1"/>
              <w:bottom w:val="single" w:color="4D0F1C" w:sz="1"/>
              <w:right w:val="single" w:color="4D0F1C" w:sz="1"/>
            </w:tcBorders>
            <w:shd w:fill="4D0F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Acompte — 50%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216 500 FCFA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du devis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Solde — 50%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216 500 FCFA</w:t>
            </w:r>
          </w:p>
        </w:tc>
        <w:tc>
          <w:tcPr>
            <w:tcW w:type="dxa" w:w="3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3ED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Livraison du site en ligne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9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Moyens de paiement acceptés : Flooz, T-Money, Wave, Orange Money, virement, espèces.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A84C" w:sz="1"/>
              <w:left w:val="single" w:color="4D0F1C" w:sz="12"/>
              <w:bottom w:val="single" w:color="C9A84C" w:sz="1"/>
              <w:right w:val="single" w:color="F5EDE0" w:sz="1"/>
            </w:tcBorders>
            <w:shd w:fill="F5ED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D0F1C"/>
                <w:sz w:val="20"/>
                <w:szCs w:val="20"/>
              </w:rPr>
              <w:t xml:space="preserve">Validité du devis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 cahier des charges et le devis associé (N° AWF-2026-001) sont valables 30 jours, soit jusqu'au 12 juin 2026.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C9A84C" w:sz="4" w:space="5"/>
        </w:pBdr>
        <w:spacing w:after="140" w:before="320"/>
      </w:pPr>
      <w:r>
        <w:rPr>
          <w:rFonts w:ascii="Arial" w:cs="Arial" w:eastAsia="Arial" w:hAnsi="Arial"/>
          <w:b/>
          <w:bCs/>
          <w:color w:val="4D0F1C"/>
          <w:sz w:val="28"/>
          <w:szCs w:val="28"/>
        </w:rPr>
        <w:t xml:space="preserve">7. Bon pour accord</w:t>
      </w:r>
    </w:p>
    <w:p>
      <w:pPr>
        <w:spacing w:after="9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Lu et approuvé par les deux parties 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PRESTATAIRE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D0F1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CLIENT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EDE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: 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: _______________________</w:t>
            </w:r>
          </w:p>
          <w:p>
            <w:pPr>
              <w:spacing w:after="0" w:before="2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 : _______________________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Date : _______________________</w:t>
            </w:r>
          </w:p>
          <w:p>
            <w:pPr>
              <w:spacing w:after="0" w:before="2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Signature + Cachet 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7A7069"/>
          <w:sz w:val="20"/>
          <w:szCs w:val="20"/>
        </w:rPr>
        <w:t xml:space="preserve">Africa Wine Food — L'excellence viticole au coeur de l'Afrique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7A7069"/>
        <w:sz w:val="16"/>
        <w:szCs w:val="16"/>
      </w:rPr>
      <w:t xml:space="preserve">Confidentiel — Mai 2026</w:t>
    </w:r>
    <w:r>
      <w:rPr>
        <w:rFonts w:ascii="Arial" w:cs="Arial" w:eastAsia="Arial" w:hAnsi="Arial"/>
        <w:color w:val="7A7069"/>
        <w:sz w:val="16"/>
        <w:szCs w:val="16"/>
      </w:rPr>
      <w:t xml:space="preserve">	Page </w:t>
    </w:r>
    <w:r>
      <w:rPr>
        <w:rFonts w:ascii="Arial" w:cs="Arial" w:eastAsia="Arial" w:hAnsi="Arial"/>
        <w:color w:val="7A70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7A7069"/>
        <w:sz w:val="18"/>
        <w:szCs w:val="18"/>
      </w:rPr>
      <w:t xml:space="preserve">CAHIER DES CHARGES — VERSION RÉSUMÉE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4D0F1C"/>
        <w:sz w:val="18"/>
        <w:szCs w:val="18"/>
      </w:rPr>
      <w:t xml:space="preserve">Africa Wine Food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4D0F1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6B1A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2026-05-13T03:08:32.987Z</dcterms:created>
  <dcterms:modified xsi:type="dcterms:W3CDTF">2026-05-13T03:08:32.988Z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