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6. Financeiro</w:t>
      </w:r>
    </w:p>
    <w:p>
      <w:r>
        <w:t xml:space="preserve">Abas: </w:t>
      </w:r>
      <w:r>
        <w:rPr>
          <w:b/>
        </w:rPr>
        <w:t>Lançamentos</w:t>
      </w:r>
      <w:r>
        <w:t xml:space="preserve">, </w:t>
      </w:r>
      <w:r>
        <w:rPr>
          <w:b/>
        </w:rPr>
        <w:t>Comissões</w:t>
      </w:r>
      <w:r>
        <w:t xml:space="preserve"> e </w:t>
      </w:r>
      <w:r>
        <w:rPr>
          <w:b/>
        </w:rPr>
        <w:t>Fechamento de Caixa</w:t>
      </w:r>
      <w:r>
        <w:t>.</w:t>
      </w:r>
    </w:p>
    <w:p>
      <w:r>
        <w:rPr>
          <w:b/>
        </w:rPr>
        <w:t>Criar lançamento:</w:t>
      </w:r>
    </w:p>
    <w:p>
      <w:pPr>
        <w:pStyle w:val="ListNumber"/>
      </w:pPr>
      <w:r>
        <w:t>1. Clique em **+ Novo lançamento**.</w:t>
      </w:r>
    </w:p>
    <w:p>
      <w:pPr>
        <w:pStyle w:val="ListNumber"/>
      </w:pPr>
      <w:r>
        <w:t>2. Escolha o **Tipo** (Receita ou Despesa) e informe **Descrição**.</w:t>
      </w:r>
    </w:p>
    <w:p>
      <w:pPr>
        <w:pStyle w:val="ListNumber"/>
      </w:pPr>
      <w:r>
        <w:t>3. Preencha o **Valor bruto** e, se houver, o **Desconto** e a quantidade de **Parcelas** (até 12x, o sistema calcula o valor líquido e de cada parcela).</w:t>
      </w:r>
    </w:p>
    <w:p>
      <w:pPr>
        <w:pStyle w:val="ListNumber"/>
      </w:pPr>
      <w:r>
        <w:t>4. Selecione a **forma de pagamento** (Dinheiro, Pix, Cartão, Convênio, Transferência) e o **vencimento da 1ª parcela**.</w:t>
      </w:r>
    </w:p>
    <w:p>
      <w:pPr>
        <w:pStyle w:val="ListNumber"/>
      </w:pPr>
      <w:r>
        <w:t>5. Selecione **Paciente**, **Procedimento** (preenche valor/descrição) e **Profissional** (gera comissão automaticamente).</w:t>
      </w:r>
    </w:p>
    <w:p>
      <w:pPr>
        <w:pStyle w:val="ListNumber"/>
      </w:pPr>
      <w:r>
        <w:t>6. Clique em **Salvar**.</w:t>
      </w:r>
    </w:p>
    <w:p>
      <w:r>
        <w:rPr>
          <w:b/>
        </w:rPr>
        <w:t>Receber (baixar):</w:t>
      </w:r>
    </w:p>
    <w:p>
      <w:pPr>
        <w:pStyle w:val="ListBullet"/>
      </w:pPr>
      <w:r>
        <w:t>Na linha de um lançamento pendente, clique em **Receber** para registrar o pagamento.</w:t>
      </w:r>
    </w:p>
    <w:p>
      <w:r>
        <w:rPr>
          <w:b/>
        </w:rPr>
        <w:t>Cobrança (gateway):</w:t>
      </w:r>
    </w:p>
    <w:p>
      <w:pPr>
        <w:pStyle w:val="ListBullet"/>
      </w:pPr>
      <w:r>
        <w:t>Na linha de uma receita pendente, clique em **Cobrança** para gerar Pix, Boleto ou Cartão (ver [seção 8](#8-cobrança-online-pix-boleto-e-cartão)).</w:t>
      </w:r>
    </w:p>
    <w:p>
      <w:r>
        <w:rPr>
          <w:b/>
        </w:rPr>
        <w:t>Cancelar / Excluir:</w:t>
      </w:r>
    </w:p>
    <w:p>
      <w:pPr>
        <w:pStyle w:val="ListBullet"/>
      </w:pPr>
      <w:r>
        <w:t>Use **Cancelar** (dançamento pendente) e **Excluir** (nunção: remoção definitiva de lançamento não pago).</w:t>
      </w:r>
    </w:p>
    <w:p>
      <w:r>
        <w:rPr>
          <w:b/>
        </w:rPr>
        <w:t>Comissões:</w:t>
      </w:r>
    </w:p>
    <w:p>
      <w:pPr>
        <w:pStyle w:val="ListBullet"/>
      </w:pPr>
      <w:r>
        <w:t>Veja as comissões geradas automaticamente por profissional (percentual configurado). Clique em **Marcar como paga** quando pagar.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nanceiro-lancam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nanceiro-comiss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