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DentalSys 2.0</w:t>
      </w:r>
    </w:p>
    <w:p>
      <w:pPr>
        <w:pStyle w:val="Heading1"/>
      </w:pPr>
      <w:r>
        <w:t>DentalSys 2.0 — Manual do Usuário</w:t>
      </w:r>
    </w:p>
    <w:p>
      <w:r>
        <w:t>Sistema de gestão para consultórios odontológicos.</w:t>
      </w:r>
    </w:p>
    <w:p>
      <w:r>
        <w:rPr>
          <w:i/>
        </w:rPr>
        <w:t>Este arquivo é um dos módulos do manual. Consulte o sumário em `manual/INDEX.md`.</w:t>
      </w:r>
    </w:p>
    <w:p>
      <w:r>
        <w:t>---</w:t>
      </w:r>
    </w:p>
    <w:p>
      <w:pPr>
        <w:pStyle w:val="Heading2"/>
      </w:pPr>
      <w:r>
        <w:t>8. Cobrança Online (Pix, Boleto e Cartão)</w:t>
      </w:r>
    </w:p>
    <w:p>
      <w:r>
        <w:t xml:space="preserve">Gerada pelo botão </w:t>
      </w:r>
      <w:r>
        <w:rPr>
          <w:b/>
        </w:rPr>
        <w:t>Cobrança</w:t>
      </w:r>
      <w:r>
        <w:t xml:space="preserve"> em um lançamento de receita pendente.</w:t>
      </w:r>
    </w:p>
    <w:p>
      <w:r>
        <w:rPr>
          <w:b/>
        </w:rPr>
        <w:t>Passo a passo:</w:t>
      </w:r>
    </w:p>
    <w:p>
      <w:pPr>
        <w:pStyle w:val="ListNumber"/>
      </w:pPr>
      <w:r>
        <w:t>1. Abra o modal de cobrança (o valor vem do lançamento).</w:t>
      </w:r>
    </w:p>
    <w:p>
      <w:pPr>
        <w:pStyle w:val="ListNumber"/>
      </w:pPr>
      <w:r>
        <w:t>2. Escolha a forma: **Pix**, **Boleto** ou **Cartão**.</w:t>
      </w:r>
    </w:p>
    <w:p>
      <w:r>
        <w:rPr>
          <w:b/>
        </w:rPr>
        <w:t>Pix:</w:t>
      </w:r>
    </w:p>
    <w:p>
      <w:pPr>
        <w:pStyle w:val="ListBullet"/>
      </w:pPr>
      <w:r>
        <w:t>É exibido o **QR Code** e o código **Pix copia e cola**; use **Copiar** para enviar ao cliente.</w:t>
      </w:r>
    </w:p>
    <w:p>
      <w:r>
        <w:rPr>
          <w:b/>
        </w:rPr>
        <w:t>Boleto:</w:t>
      </w:r>
    </w:p>
    <w:p>
      <w:pPr>
        <w:pStyle w:val="ListBullet"/>
      </w:pPr>
      <w:r>
        <w:t>Veja a **Linha digitável** (use **Copiar**) e o link **Abrir boleto**.</w:t>
      </w:r>
    </w:p>
    <w:p>
      <w:r>
        <w:rPr>
          <w:b/>
        </w:rPr>
        <w:t>Cartão:</w:t>
      </w:r>
    </w:p>
    <w:p>
      <w:pPr>
        <w:pStyle w:val="ListBullet"/>
      </w:pPr>
      <w:r>
        <w:t>Preencha **Nome impresso no cartão**, **Número**, **Validade (MM/AAAA)**, **CVV** e escolha as **Parcelas**.</w:t>
      </w:r>
    </w:p>
    <w:p>
      <w:pPr>
        <w:pStyle w:val="ListBullet"/>
      </w:pPr>
      <w:r>
        <w:t>Clique em **Gerar cobrança**. Se aprovado, o lançamento é baixado automaticamente (aparece "Pagamento aprovado").</w:t>
      </w:r>
    </w:p>
    <w:p>
      <w:r>
        <w:rPr>
          <w:b/>
        </w:rPr>
        <w:t>Modo de operação:</w:t>
      </w:r>
    </w:p>
    <w:p>
      <w:pPr>
        <w:pStyle w:val="ListBullet"/>
      </w:pPr>
      <w:r>
        <w:t>Sem credenciais do gateway configuradas, a cobrança é gerada em **modo simulação** (com aviso visual). Ao configurar as credenciais reais em Configurações → Gateway de pagamento, as cobranças passam a ser reais.</w:t>
      </w:r>
    </w:p>
    <w:p>
      <w:pPr>
        <w:pStyle w:val="ListBullet"/>
      </w:pPr>
      <w:r>
        <w:t>Para cobrança não confirmada na hora (Pix/Boleto), use **Marcar como pago** quando o pagamento for confirmado.</w:t>
      </w:r>
    </w:p>
    <w:p>
      <w:r>
        <w:rPr>
          <w:b/>
        </w:rPr>
        <w:t>Webhook (receber confirmação automática):</w:t>
      </w:r>
    </w:p>
    <w:p>
      <w:pPr>
        <w:pStyle w:val="ListBullet"/>
      </w:pPr>
      <w:r>
        <w:t>Se configurado em Configurações, o servidor recebe a confirmação do gateway automaticamente e baixa o lançamento. (Sujeito à configuração de **Webhook Secret** e **IP permitido**.)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