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0"/>
      </w:pPr>
      <w:r>
        <w:rPr>
          <w:sz w:val="22"/>
          <w:szCs w:val="22"/>
        </w:rPr>
        <w:t xml:space="preserve"/>
      </w:r>
    </w:p>
    <w:p>
      <w:pPr>
        <w:spacing w:after="80"/>
        <w:jc w:val="center"/>
      </w:pPr>
      <w:r>
        <w:rPr>
          <w:rFonts w:ascii="Arial" w:cs="Arial" w:eastAsia="Arial" w:hAnsi="Arial"/>
          <w:b/>
          <w:bCs/>
          <w:color w:val="085041"/>
          <w:sz w:val="96"/>
          <w:szCs w:val="96"/>
        </w:rPr>
        <w:t xml:space="preserve">URITHI</w:t>
      </w:r>
    </w:p>
    <w:p>
      <w:pPr>
        <w:spacing w:after="480"/>
        <w:jc w:val="center"/>
      </w:pPr>
      <w:r>
        <w:rPr>
          <w:rFonts w:ascii="Arial" w:cs="Arial" w:eastAsia="Arial" w:hAnsi="Arial"/>
          <w:i/>
          <w:iCs/>
          <w:color w:val="EF9F27"/>
          <w:sz w:val="28"/>
          <w:szCs w:val="28"/>
        </w:rPr>
        <w:t xml:space="preserve">Your Legacy, Protected Forever</w:t>
      </w:r>
    </w:p>
    <w:p>
      <w:pPr>
        <w:spacing w:after="160"/>
        <w:jc w:val="center"/>
      </w:pPr>
      <w:r>
        <w:rPr>
          <w:rFonts w:ascii="Arial" w:cs="Arial" w:eastAsia="Arial" w:hAnsi="Arial"/>
          <w:b/>
          <w:bCs/>
          <w:color w:val="444441"/>
          <w:sz w:val="36"/>
          <w:szCs w:val="36"/>
        </w:rPr>
        <w:t xml:space="preserve">APPLICATION PROJECT PLAN</w:t>
      </w:r>
    </w:p>
    <w:p>
      <w:pPr>
        <w:spacing w:after="600"/>
        <w:jc w:val="center"/>
      </w:pPr>
      <w:r>
        <w:rPr>
          <w:rFonts w:ascii="Arial" w:cs="Arial" w:eastAsia="Arial" w:hAnsi="Arial"/>
          <w:i/>
          <w:iCs/>
          <w:color w:val="888780"/>
          <w:sz w:val="22"/>
          <w:szCs w:val="22"/>
        </w:rPr>
        <w:t xml:space="preserve">Version 1.0  |  April 2026  |  Confidential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85041"/>
                <w:sz w:val="20"/>
                <w:szCs w:val="20"/>
              </w:rPr>
              <w:t xml:space="preserve">Project</w:t>
            </w:r>
          </w:p>
          <w:p>
            <w:r>
              <w:rPr>
                <w:rFonts w:ascii="Arial" w:cs="Arial" w:eastAsia="Arial" w:hAnsi="Arial"/>
                <w:color w:val="2C2C2A"/>
                <w:sz w:val="20"/>
                <w:szCs w:val="20"/>
              </w:rPr>
              <w:t xml:space="preserve">URITHI Platform v1.0</w:t>
            </w:r>
          </w:p>
        </w:tc>
        <w:tc>
          <w:tcPr>
            <w:tcW w:type="dxa" w:w="300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85041"/>
                <w:sz w:val="20"/>
                <w:szCs w:val="20"/>
              </w:rPr>
              <w:t xml:space="preserve">Project Manager</w:t>
            </w:r>
          </w:p>
          <w:p>
            <w:r>
              <w:rPr>
                <w:rFonts w:ascii="Arial" w:cs="Arial" w:eastAsia="Arial" w:hAnsi="Arial"/>
                <w:color w:val="2C2C2A"/>
                <w:sz w:val="20"/>
                <w:szCs w:val="20"/>
              </w:rPr>
              <w:t xml:space="preserve">Primo (Founder &amp; CEO)</w:t>
            </w:r>
          </w:p>
        </w:tc>
      </w:tr>
      <w:tr>
        <w:tc>
          <w:tcPr>
            <w:tcW w:type="dxa" w:w="3000"/>
            <w:tcBorders>
              <w:top w:val="none" w:color="FFFFFF" w:sz="0"/>
              <w:left w:val="none" w:color="FFFFFF" w:sz="0"/>
              <w:bottom w:val="none" w:color="FFFFFF" w:sz="0"/>
              <w:right w:val="none" w:color="FFFFFF" w:sz="0"/>
            </w:tcBorders>
            <w:shd w:fill="F1EFE8" w:val="clear"/>
            <w:tcMar>
              <w:top w:type="dxa" w:w="120"/>
              <w:left w:type="dxa" w:w="180"/>
              <w:bottom w:type="dxa" w:w="120"/>
              <w:right w:type="dxa" w:w="180"/>
            </w:tcMar>
          </w:tcPr>
          <w:p>
            <w:r>
              <w:rPr>
                <w:rFonts w:ascii="Arial" w:cs="Arial" w:eastAsia="Arial" w:hAnsi="Arial"/>
                <w:b/>
                <w:bCs/>
                <w:color w:val="085041"/>
                <w:sz w:val="20"/>
                <w:szCs w:val="20"/>
              </w:rPr>
              <w:t xml:space="preserve">Start Date</w:t>
            </w:r>
          </w:p>
          <w:p>
            <w:r>
              <w:rPr>
                <w:rFonts w:ascii="Arial" w:cs="Arial" w:eastAsia="Arial" w:hAnsi="Arial"/>
                <w:color w:val="2C2C2A"/>
                <w:sz w:val="20"/>
                <w:szCs w:val="20"/>
              </w:rPr>
              <w:t xml:space="preserve">April 2026</w:t>
            </w:r>
          </w:p>
        </w:tc>
        <w:tc>
          <w:tcPr>
            <w:tcW w:type="dxa" w:w="3000"/>
            <w:tcBorders>
              <w:top w:val="none" w:color="FFFFFF" w:sz="0"/>
              <w:left w:val="none" w:color="FFFFFF" w:sz="0"/>
              <w:bottom w:val="none" w:color="FFFFFF" w:sz="0"/>
              <w:right w:val="none" w:color="FFFFFF" w:sz="0"/>
            </w:tcBorders>
            <w:shd w:fill="F1EFE8" w:val="clear"/>
            <w:tcMar>
              <w:top w:type="dxa" w:w="120"/>
              <w:left w:type="dxa" w:w="180"/>
              <w:bottom w:type="dxa" w:w="120"/>
              <w:right w:type="dxa" w:w="180"/>
            </w:tcMar>
          </w:tcPr>
          <w:p>
            <w:r>
              <w:rPr>
                <w:rFonts w:ascii="Arial" w:cs="Arial" w:eastAsia="Arial" w:hAnsi="Arial"/>
                <w:b/>
                <w:bCs/>
                <w:color w:val="085041"/>
                <w:sz w:val="20"/>
                <w:szCs w:val="20"/>
              </w:rPr>
              <w:t xml:space="preserve">Target Launch</w:t>
            </w:r>
          </w:p>
          <w:p>
            <w:r>
              <w:rPr>
                <w:rFonts w:ascii="Arial" w:cs="Arial" w:eastAsia="Arial" w:hAnsi="Arial"/>
                <w:color w:val="2C2C2A"/>
                <w:sz w:val="20"/>
                <w:szCs w:val="20"/>
              </w:rPr>
              <w:t xml:space="preserve">October 2026 (Month 6)</w:t>
            </w:r>
          </w:p>
        </w:tc>
      </w:tr>
      <w:tr>
        <w:tc>
          <w:tcPr>
            <w:tcW w:type="dxa" w:w="300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85041"/>
                <w:sz w:val="20"/>
                <w:szCs w:val="20"/>
              </w:rPr>
              <w:t xml:space="preserve">Status</w:t>
            </w:r>
          </w:p>
          <w:p>
            <w:r>
              <w:rPr>
                <w:rFonts w:ascii="Arial" w:cs="Arial" w:eastAsia="Arial" w:hAnsi="Arial"/>
                <w:color w:val="2C2C2A"/>
                <w:sz w:val="20"/>
                <w:szCs w:val="20"/>
              </w:rPr>
              <w:t xml:space="preserve">In Planning</w:t>
            </w:r>
          </w:p>
        </w:tc>
        <w:tc>
          <w:tcPr>
            <w:tcW w:type="dxa" w:w="300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85041"/>
                <w:sz w:val="20"/>
                <w:szCs w:val="20"/>
              </w:rPr>
              <w:t xml:space="preserve">Platform</w:t>
            </w:r>
          </w:p>
          <w:p>
            <w:r>
              <w:rPr>
                <w:rFonts w:ascii="Arial" w:cs="Arial" w:eastAsia="Arial" w:hAnsi="Arial"/>
                <w:color w:val="2C2C2A"/>
                <w:sz w:val="20"/>
                <w:szCs w:val="20"/>
              </w:rPr>
              <w:t xml:space="preserve">Web + Mobile + Cloud</w:t>
            </w:r>
          </w:p>
        </w:tc>
      </w:tr>
    </w:tbl>
    <w:p>
      <w:r>
        <w:br w:type="page"/>
      </w:r>
    </w:p>
    <w:p>
      <w:pPr>
        <w:pStyle w:val="Heading1"/>
        <w:shd w:fill="085041" w:val="clear"/>
        <w:spacing w:before="360" w:after="0"/>
        <w:ind w:left="160" w:right="160"/>
      </w:pPr>
      <w:r>
        <w:rPr>
          <w:rFonts w:ascii="Arial" w:cs="Arial" w:eastAsia="Arial" w:hAnsi="Arial"/>
          <w:b/>
          <w:bCs/>
          <w:color w:val="FFFFFF"/>
          <w:sz w:val="34"/>
          <w:szCs w:val="34"/>
        </w:rPr>
        <w:t xml:space="preserve">1. Project Overview</w:t>
      </w:r>
    </w:p>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1.1 Project Summary</w:t>
      </w:r>
    </w:p>
    <w:p>
      <w:pPr>
        <w:spacing w:before="80" w:after="100"/>
        <w:jc w:val="both"/>
      </w:pPr>
      <w:r>
        <w:rPr>
          <w:rFonts w:ascii="Arial" w:cs="Arial" w:eastAsia="Arial" w:hAnsi="Arial"/>
          <w:color w:val="2C2C2A"/>
          <w:sz w:val="22"/>
          <w:szCs w:val="22"/>
        </w:rPr>
        <w:t xml:space="preserve">URITHI is Uganda's first purpose-built trust management platform — a multi-tenant SaaS application that digitises and automates the complete lifecycle of family trust administration. This project plan covers the full development, testing, deployment, and launch of URITHI version 1.0, from initial setup through to the first 10 paying law firm clients.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40"/>
              <w:bottom w:type="dxa" w:w="160"/>
              <w:right w:type="dxa" w:w="240"/>
            </w:tcMar>
          </w:tcPr>
          <w:p>
            <w:pPr>
              <w:spacing w:after="80"/>
            </w:pPr>
            <w:r>
              <w:rPr>
                <w:rFonts w:ascii="Arial" w:cs="Arial" w:eastAsia="Arial" w:hAnsi="Arial"/>
                <w:b/>
                <w:bCs/>
                <w:color w:val="085041"/>
                <w:sz w:val="22"/>
                <w:szCs w:val="22"/>
              </w:rPr>
              <w:t xml:space="preserve">Project Mission</w:t>
            </w:r>
          </w:p>
          <w:p>
            <w:pPr>
              <w:jc w:val="both"/>
            </w:pPr>
            <w:r>
              <w:rPr>
                <w:rFonts w:ascii="Arial" w:cs="Arial" w:eastAsia="Arial" w:hAnsi="Arial"/>
                <w:color w:val="085041"/>
                <w:sz w:val="21"/>
                <w:szCs w:val="21"/>
              </w:rPr>
              <w:t xml:space="preserve">To build, launch, and grow a production-ready trust management platform that protects Ugandan family wealth across generations — delivered within 12 months from project start, reaching break-even by Month 7 with 10 paying clients by Month 12.</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1.2 Project Objectives</w:t>
      </w:r>
    </w:p>
    <w:p>
      <w:pPr>
        <w:pStyle w:val="ListParagraph"/>
        <w:numPr>
          <w:ilvl w:val="0"/>
          <w:numId w:val="2"/>
        </w:numPr>
        <w:spacing w:before="60" w:after="60"/>
      </w:pPr>
      <w:r>
        <w:rPr>
          <w:rFonts w:ascii="Arial" w:cs="Arial" w:eastAsia="Arial" w:hAnsi="Arial"/>
          <w:color w:val="2C2C2A"/>
          <w:sz w:val="22"/>
          <w:szCs w:val="22"/>
        </w:rPr>
        <w:t xml:space="preserve">Deliver a fully functional web and mobile trust management platform by Month 6</w:t>
      </w:r>
    </w:p>
    <w:p>
      <w:pPr>
        <w:pStyle w:val="ListParagraph"/>
        <w:numPr>
          <w:ilvl w:val="0"/>
          <w:numId w:val="2"/>
        </w:numPr>
        <w:spacing w:before="60" w:after="60"/>
      </w:pPr>
      <w:r>
        <w:rPr>
          <w:rFonts w:ascii="Arial" w:cs="Arial" w:eastAsia="Arial" w:hAnsi="Arial"/>
          <w:color w:val="2C2C2A"/>
          <w:sz w:val="22"/>
          <w:szCs w:val="22"/>
        </w:rPr>
        <w:t xml:space="preserve">Onboard 3 pilot law firms in Kampala for free beta testing by Month 4</w:t>
      </w:r>
    </w:p>
    <w:p>
      <w:pPr>
        <w:pStyle w:val="ListParagraph"/>
        <w:numPr>
          <w:ilvl w:val="0"/>
          <w:numId w:val="2"/>
        </w:numPr>
        <w:spacing w:before="60" w:after="60"/>
      </w:pPr>
      <w:r>
        <w:rPr>
          <w:rFonts w:ascii="Arial" w:cs="Arial" w:eastAsia="Arial" w:hAnsi="Arial"/>
          <w:color w:val="2C2C2A"/>
          <w:sz w:val="22"/>
          <w:szCs w:val="22"/>
        </w:rPr>
        <w:t xml:space="preserve">Achieve first paying client conversion by Month 7</w:t>
      </w:r>
    </w:p>
    <w:p>
      <w:pPr>
        <w:pStyle w:val="ListParagraph"/>
        <w:numPr>
          <w:ilvl w:val="0"/>
          <w:numId w:val="2"/>
        </w:numPr>
        <w:spacing w:before="60" w:after="60"/>
      </w:pPr>
      <w:r>
        <w:rPr>
          <w:rFonts w:ascii="Arial" w:cs="Arial" w:eastAsia="Arial" w:hAnsi="Arial"/>
          <w:color w:val="2C2C2A"/>
          <w:sz w:val="22"/>
          <w:szCs w:val="22"/>
        </w:rPr>
        <w:t xml:space="preserve">Reach 10 paying clients and UGX 14.7M MRR by Month 12</w:t>
      </w:r>
    </w:p>
    <w:p>
      <w:pPr>
        <w:pStyle w:val="ListParagraph"/>
        <w:numPr>
          <w:ilvl w:val="0"/>
          <w:numId w:val="2"/>
        </w:numPr>
        <w:spacing w:before="60" w:after="60"/>
      </w:pPr>
      <w:r>
        <w:rPr>
          <w:rFonts w:ascii="Arial" w:cs="Arial" w:eastAsia="Arial" w:hAnsi="Arial"/>
          <w:color w:val="2C2C2A"/>
          <w:sz w:val="22"/>
          <w:szCs w:val="22"/>
        </w:rPr>
        <w:t xml:space="preserve">Complete URA tax filing integration and blockchain audit trail by Month 9</w:t>
      </w:r>
    </w:p>
    <w:p>
      <w:pPr>
        <w:pStyle w:val="ListParagraph"/>
        <w:numPr>
          <w:ilvl w:val="0"/>
          <w:numId w:val="2"/>
        </w:numPr>
        <w:spacing w:before="60" w:after="60"/>
      </w:pPr>
      <w:r>
        <w:rPr>
          <w:rFonts w:ascii="Arial" w:cs="Arial" w:eastAsia="Arial" w:hAnsi="Arial"/>
          <w:color w:val="2C2C2A"/>
          <w:sz w:val="22"/>
          <w:szCs w:val="22"/>
        </w:rPr>
        <w:t xml:space="preserve">Prepare platform for East Africa expansion by Month 12</w:t>
      </w:r>
    </w:p>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1.3 Project Scope</w:t>
      </w:r>
    </w:p>
    <w:p>
      <w:pPr>
        <w:pStyle w:val="Heading3"/>
        <w:spacing w:before="200" w:after="100"/>
      </w:pPr>
      <w:r>
        <w:rPr>
          <w:rFonts w:ascii="Arial" w:cs="Arial" w:eastAsia="Arial" w:hAnsi="Arial"/>
          <w:b/>
          <w:bCs/>
          <w:color w:val="444441"/>
          <w:sz w:val="22"/>
          <w:szCs w:val="22"/>
        </w:rPr>
        <w:t xml:space="preserve">In Scope</w:t>
      </w:r>
    </w:p>
    <w:p>
      <w:pPr>
        <w:pStyle w:val="ListParagraph"/>
        <w:numPr>
          <w:ilvl w:val="0"/>
          <w:numId w:val="2"/>
        </w:numPr>
        <w:spacing w:before="60" w:after="60"/>
      </w:pPr>
      <w:r>
        <w:rPr>
          <w:rFonts w:ascii="Arial" w:cs="Arial" w:eastAsia="Arial" w:hAnsi="Arial"/>
          <w:color w:val="2C2C2A"/>
          <w:sz w:val="22"/>
          <w:szCs w:val="22"/>
        </w:rPr>
        <w:t xml:space="preserve">FastAPI Python backend API with PostgreSQL database</w:t>
      </w:r>
    </w:p>
    <w:p>
      <w:pPr>
        <w:pStyle w:val="ListParagraph"/>
        <w:numPr>
          <w:ilvl w:val="0"/>
          <w:numId w:val="2"/>
        </w:numPr>
        <w:spacing w:before="60" w:after="60"/>
      </w:pPr>
      <w:r>
        <w:rPr>
          <w:rFonts w:ascii="Arial" w:cs="Arial" w:eastAsia="Arial" w:hAnsi="Arial"/>
          <w:color w:val="2C2C2A"/>
          <w:sz w:val="22"/>
          <w:szCs w:val="22"/>
        </w:rPr>
        <w:t xml:space="preserve">React TypeScript web application — trustee dashboard</w:t>
      </w:r>
    </w:p>
    <w:p>
      <w:pPr>
        <w:pStyle w:val="ListParagraph"/>
        <w:numPr>
          <w:ilvl w:val="0"/>
          <w:numId w:val="2"/>
        </w:numPr>
        <w:spacing w:before="60" w:after="60"/>
      </w:pPr>
      <w:r>
        <w:rPr>
          <w:rFonts w:ascii="Arial" w:cs="Arial" w:eastAsia="Arial" w:hAnsi="Arial"/>
          <w:color w:val="2C2C2A"/>
          <w:sz w:val="22"/>
          <w:szCs w:val="22"/>
        </w:rPr>
        <w:t xml:space="preserve">React Native mobile app — beneficiary portal (iOS and Android)</w:t>
      </w:r>
    </w:p>
    <w:p>
      <w:pPr>
        <w:pStyle w:val="ListParagraph"/>
        <w:numPr>
          <w:ilvl w:val="0"/>
          <w:numId w:val="2"/>
        </w:numPr>
        <w:spacing w:before="60" w:after="60"/>
      </w:pPr>
      <w:r>
        <w:rPr>
          <w:rFonts w:ascii="Arial" w:cs="Arial" w:eastAsia="Arial" w:hAnsi="Arial"/>
          <w:color w:val="2C2C2A"/>
          <w:sz w:val="22"/>
          <w:szCs w:val="22"/>
        </w:rPr>
        <w:t xml:space="preserve">Document vault with SHA-256 encryption and hash verification</w:t>
      </w:r>
    </w:p>
    <w:p>
      <w:pPr>
        <w:pStyle w:val="ListParagraph"/>
        <w:numPr>
          <w:ilvl w:val="0"/>
          <w:numId w:val="2"/>
        </w:numPr>
        <w:spacing w:before="60" w:after="60"/>
      </w:pPr>
      <w:r>
        <w:rPr>
          <w:rFonts w:ascii="Arial" w:cs="Arial" w:eastAsia="Arial" w:hAnsi="Arial"/>
          <w:color w:val="2C2C2A"/>
          <w:sz w:val="22"/>
          <w:szCs w:val="22"/>
        </w:rPr>
        <w:t xml:space="preserve">Mobile Money integration via Africa's Talking (MTN and Airtel Uganda)</w:t>
      </w:r>
    </w:p>
    <w:p>
      <w:pPr>
        <w:pStyle w:val="ListParagraph"/>
        <w:numPr>
          <w:ilvl w:val="0"/>
          <w:numId w:val="2"/>
        </w:numPr>
        <w:spacing w:before="60" w:after="60"/>
      </w:pPr>
      <w:r>
        <w:rPr>
          <w:rFonts w:ascii="Arial" w:cs="Arial" w:eastAsia="Arial" w:hAnsi="Arial"/>
          <w:color w:val="2C2C2A"/>
          <w:sz w:val="22"/>
          <w:szCs w:val="22"/>
        </w:rPr>
        <w:t xml:space="preserve">Multi-signature distribution approval workflow</w:t>
      </w:r>
    </w:p>
    <w:p>
      <w:pPr>
        <w:pStyle w:val="ListParagraph"/>
        <w:numPr>
          <w:ilvl w:val="0"/>
          <w:numId w:val="2"/>
        </w:numPr>
        <w:spacing w:before="60" w:after="60"/>
      </w:pPr>
      <w:r>
        <w:rPr>
          <w:rFonts w:ascii="Arial" w:cs="Arial" w:eastAsia="Arial" w:hAnsi="Arial"/>
          <w:color w:val="2C2C2A"/>
          <w:sz w:val="22"/>
          <w:szCs w:val="22"/>
        </w:rPr>
        <w:t xml:space="preserve">URA tax filing engine with auto-populated returns</w:t>
      </w:r>
    </w:p>
    <w:p>
      <w:pPr>
        <w:pStyle w:val="ListParagraph"/>
        <w:numPr>
          <w:ilvl w:val="0"/>
          <w:numId w:val="2"/>
        </w:numPr>
        <w:spacing w:before="60" w:after="60"/>
      </w:pPr>
      <w:r>
        <w:rPr>
          <w:rFonts w:ascii="Arial" w:cs="Arial" w:eastAsia="Arial" w:hAnsi="Arial"/>
          <w:color w:val="2C2C2A"/>
          <w:sz w:val="22"/>
          <w:szCs w:val="22"/>
        </w:rPr>
        <w:t xml:space="preserve">URSB registration workflow integration</w:t>
      </w:r>
    </w:p>
    <w:p>
      <w:pPr>
        <w:pStyle w:val="ListParagraph"/>
        <w:numPr>
          <w:ilvl w:val="0"/>
          <w:numId w:val="2"/>
        </w:numPr>
        <w:spacing w:before="60" w:after="60"/>
      </w:pPr>
      <w:r>
        <w:rPr>
          <w:rFonts w:ascii="Arial" w:cs="Arial" w:eastAsia="Arial" w:hAnsi="Arial"/>
          <w:color w:val="2C2C2A"/>
          <w:sz w:val="22"/>
          <w:szCs w:val="22"/>
        </w:rPr>
        <w:t xml:space="preserve">Hyperledger Fabric blockchain audit trail</w:t>
      </w:r>
    </w:p>
    <w:p>
      <w:pPr>
        <w:pStyle w:val="ListParagraph"/>
        <w:numPr>
          <w:ilvl w:val="0"/>
          <w:numId w:val="2"/>
        </w:numPr>
        <w:spacing w:before="60" w:after="60"/>
      </w:pPr>
      <w:r>
        <w:rPr>
          <w:rFonts w:ascii="Arial" w:cs="Arial" w:eastAsia="Arial" w:hAnsi="Arial"/>
          <w:color w:val="2C2C2A"/>
          <w:sz w:val="22"/>
          <w:szCs w:val="22"/>
        </w:rPr>
        <w:t xml:space="preserve">Celery task scheduler for automated distributions</w:t>
      </w:r>
    </w:p>
    <w:p>
      <w:pPr>
        <w:pStyle w:val="ListParagraph"/>
        <w:numPr>
          <w:ilvl w:val="0"/>
          <w:numId w:val="2"/>
        </w:numPr>
        <w:spacing w:before="60" w:after="60"/>
      </w:pPr>
      <w:r>
        <w:rPr>
          <w:rFonts w:ascii="Arial" w:cs="Arial" w:eastAsia="Arial" w:hAnsi="Arial"/>
          <w:color w:val="2C2C2A"/>
          <w:sz w:val="22"/>
          <w:szCs w:val="22"/>
        </w:rPr>
        <w:t xml:space="preserve">Marketing website at urithi.io (Next.js + TailwindCSS)</w:t>
      </w:r>
    </w:p>
    <w:p>
      <w:pPr>
        <w:pStyle w:val="ListParagraph"/>
        <w:numPr>
          <w:ilvl w:val="0"/>
          <w:numId w:val="2"/>
        </w:numPr>
        <w:spacing w:before="60" w:after="60"/>
      </w:pPr>
      <w:r>
        <w:rPr>
          <w:rFonts w:ascii="Arial" w:cs="Arial" w:eastAsia="Arial" w:hAnsi="Arial"/>
          <w:color w:val="2C2C2A"/>
          <w:sz w:val="22"/>
          <w:szCs w:val="22"/>
        </w:rPr>
        <w:t xml:space="preserve">Admin super-dashboard for platform management</w:t>
      </w:r>
    </w:p>
    <w:p>
      <w:pPr>
        <w:spacing w:before="0" w:after="120"/>
      </w:pPr>
      <w:r>
        <w:rPr>
          <w:sz w:val="22"/>
          <w:szCs w:val="22"/>
        </w:rPr>
        <w:t xml:space="preserve"/>
      </w:r>
    </w:p>
    <w:p>
      <w:pPr>
        <w:pStyle w:val="Heading3"/>
        <w:spacing w:before="200" w:after="100"/>
      </w:pPr>
      <w:r>
        <w:rPr>
          <w:rFonts w:ascii="Arial" w:cs="Arial" w:eastAsia="Arial" w:hAnsi="Arial"/>
          <w:b/>
          <w:bCs/>
          <w:color w:val="444441"/>
          <w:sz w:val="22"/>
          <w:szCs w:val="22"/>
        </w:rPr>
        <w:t xml:space="preserve">Out of Scope (Phase 1)</w:t>
      </w:r>
    </w:p>
    <w:p>
      <w:pPr>
        <w:pStyle w:val="ListParagraph"/>
        <w:numPr>
          <w:ilvl w:val="0"/>
          <w:numId w:val="2"/>
        </w:numPr>
        <w:spacing w:before="60" w:after="60"/>
      </w:pPr>
      <w:r>
        <w:rPr>
          <w:rFonts w:ascii="Arial" w:cs="Arial" w:eastAsia="Arial" w:hAnsi="Arial"/>
          <w:color w:val="2C2C2A"/>
          <w:sz w:val="22"/>
          <w:szCs w:val="22"/>
        </w:rPr>
        <w:t xml:space="preserve">Kenya, Tanzania, and Rwanda localisation (Phase 4)</w:t>
      </w:r>
    </w:p>
    <w:p>
      <w:pPr>
        <w:pStyle w:val="ListParagraph"/>
        <w:numPr>
          <w:ilvl w:val="0"/>
          <w:numId w:val="2"/>
        </w:numPr>
        <w:spacing w:before="60" w:after="60"/>
      </w:pPr>
      <w:r>
        <w:rPr>
          <w:rFonts w:ascii="Arial" w:cs="Arial" w:eastAsia="Arial" w:hAnsi="Arial"/>
          <w:color w:val="2C2C2A"/>
          <w:sz w:val="22"/>
          <w:szCs w:val="22"/>
        </w:rPr>
        <w:t xml:space="preserve">Native iOS and Android apps (React Native covers both — native apps are Phase 3)</w:t>
      </w:r>
    </w:p>
    <w:p>
      <w:pPr>
        <w:pStyle w:val="ListParagraph"/>
        <w:numPr>
          <w:ilvl w:val="0"/>
          <w:numId w:val="2"/>
        </w:numPr>
        <w:spacing w:before="60" w:after="60"/>
      </w:pPr>
      <w:r>
        <w:rPr>
          <w:rFonts w:ascii="Arial" w:cs="Arial" w:eastAsia="Arial" w:hAnsi="Arial"/>
          <w:color w:val="2C2C2A"/>
          <w:sz w:val="22"/>
          <w:szCs w:val="22"/>
        </w:rPr>
        <w:t xml:space="preserve">AI-powered document analysis (future roadmap)</w:t>
      </w:r>
    </w:p>
    <w:p>
      <w:pPr>
        <w:pStyle w:val="ListParagraph"/>
        <w:numPr>
          <w:ilvl w:val="0"/>
          <w:numId w:val="2"/>
        </w:numPr>
        <w:spacing w:before="60" w:after="60"/>
      </w:pPr>
      <w:r>
        <w:rPr>
          <w:rFonts w:ascii="Arial" w:cs="Arial" w:eastAsia="Arial" w:hAnsi="Arial"/>
          <w:color w:val="2C2C2A"/>
          <w:sz w:val="22"/>
          <w:szCs w:val="22"/>
        </w:rPr>
        <w:t xml:space="preserve">Integration with Uganda Stock Exchange for share tracking (Phase 2)</w:t>
      </w:r>
    </w:p>
    <w:p>
      <w:pPr>
        <w:pStyle w:val="ListParagraph"/>
        <w:numPr>
          <w:ilvl w:val="0"/>
          <w:numId w:val="2"/>
        </w:numPr>
        <w:spacing w:before="60" w:after="60"/>
      </w:pPr>
      <w:r>
        <w:rPr>
          <w:rFonts w:ascii="Arial" w:cs="Arial" w:eastAsia="Arial" w:hAnsi="Arial"/>
          <w:color w:val="2C2C2A"/>
          <w:sz w:val="22"/>
          <w:szCs w:val="22"/>
        </w:rPr>
        <w:t xml:space="preserve">Public API for third-party integrations (Phase 3)</w:t>
      </w:r>
    </w:p>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1.4 Project Assumptions</w:t>
      </w:r>
    </w:p>
    <w:p>
      <w:pPr>
        <w:pStyle w:val="ListParagraph"/>
        <w:numPr>
          <w:ilvl w:val="0"/>
          <w:numId w:val="2"/>
        </w:numPr>
        <w:spacing w:before="60" w:after="60"/>
      </w:pPr>
      <w:r>
        <w:rPr>
          <w:rFonts w:ascii="Arial" w:cs="Arial" w:eastAsia="Arial" w:hAnsi="Arial"/>
          <w:color w:val="2C2C2A"/>
          <w:sz w:val="22"/>
          <w:szCs w:val="22"/>
        </w:rPr>
        <w:t xml:space="preserve">Seed funding of UGX 500M (~$130,000) is secured or self-funded from savings before Month 3</w:t>
      </w:r>
    </w:p>
    <w:p>
      <w:pPr>
        <w:pStyle w:val="ListParagraph"/>
        <w:numPr>
          <w:ilvl w:val="0"/>
          <w:numId w:val="2"/>
        </w:numPr>
        <w:spacing w:before="60" w:after="60"/>
      </w:pPr>
      <w:r>
        <w:rPr>
          <w:rFonts w:ascii="Arial" w:cs="Arial" w:eastAsia="Arial" w:hAnsi="Arial"/>
          <w:color w:val="2C2C2A"/>
          <w:sz w:val="22"/>
          <w:szCs w:val="22"/>
        </w:rPr>
        <w:t xml:space="preserve">NITA-U API credentials for URA e-Tax integration are obtainable within 6 months</w:t>
      </w:r>
    </w:p>
    <w:p>
      <w:pPr>
        <w:pStyle w:val="ListParagraph"/>
        <w:numPr>
          <w:ilvl w:val="0"/>
          <w:numId w:val="2"/>
        </w:numPr>
        <w:spacing w:before="60" w:after="60"/>
      </w:pPr>
      <w:r>
        <w:rPr>
          <w:rFonts w:ascii="Arial" w:cs="Arial" w:eastAsia="Arial" w:hAnsi="Arial"/>
          <w:color w:val="2C2C2A"/>
          <w:sz w:val="22"/>
          <w:szCs w:val="22"/>
        </w:rPr>
        <w:t xml:space="preserve">Africa's Talking Uganda Mobile Money API access is approved within 2 weeks of application</w:t>
      </w:r>
    </w:p>
    <w:p>
      <w:pPr>
        <w:pStyle w:val="ListParagraph"/>
        <w:numPr>
          <w:ilvl w:val="0"/>
          <w:numId w:val="2"/>
        </w:numPr>
        <w:spacing w:before="60" w:after="60"/>
      </w:pPr>
      <w:r>
        <w:rPr>
          <w:rFonts w:ascii="Arial" w:cs="Arial" w:eastAsia="Arial" w:hAnsi="Arial"/>
          <w:color w:val="2C2C2A"/>
          <w:sz w:val="22"/>
          <w:szCs w:val="22"/>
        </w:rPr>
        <w:t xml:space="preserve">AWS cloud infrastructure is used for hosting — budget of UGX 1M/month for cloud costs</w:t>
      </w:r>
    </w:p>
    <w:p>
      <w:pPr>
        <w:pStyle w:val="ListParagraph"/>
        <w:numPr>
          <w:ilvl w:val="0"/>
          <w:numId w:val="2"/>
        </w:numPr>
        <w:spacing w:before="60" w:after="60"/>
      </w:pPr>
      <w:r>
        <w:rPr>
          <w:rFonts w:ascii="Arial" w:cs="Arial" w:eastAsia="Arial" w:hAnsi="Arial"/>
          <w:color w:val="2C2C2A"/>
          <w:sz w:val="22"/>
          <w:szCs w:val="22"/>
        </w:rPr>
        <w:t xml:space="preserve">At least 3 Kampala law firms agree to pilot URITHI for free during Months 3–6</w:t>
      </w:r>
    </w:p>
    <w:p>
      <w:pPr>
        <w:pStyle w:val="ListParagraph"/>
        <w:numPr>
          <w:ilvl w:val="0"/>
          <w:numId w:val="2"/>
        </w:numPr>
        <w:spacing w:before="60" w:after="60"/>
      </w:pPr>
      <w:r>
        <w:rPr>
          <w:rFonts w:ascii="Arial" w:cs="Arial" w:eastAsia="Arial" w:hAnsi="Arial"/>
          <w:color w:val="2C2C2A"/>
          <w:sz w:val="22"/>
          <w:szCs w:val="22"/>
        </w:rPr>
        <w:t xml:space="preserve">The founder (Primo) is the primary developer for the first 6 months</w:t>
      </w:r>
    </w:p>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1.5 Project Constraints</w:t>
      </w:r>
    </w:p>
    <w:p>
      <w:pPr>
        <w:pStyle w:val="ListParagraph"/>
        <w:numPr>
          <w:ilvl w:val="0"/>
          <w:numId w:val="2"/>
        </w:numPr>
        <w:spacing w:before="60" w:after="60"/>
      </w:pPr>
      <w:r>
        <w:rPr>
          <w:rFonts w:ascii="Arial" w:cs="Arial" w:eastAsia="Arial" w:hAnsi="Arial"/>
          <w:color w:val="2C2C2A"/>
          <w:sz w:val="22"/>
          <w:szCs w:val="22"/>
        </w:rPr>
        <w:t xml:space="preserve">Budget constraint: Development must operate within UGX 500M seed funding envelope</w:t>
      </w:r>
    </w:p>
    <w:p>
      <w:pPr>
        <w:pStyle w:val="ListParagraph"/>
        <w:numPr>
          <w:ilvl w:val="0"/>
          <w:numId w:val="2"/>
        </w:numPr>
        <w:spacing w:before="60" w:after="60"/>
      </w:pPr>
      <w:r>
        <w:rPr>
          <w:rFonts w:ascii="Arial" w:cs="Arial" w:eastAsia="Arial" w:hAnsi="Arial"/>
          <w:color w:val="2C2C2A"/>
          <w:sz w:val="22"/>
          <w:szCs w:val="22"/>
        </w:rPr>
        <w:t xml:space="preserve">Time constraint: Paid launch must happen by Month 7 to hit break-even targets</w:t>
      </w:r>
    </w:p>
    <w:p>
      <w:pPr>
        <w:pStyle w:val="ListParagraph"/>
        <w:numPr>
          <w:ilvl w:val="0"/>
          <w:numId w:val="2"/>
        </w:numPr>
        <w:spacing w:before="60" w:after="60"/>
      </w:pPr>
      <w:r>
        <w:rPr>
          <w:rFonts w:ascii="Arial" w:cs="Arial" w:eastAsia="Arial" w:hAnsi="Arial"/>
          <w:color w:val="2C2C2A"/>
          <w:sz w:val="22"/>
          <w:szCs w:val="22"/>
        </w:rPr>
        <w:t xml:space="preserve">Resource constraint: Solo founder development until Month 6 when second developer hired</w:t>
      </w:r>
    </w:p>
    <w:p>
      <w:pPr>
        <w:pStyle w:val="ListParagraph"/>
        <w:numPr>
          <w:ilvl w:val="0"/>
          <w:numId w:val="2"/>
        </w:numPr>
        <w:spacing w:before="60" w:after="60"/>
      </w:pPr>
      <w:r>
        <w:rPr>
          <w:rFonts w:ascii="Arial" w:cs="Arial" w:eastAsia="Arial" w:hAnsi="Arial"/>
          <w:color w:val="2C2C2A"/>
          <w:sz w:val="22"/>
          <w:szCs w:val="22"/>
        </w:rPr>
        <w:t xml:space="preserve">Regulatory constraint: URA and URSB API access depends on government timelines outside project control</w:t>
      </w:r>
    </w:p>
    <w:p>
      <w:pPr>
        <w:pStyle w:val="ListParagraph"/>
        <w:numPr>
          <w:ilvl w:val="0"/>
          <w:numId w:val="2"/>
        </w:numPr>
        <w:spacing w:before="60" w:after="60"/>
      </w:pPr>
      <w:r>
        <w:rPr>
          <w:rFonts w:ascii="Arial" w:cs="Arial" w:eastAsia="Arial" w:hAnsi="Arial"/>
          <w:color w:val="2C2C2A"/>
          <w:sz w:val="22"/>
          <w:szCs w:val="22"/>
        </w:rPr>
        <w:t xml:space="preserve">Connectivity constraint: Platform must function on low-bandwidth Uganda internet — offline capability required for mobile app</w:t>
      </w:r>
    </w:p>
    <w:p>
      <w:r>
        <w:br w:type="page"/>
      </w:r>
    </w:p>
    <w:p>
      <w:pPr>
        <w:pStyle w:val="Heading1"/>
        <w:shd w:fill="085041" w:val="clear"/>
        <w:spacing w:before="360" w:after="0"/>
        <w:ind w:left="160" w:right="160"/>
      </w:pPr>
      <w:r>
        <w:rPr>
          <w:rFonts w:ascii="Arial" w:cs="Arial" w:eastAsia="Arial" w:hAnsi="Arial"/>
          <w:b/>
          <w:bCs/>
          <w:color w:val="FFFFFF"/>
          <w:sz w:val="34"/>
          <w:szCs w:val="34"/>
        </w:rPr>
        <w:t xml:space="preserve">2. Work Breakdown Structure (WBS)</w:t>
      </w:r>
    </w:p>
    <w:p>
      <w:pPr>
        <w:spacing w:before="0" w:after="120"/>
      </w:pPr>
      <w:r>
        <w:rPr>
          <w:sz w:val="22"/>
          <w:szCs w:val="22"/>
        </w:rPr>
        <w:t xml:space="preserve"/>
      </w:r>
    </w:p>
    <w:p>
      <w:pPr>
        <w:spacing w:before="80" w:after="100"/>
        <w:jc w:val="both"/>
      </w:pPr>
      <w:r>
        <w:rPr>
          <w:rFonts w:ascii="Arial" w:cs="Arial" w:eastAsia="Arial" w:hAnsi="Arial"/>
          <w:color w:val="2C2C2A"/>
          <w:sz w:val="22"/>
          <w:szCs w:val="22"/>
        </w:rPr>
        <w:t xml:space="preserve">The URITHI project is broken into 8 major work packages, each containing specific deliverables and tasks. Every task has a defined owner, estimated effort, and dependency chain.</w:t>
      </w:r>
    </w:p>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2.1 WP1 — Project Setup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400"/>
        <w:gridCol w:w="2360"/>
      </w:tblGrid>
      <w:tr>
        <w:tc>
          <w:tcPr>
            <w:tcW w:type="dxa" w:w="3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23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Register URITHI Technologies Ltd with URSB</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1</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Register with URA — obtain company TIN</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1</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Open Stanbic business bank account</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1</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Purchase domain urithi.io on Namecheap</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 hour</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1</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Set up AWS account and IAM roles</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4 hours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1</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Set up GitHub organisation (urithi-platform)</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hours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1</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Configure GitHub Actions CI/CD pipeline</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Set up AWS RDS PostgreSQL 16 instance</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4 hours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2</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Set up AWS S3 bucket for document storage</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hours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Set up Redis on AWS ElastiCache for Celery</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hours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2</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Configure environment variables and secrets manager</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4 hours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Apply for Africa's Talking Uganda API access</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hours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1</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2.2 WP2 — Backend API Development (Python +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400"/>
        <w:gridCol w:w="2360"/>
      </w:tblGrid>
      <w:tr>
        <w:tc>
          <w:tcPr>
            <w:tcW w:type="dxa" w:w="3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23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Set up FastAPI project structure and Uvicorn</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authentication service (JWT + MFA + bcrypt)</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3</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Implement multi-tenant middleware and RBAC</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3</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trust CRUD endpoints with Pydantic validation</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4</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beneficiary management endpoints</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1</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asset registry endpoints</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1</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document upload with SHA-256 hashing</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distribution engine with condition evaluator</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4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2-3</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multi-signature approval workflow</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3</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URA tax calculation engine</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4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4</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Implement audit log middleware (append-only)</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1</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Set up Celery workers and beat scheduler</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1</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Write Alembic database migrations</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Write pytest test suite (80%+ coverage)</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5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2-3</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API documentation review via Swagger /docs</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3</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2.3 WP3 — Database Design and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400"/>
        <w:gridCol w:w="2360"/>
      </w:tblGrid>
      <w:tr>
        <w:tc>
          <w:tcPr>
            <w:tcW w:type="dxa" w:w="3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23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Design and implement multi-tenant schema</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3</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Implement Row Level Security policies</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3</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Create all core tables (trusts, beneficiaries, etc.)</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4</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Create append-only audit log with delete rule</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1</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Create all performance indexes</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4 hours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1</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Seed database with test data for development</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2</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Configure automated daily backups on AWS RDS</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4 hours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Performance testing and query optimisation</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4</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2.4 WP4 — Frontend Web Application (React +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400"/>
        <w:gridCol w:w="2360"/>
      </w:tblGrid>
      <w:tr>
        <w:tc>
          <w:tcPr>
            <w:tcW w:type="dxa" w:w="3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23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Set up React + TypeScript + Vite project</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1</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Configure TailwindCSS with URITHI design tokens</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1</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API service layer (Axios + interceptors)</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authentication flows (login, MFA, logout)</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2</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main trustee dashboard screen</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3</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trust setup and configuration wizard</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3-4</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beneficiary management screen</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4</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asset registry screen</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1</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document vault screen with upload and preview</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1-2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distribution approval workflow screen</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2</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URA tax filing screen</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3</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audit trail and compliance screen</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3</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Implement Redux state management</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4</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Cross-browser testing and responsive design QA</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4, Week 1</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2.5 WP5 — Mobile Application (React Native + Expo)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400"/>
        <w:gridCol w:w="2360"/>
      </w:tblGrid>
      <w:tr>
        <w:tc>
          <w:tcPr>
            <w:tcW w:type="dxa" w:w="3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23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Set up React Native + Expo project</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beneficiary login and onboarding flow</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3</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beneficiary home screen (payments, balance)</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4</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payment history screen</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4, Week 1</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conditions and entitlements screen</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4, Week 1</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Implement offline data sync with SQLite/WatermelonDB</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4, Week 2</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Implement push notifications (Expo Notifications)</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4, Week 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Test on Android and iOS devices</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4, Week 3</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Submit to Google Play Store (Android)</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5, Week 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Submit to Apple App Store (iOS)</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5, Week 3</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2.6 WP6 —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400"/>
        <w:gridCol w:w="2360"/>
      </w:tblGrid>
      <w:tr>
        <w:tc>
          <w:tcPr>
            <w:tcW w:type="dxa" w:w="3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23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Africa's Talking SMS integration</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3</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Africa's Talking Mobile Money B2C payments</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1</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MTN and Airtel network prefix detection</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3, Week 1</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URA e-Tax API integration (TIN verification)</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5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5, Week 1-2</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URA tax return auto-submission endpoint</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5, Week 2-3</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URSB registration workflow integration</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4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5, Week 3-4</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Resend transactional email integration</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4</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AWS S3 encrypted document storage pipeline</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3</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Hyperledger Fabric blockchain node setup</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5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6, Week 1-2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Blockchain chaincode deployment and testing</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6, Week 2-3</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2.7 WP7 — Marketing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400"/>
        <w:gridCol w:w="2360"/>
      </w:tblGrid>
      <w:tr>
        <w:tc>
          <w:tcPr>
            <w:tcW w:type="dxa" w:w="3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23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Set up Next.js 14 + TailwindCSS project</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4 hours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3</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homepage with hero, features, pricing CTA</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3-4</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product features page</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 Week 4</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pricing page with tier comparison</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1</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about page with mission and founder story</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1</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blog with MDX and first 3 SEO articles</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4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2</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demo booking page with Cal.com embed</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Deploy to Vercel with custom domain urithi.io</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4 hours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2</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Set up Google Search Console and Analytics</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hours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3</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Create Uganda Family Trust Guide PDF lead magnet</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 Week 3-4</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2.8 WP8 — Testing, Security, and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400"/>
        <w:gridCol w:w="2360"/>
      </w:tblGrid>
      <w:tr>
        <w:tc>
          <w:tcPr>
            <w:tcW w:type="dxa" w:w="3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23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Full end-to-end integration testing</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5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4, Week 3-4</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Security penetration testing (OWASP Top 10)</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 + contract</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4, Week 4</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Load testing with Locust (simulate 500 users)</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5, Week 1</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UAT with 3 pilot law firms</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 + pilots</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4 weeks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4 full</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Bug fixes from UAT feedback</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 weeks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5, Week 1-2</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Configure AWS CloudWatch monitoring and alerts</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 day</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5, Week 3</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Set up error tracking with Sentry</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4 hours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5, Week 3</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Data Protection and Privacy Act compliance review</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 + legal</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 days</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5, Week 4</w:t>
            </w:r>
          </w:p>
        </w:tc>
      </w:tr>
      <w:tr>
        <w:tc>
          <w:tcPr>
            <w:tcW w:type="dxa" w:w="3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Prepare onboarding materials and video walkthroughs</w:t>
            </w:r>
          </w:p>
        </w:tc>
        <w:tc>
          <w:tcPr>
            <w:tcW w:type="dxa" w:w="1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 days</w:t>
            </w:r>
          </w:p>
        </w:tc>
        <w:tc>
          <w:tcPr>
            <w:tcW w:type="dxa" w:w="2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5, Week 4</w:t>
            </w:r>
          </w:p>
        </w:tc>
      </w:tr>
      <w:tr>
        <w:tc>
          <w:tcPr>
            <w:tcW w:type="dxa" w:w="3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Paid launch — convert pilots to paying clients</w:t>
            </w:r>
          </w:p>
        </w:tc>
        <w:tc>
          <w:tcPr>
            <w:tcW w:type="dxa" w:w="1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 week</w:t>
            </w:r>
          </w:p>
        </w:tc>
        <w:tc>
          <w:tcPr>
            <w:tcW w:type="dxa" w:w="2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6, Week 4</w:t>
            </w:r>
          </w:p>
        </w:tc>
      </w:tr>
    </w:tbl>
    <w:p>
      <w:r>
        <w:br w:type="page"/>
      </w:r>
    </w:p>
    <w:p>
      <w:pPr>
        <w:pStyle w:val="Heading1"/>
        <w:shd w:fill="085041" w:val="clear"/>
        <w:spacing w:before="360" w:after="0"/>
        <w:ind w:left="160" w:right="160"/>
      </w:pPr>
      <w:r>
        <w:rPr>
          <w:rFonts w:ascii="Arial" w:cs="Arial" w:eastAsia="Arial" w:hAnsi="Arial"/>
          <w:b/>
          <w:bCs/>
          <w:color w:val="FFFFFF"/>
          <w:sz w:val="34"/>
          <w:szCs w:val="34"/>
        </w:rPr>
        <w:t xml:space="preserve">3. Project Schedule — 12-Month Timeline</w:t>
      </w:r>
    </w:p>
    <w:p>
      <w:pPr>
        <w:spacing w:before="0" w:after="120"/>
      </w:pPr>
      <w:r>
        <w:rPr>
          <w:sz w:val="22"/>
          <w:szCs w:val="22"/>
        </w:rPr>
        <w:t xml:space="preserve"/>
      </w:r>
    </w:p>
    <w:p>
      <w:pPr>
        <w:spacing w:before="80" w:after="100"/>
        <w:jc w:val="both"/>
      </w:pPr>
      <w:r>
        <w:rPr>
          <w:rFonts w:ascii="Arial" w:cs="Arial" w:eastAsia="Arial" w:hAnsi="Arial"/>
          <w:color w:val="2C2C2A"/>
          <w:sz w:val="22"/>
          <w:szCs w:val="22"/>
        </w:rPr>
        <w:t xml:space="preserve">The URITHI project runs across 12 months from April 2026. The first 6 months focus on building and testing. Month 7 is the paid launch. Months 8–12 focus on growth, scaling, and feature expansion.</w:t>
      </w:r>
    </w:p>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3.1 Phase 1 — Build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40"/>
              <w:bottom w:type="dxa" w:w="160"/>
              <w:right w:type="dxa" w:w="240"/>
            </w:tcMar>
          </w:tcPr>
          <w:p>
            <w:pPr>
              <w:spacing w:after="80"/>
            </w:pPr>
            <w:r>
              <w:rPr>
                <w:rFonts w:ascii="Arial" w:cs="Arial" w:eastAsia="Arial" w:hAnsi="Arial"/>
                <w:b/>
                <w:bCs/>
                <w:color w:val="085041"/>
                <w:sz w:val="22"/>
                <w:szCs w:val="22"/>
              </w:rPr>
              <w:t xml:space="preserve">Phase 1 Goal</w:t>
            </w:r>
          </w:p>
          <w:p>
            <w:pPr>
              <w:jc w:val="both"/>
            </w:pPr>
            <w:r>
              <w:rPr>
                <w:rFonts w:ascii="Arial" w:cs="Arial" w:eastAsia="Arial" w:hAnsi="Arial"/>
                <w:color w:val="085041"/>
                <w:sz w:val="21"/>
                <w:szCs w:val="21"/>
              </w:rPr>
              <w:t xml:space="preserve">Complete the core backend API, database, and basic frontend. Register the company. Apply for all required API credentials. Have a working internal demo by end of Month 3.</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2000"/>
        <w:gridCol w:w="2000"/>
      </w:tblGrid>
      <w:tr>
        <w:tc>
          <w:tcPr>
            <w:tcW w:type="dxa" w:w="1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w:t>
            </w:r>
          </w:p>
        </w:tc>
        <w:tc>
          <w:tcPr>
            <w:tcW w:type="dxa" w:w="39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Key Deliverables</w:t>
            </w:r>
          </w:p>
        </w:tc>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Success Metric</w:t>
            </w:r>
          </w:p>
        </w:tc>
      </w:tr>
      <w:tr>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bCs/>
                <w:color w:val="085041"/>
                <w:sz w:val="20"/>
                <w:szCs w:val="20"/>
              </w:rPr>
              <w:t xml:space="preserve">Month 1</w:t>
            </w:r>
          </w:p>
        </w:tc>
        <w:tc>
          <w:tcPr>
            <w:tcW w:type="dxa" w:w="39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Company registered. AWS infrastructure live. FastAPI skeleton. Database schema complete. Marketing website launched.</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Infrastructure ready</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urithi.io live. AWS running.</w:t>
            </w:r>
          </w:p>
        </w:tc>
      </w:tr>
      <w:tr>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bCs/>
                <w:color w:val="085041"/>
                <w:sz w:val="20"/>
                <w:szCs w:val="20"/>
              </w:rPr>
              <w:t xml:space="preserve">Month 2</w:t>
            </w:r>
          </w:p>
        </w:tc>
        <w:tc>
          <w:tcPr>
            <w:tcW w:type="dxa" w:w="39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Backend API 60% complete. Auth, trust, beneficiary, and asset endpoints done. Mobile Money SMS live. React frontend started.</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API functional</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All core endpoints tested via Swagger.</w:t>
            </w:r>
          </w:p>
        </w:tc>
      </w:tr>
      <w:tr>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bCs/>
                <w:color w:val="085041"/>
                <w:sz w:val="20"/>
                <w:szCs w:val="20"/>
              </w:rPr>
              <w:t xml:space="preserve">Month 3</w:t>
            </w:r>
          </w:p>
        </w:tc>
        <w:tc>
          <w:tcPr>
            <w:tcW w:type="dxa" w:w="39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Full backend API complete. Distribution engine live. All frontend screens built. Internal demo ready. First pilot law firm approached.</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Internal demo</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Full demo walkthrough completed internally.</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3.2 Phase 2 — Pilot (Months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60"/>
              <w:left w:type="dxa" w:w="240"/>
              <w:bottom w:type="dxa" w:w="160"/>
              <w:right w:type="dxa" w:w="240"/>
            </w:tcMar>
          </w:tcPr>
          <w:p>
            <w:pPr>
              <w:spacing w:after="80"/>
            </w:pPr>
            <w:r>
              <w:rPr>
                <w:rFonts w:ascii="Arial" w:cs="Arial" w:eastAsia="Arial" w:hAnsi="Arial"/>
                <w:b/>
                <w:bCs/>
                <w:color w:val="633806"/>
                <w:sz w:val="22"/>
                <w:szCs w:val="22"/>
              </w:rPr>
              <w:t xml:space="preserve">Phase 2 Goal</w:t>
            </w:r>
          </w:p>
          <w:p>
            <w:pPr>
              <w:jc w:val="both"/>
            </w:pPr>
            <w:r>
              <w:rPr>
                <w:rFonts w:ascii="Arial" w:cs="Arial" w:eastAsia="Arial" w:hAnsi="Arial"/>
                <w:color w:val="633806"/>
                <w:sz w:val="21"/>
                <w:szCs w:val="21"/>
              </w:rPr>
              <w:t xml:space="preserve">Onboard 3 pilot law firms for free. Conduct user acceptance testing. Fix all critical bugs. Complete mobile app. Prepare for paid launch.</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2000"/>
        <w:gridCol w:w="2000"/>
      </w:tblGrid>
      <w:tr>
        <w:tc>
          <w:tcPr>
            <w:tcW w:type="dxa" w:w="1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w:t>
            </w:r>
          </w:p>
        </w:tc>
        <w:tc>
          <w:tcPr>
            <w:tcW w:type="dxa" w:w="39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Key Deliverables</w:t>
            </w:r>
          </w:p>
        </w:tc>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Success Metric</w:t>
            </w:r>
          </w:p>
        </w:tc>
      </w:tr>
      <w:tr>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bCs/>
                <w:color w:val="085041"/>
                <w:sz w:val="20"/>
                <w:szCs w:val="20"/>
              </w:rPr>
              <w:t xml:space="preserve">Month 4</w:t>
            </w:r>
          </w:p>
        </w:tc>
        <w:tc>
          <w:tcPr>
            <w:tcW w:type="dxa" w:w="39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 pilot law firms onboarded. UAT begins. Mobile app iOS and Android builds complete. Security testing done.</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Pilots live</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 firms actively using platform.</w:t>
            </w:r>
          </w:p>
        </w:tc>
      </w:tr>
      <w:tr>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bCs/>
                <w:color w:val="085041"/>
                <w:sz w:val="20"/>
                <w:szCs w:val="20"/>
              </w:rPr>
              <w:t xml:space="preserve">Month 5</w:t>
            </w:r>
          </w:p>
        </w:tc>
        <w:tc>
          <w:tcPr>
            <w:tcW w:type="dxa" w:w="39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UAT feedback collected and bugs fixed. URA API integration live. Mobile apps submitted to stores. Onboarding materials ready.</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Launch ready</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Zero critical bugs. Apps approved.</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3.3 Phase 3 — Launch (Month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40"/>
              <w:bottom w:type="dxa" w:w="160"/>
              <w:right w:type="dxa" w:w="240"/>
            </w:tcMar>
          </w:tcPr>
          <w:p>
            <w:pPr>
              <w:spacing w:after="80"/>
            </w:pPr>
            <w:r>
              <w:rPr>
                <w:rFonts w:ascii="Arial" w:cs="Arial" w:eastAsia="Arial" w:hAnsi="Arial"/>
                <w:b/>
                <w:bCs/>
                <w:color w:val="085041"/>
                <w:sz w:val="22"/>
                <w:szCs w:val="22"/>
              </w:rPr>
              <w:t xml:space="preserve">Phase 3 Goal</w:t>
            </w:r>
          </w:p>
          <w:p>
            <w:pPr>
              <w:jc w:val="both"/>
            </w:pPr>
            <w:r>
              <w:rPr>
                <w:rFonts w:ascii="Arial" w:cs="Arial" w:eastAsia="Arial" w:hAnsi="Arial"/>
                <w:color w:val="085041"/>
                <w:sz w:val="21"/>
                <w:szCs w:val="21"/>
              </w:rPr>
              <w:t xml:space="preserve">Convert 3 pilot firms to paid subscribers. Launch publicly. Present at Uganda Law Society. First paying revenue received. Break-even achieved by Month 7.</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2000"/>
        <w:gridCol w:w="2000"/>
      </w:tblGrid>
      <w:tr>
        <w:tc>
          <w:tcPr>
            <w:tcW w:type="dxa" w:w="1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w:t>
            </w:r>
          </w:p>
        </w:tc>
        <w:tc>
          <w:tcPr>
            <w:tcW w:type="dxa" w:w="39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Key Deliverables</w:t>
            </w:r>
          </w:p>
        </w:tc>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Success Metric</w:t>
            </w:r>
          </w:p>
        </w:tc>
      </w:tr>
      <w:tr>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bCs/>
                <w:color w:val="085041"/>
                <w:sz w:val="20"/>
                <w:szCs w:val="20"/>
              </w:rPr>
              <w:t xml:space="preserve">Month 6</w:t>
            </w:r>
          </w:p>
        </w:tc>
        <w:tc>
          <w:tcPr>
            <w:tcW w:type="dxa" w:w="39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Blockchain audit trail deployed. All integrations live. Full platform production-ready. Public launch event. Pilot firms converted to paid.</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Public launch</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 paying clients. First UGX 4.5M MRR.</w:t>
            </w:r>
          </w:p>
        </w:tc>
      </w:tr>
      <w:tr>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bCs/>
                <w:color w:val="085041"/>
                <w:sz w:val="20"/>
                <w:szCs w:val="20"/>
              </w:rPr>
              <w:t xml:space="preserve">Month 7</w:t>
            </w:r>
          </w:p>
        </w:tc>
        <w:tc>
          <w:tcPr>
            <w:tcW w:type="dxa" w:w="39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Referral programme launched. Uganda Law Society Conference presentation. Cold outreach to 50 law firms. New client onboardings.</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Break-even</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Revenue covers monthly costs.</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3.4 Phase 4 — Growth (Months 8–12)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60"/>
              <w:left w:type="dxa" w:w="240"/>
              <w:bottom w:type="dxa" w:w="160"/>
              <w:right w:type="dxa" w:w="240"/>
            </w:tcMar>
          </w:tcPr>
          <w:p>
            <w:pPr>
              <w:spacing w:after="80"/>
            </w:pPr>
            <w:r>
              <w:rPr>
                <w:rFonts w:ascii="Arial" w:cs="Arial" w:eastAsia="Arial" w:hAnsi="Arial"/>
                <w:b/>
                <w:bCs/>
                <w:color w:val="0C447C"/>
                <w:sz w:val="22"/>
                <w:szCs w:val="22"/>
              </w:rPr>
              <w:t xml:space="preserve">Phase 4 Goal</w:t>
            </w:r>
          </w:p>
          <w:p>
            <w:pPr>
              <w:jc w:val="both"/>
            </w:pPr>
            <w:r>
              <w:rPr>
                <w:rFonts w:ascii="Arial" w:cs="Arial" w:eastAsia="Arial" w:hAnsi="Arial"/>
                <w:color w:val="0C447C"/>
                <w:sz w:val="21"/>
                <w:szCs w:val="21"/>
              </w:rPr>
              <w:t xml:space="preserve">Scale to 10 paying clients. Hire second developer. Complete URA and URSB full API integration. Approach Stanbic Bank Enterprise contract. Begin Kenya market research.</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2000"/>
        <w:gridCol w:w="2000"/>
      </w:tblGrid>
      <w:tr>
        <w:tc>
          <w:tcPr>
            <w:tcW w:type="dxa" w:w="1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w:t>
            </w:r>
          </w:p>
        </w:tc>
        <w:tc>
          <w:tcPr>
            <w:tcW w:type="dxa" w:w="39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Key Deliverables</w:t>
            </w:r>
          </w:p>
        </w:tc>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Success Metric</w:t>
            </w:r>
          </w:p>
        </w:tc>
      </w:tr>
      <w:tr>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bCs/>
                <w:color w:val="085041"/>
                <w:sz w:val="20"/>
                <w:szCs w:val="20"/>
              </w:rPr>
              <w:t xml:space="preserve">Month 8</w:t>
            </w:r>
          </w:p>
        </w:tc>
        <w:tc>
          <w:tcPr>
            <w:tcW w:type="dxa" w:w="39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Hire second developer. Smart contract distributions live. 6 paying clients. First Enterprise conversation with Stanbic Bank.</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Team grows</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6 clients. UGX 8M MRR.</w:t>
            </w:r>
          </w:p>
        </w:tc>
      </w:tr>
      <w:tr>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bCs/>
                <w:color w:val="085041"/>
                <w:sz w:val="20"/>
                <w:szCs w:val="20"/>
              </w:rPr>
              <w:t xml:space="preserve">Month 9</w:t>
            </w:r>
          </w:p>
        </w:tc>
        <w:tc>
          <w:tcPr>
            <w:tcW w:type="dxa" w:w="39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URSB registration workflow fully automated. 8 paying clients. Seed funding round closes. URITHI Academy content started.</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Seed closed</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8 clients. Funding secured.</w:t>
            </w:r>
          </w:p>
        </w:tc>
      </w:tr>
      <w:tr>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bCs/>
                <w:color w:val="085041"/>
                <w:sz w:val="20"/>
                <w:szCs w:val="20"/>
              </w:rPr>
              <w:t xml:space="preserve">Month 10</w:t>
            </w:r>
          </w:p>
        </w:tc>
        <w:tc>
          <w:tcPr>
            <w:tcW w:type="dxa" w:w="39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First Enterprise bank pilot (Stanbic or DFCU). 9 paying clients. Kenya market research report completed.</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Enterprise pilot</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9 clients. Bank pilot signed.</w:t>
            </w:r>
          </w:p>
        </w:tc>
      </w:tr>
      <w:tr>
        <w:tc>
          <w:tcPr>
            <w:tcW w:type="dxa" w:w="1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bCs/>
                <w:color w:val="085041"/>
                <w:sz w:val="20"/>
                <w:szCs w:val="20"/>
              </w:rPr>
              <w:t xml:space="preserve">Month 11</w:t>
            </w:r>
          </w:p>
        </w:tc>
        <w:tc>
          <w:tcPr>
            <w:tcW w:type="dxa" w:w="39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10 paying clients reached. Kenya product localisation begins. Series A preparation. URITHI Academy launches.</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10 clients</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14.7M MRR achieved.</w:t>
            </w:r>
          </w:p>
        </w:tc>
      </w:tr>
      <w:tr>
        <w:tc>
          <w:tcPr>
            <w:tcW w:type="dxa" w:w="1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bCs/>
                <w:color w:val="085041"/>
                <w:sz w:val="20"/>
                <w:szCs w:val="20"/>
              </w:rPr>
              <w:t xml:space="preserve">Month 12</w:t>
            </w:r>
          </w:p>
        </w:tc>
        <w:tc>
          <w:tcPr>
            <w:tcW w:type="dxa" w:w="39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Year 1 review and report. Kenya beta launch planning. Year 2 roadmap finalised. Investor update prepared.</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Year 1 complete</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176M ARR. Platform stable.</w:t>
            </w:r>
          </w:p>
        </w:tc>
      </w:tr>
    </w:tbl>
    <w:p>
      <w:r>
        <w:br w:type="page"/>
      </w:r>
    </w:p>
    <w:p>
      <w:pPr>
        <w:pStyle w:val="Heading1"/>
        <w:shd w:fill="085041" w:val="clear"/>
        <w:spacing w:before="360" w:after="0"/>
        <w:ind w:left="160" w:right="160"/>
      </w:pPr>
      <w:r>
        <w:rPr>
          <w:rFonts w:ascii="Arial" w:cs="Arial" w:eastAsia="Arial" w:hAnsi="Arial"/>
          <w:b/>
          <w:bCs/>
          <w:color w:val="FFFFFF"/>
          <w:sz w:val="34"/>
          <w:szCs w:val="34"/>
        </w:rPr>
        <w:t xml:space="preserve">4. Resource Plan</w:t>
      </w:r>
    </w:p>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4.1 Human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16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Start</w:t>
            </w:r>
          </w:p>
        </w:tc>
        <w:tc>
          <w:tcPr>
            <w:tcW w:type="dxa" w:w="33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Responsibilities</w:t>
            </w:r>
          </w:p>
        </w:tc>
      </w:tr>
      <w:tr>
        <w:tc>
          <w:tcPr>
            <w:tcW w:type="dxa" w:w="2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Founder / Lead Developer</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16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w:t>
            </w:r>
          </w:p>
        </w:tc>
        <w:tc>
          <w:tcPr>
            <w:tcW w:type="dxa" w:w="3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Full-stack development, product, business development, sales</w:t>
            </w:r>
          </w:p>
        </w:tc>
      </w:tr>
      <w:tr>
        <w:tc>
          <w:tcPr>
            <w:tcW w:type="dxa" w:w="2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Legal Advisor</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To recruit</w:t>
            </w:r>
          </w:p>
        </w:tc>
        <w:tc>
          <w:tcPr>
            <w:tcW w:type="dxa" w:w="16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1</w:t>
            </w:r>
          </w:p>
        </w:tc>
        <w:tc>
          <w:tcPr>
            <w:tcW w:type="dxa" w:w="3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Trust law accuracy, URSB relationships, law firm partnerships</w:t>
            </w:r>
          </w:p>
        </w:tc>
      </w:tr>
      <w:tr>
        <w:tc>
          <w:tcPr>
            <w:tcW w:type="dxa" w:w="2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Finance Advisor</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To recruit</w:t>
            </w:r>
          </w:p>
        </w:tc>
        <w:tc>
          <w:tcPr>
            <w:tcW w:type="dxa" w:w="16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2</w:t>
            </w:r>
          </w:p>
        </w:tc>
        <w:tc>
          <w:tcPr>
            <w:tcW w:type="dxa" w:w="3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URA tax engine review, financial modelling, CPA oversight</w:t>
            </w:r>
          </w:p>
        </w:tc>
      </w:tr>
      <w:tr>
        <w:tc>
          <w:tcPr>
            <w:tcW w:type="dxa" w:w="2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Second Developer</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To hire</w:t>
            </w:r>
          </w:p>
        </w:tc>
        <w:tc>
          <w:tcPr>
            <w:tcW w:type="dxa" w:w="16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8</w:t>
            </w:r>
          </w:p>
        </w:tc>
        <w:tc>
          <w:tcPr>
            <w:tcW w:type="dxa" w:w="3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Mobile app, Kenya localisation, feature development</w:t>
            </w:r>
          </w:p>
        </w:tc>
      </w:tr>
      <w:tr>
        <w:tc>
          <w:tcPr>
            <w:tcW w:type="dxa" w:w="2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Sales Executive</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To hire</w:t>
            </w:r>
          </w:p>
        </w:tc>
        <w:tc>
          <w:tcPr>
            <w:tcW w:type="dxa" w:w="16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9</w:t>
            </w:r>
          </w:p>
        </w:tc>
        <w:tc>
          <w:tcPr>
            <w:tcW w:type="dxa" w:w="3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Law firm outreach, demo calls, contract negotiations</w:t>
            </w:r>
          </w:p>
        </w:tc>
      </w:tr>
      <w:tr>
        <w:tc>
          <w:tcPr>
            <w:tcW w:type="dxa" w:w="2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Security Tester (contract)</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Freelance</w:t>
            </w:r>
          </w:p>
        </w:tc>
        <w:tc>
          <w:tcPr>
            <w:tcW w:type="dxa" w:w="16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 4</w:t>
            </w:r>
          </w:p>
        </w:tc>
        <w:tc>
          <w:tcPr>
            <w:tcW w:type="dxa" w:w="3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Penetration testing, OWASP audit, vulnerability report</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4.2 Technology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Cost / Month</w:t>
            </w:r>
          </w:p>
        </w:tc>
        <w:tc>
          <w:tcPr>
            <w:tcW w:type="dxa" w:w="45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AWS EC2 (t3.medium)</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145,000</w:t>
            </w:r>
          </w:p>
        </w:tc>
        <w:tc>
          <w:tcPr>
            <w:tcW w:type="dxa" w:w="45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FastAPI backend application server</w:t>
            </w:r>
          </w:p>
        </w:tc>
      </w:tr>
      <w:tr>
        <w:tc>
          <w:tcPr>
            <w:tcW w:type="dxa" w:w="2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AWS RDS PostgreSQL (db.t3.small)</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210,000</w:t>
            </w:r>
          </w:p>
        </w:tc>
        <w:tc>
          <w:tcPr>
            <w:tcW w:type="dxa" w:w="45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Primary database with automated backups</w:t>
            </w:r>
          </w:p>
        </w:tc>
      </w:tr>
      <w:tr>
        <w:tc>
          <w:tcPr>
            <w:tcW w:type="dxa" w:w="2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AWS S3 (document storage)</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40,000</w:t>
            </w:r>
          </w:p>
        </w:tc>
        <w:tc>
          <w:tcPr>
            <w:tcW w:type="dxa" w:w="45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Encrypted trust document storage</w:t>
            </w:r>
          </w:p>
        </w:tc>
      </w:tr>
      <w:tr>
        <w:tc>
          <w:tcPr>
            <w:tcW w:type="dxa" w:w="2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AWS ElastiCache Redis</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80,000</w:t>
            </w:r>
          </w:p>
        </w:tc>
        <w:tc>
          <w:tcPr>
            <w:tcW w:type="dxa" w:w="45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Celery task queue and session cache</w:t>
            </w:r>
          </w:p>
        </w:tc>
      </w:tr>
      <w:tr>
        <w:tc>
          <w:tcPr>
            <w:tcW w:type="dxa" w:w="2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Vercel (marketing website)</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Free</w:t>
            </w:r>
          </w:p>
        </w:tc>
        <w:tc>
          <w:tcPr>
            <w:tcW w:type="dxa" w:w="45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Next.js marketing site hosting with CDN</w:t>
            </w:r>
          </w:p>
        </w:tc>
      </w:tr>
      <w:tr>
        <w:tc>
          <w:tcPr>
            <w:tcW w:type="dxa" w:w="2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Africa's Talking SMS + MoMo</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Pay per use</w:t>
            </w:r>
          </w:p>
        </w:tc>
        <w:tc>
          <w:tcPr>
            <w:tcW w:type="dxa" w:w="45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SMS notifications and Mobile Money distributions</w:t>
            </w:r>
          </w:p>
        </w:tc>
      </w:tr>
      <w:tr>
        <w:tc>
          <w:tcPr>
            <w:tcW w:type="dxa" w:w="2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GitHub (Team plan)</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15,000</w:t>
            </w:r>
          </w:p>
        </w:tc>
        <w:tc>
          <w:tcPr>
            <w:tcW w:type="dxa" w:w="45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Code repository and CI/CD pipeline</w:t>
            </w:r>
          </w:p>
        </w:tc>
      </w:tr>
      <w:tr>
        <w:tc>
          <w:tcPr>
            <w:tcW w:type="dxa" w:w="2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Sentry (error monitoring)</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Free tier</w:t>
            </w:r>
          </w:p>
        </w:tc>
        <w:tc>
          <w:tcPr>
            <w:tcW w:type="dxa" w:w="45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Real-time error tracking and alerts</w:t>
            </w:r>
          </w:p>
        </w:tc>
      </w:tr>
      <w:tr>
        <w:tc>
          <w:tcPr>
            <w:tcW w:type="dxa" w:w="28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Resend (email)</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Free (3K/month)</w:t>
            </w:r>
          </w:p>
        </w:tc>
        <w:tc>
          <w:tcPr>
            <w:tcW w:type="dxa" w:w="45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Transactional emails to trustees and beneficiaries</w:t>
            </w:r>
          </w:p>
        </w:tc>
      </w:tr>
      <w:tr>
        <w:tc>
          <w:tcPr>
            <w:tcW w:type="dxa" w:w="28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Domain urithi.io</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46,000/year</w:t>
            </w:r>
          </w:p>
        </w:tc>
        <w:tc>
          <w:tcPr>
            <w:tcW w:type="dxa" w:w="45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Primary brand domain</w:t>
            </w:r>
          </w:p>
        </w:tc>
      </w:tr>
      <w:tr>
        <w:tc>
          <w:tcPr>
            <w:tcW w:type="dxa" w:w="2800"/>
            <w:tcBorders>
              <w:top w:val="single" w:color="D3D1C7" w:sz="1"/>
              <w:left w:val="single" w:color="D3D1C7" w:sz="1"/>
              <w:bottom w:val="single" w:color="D3D1C7" w:sz="1"/>
              <w:right w:val="single" w:color="D3D1C7" w:sz="1"/>
            </w:tcBorders>
            <w:shd w:fill="E1F5EE" w:val="clear"/>
            <w:tcMar>
              <w:top w:type="dxa" w:w="90"/>
              <w:left w:type="dxa" w:w="120"/>
              <w:bottom w:type="dxa" w:w="90"/>
              <w:right w:type="dxa" w:w="120"/>
            </w:tcMar>
          </w:tcPr>
          <w:p>
            <w:r>
              <w:rPr>
                <w:rFonts w:ascii="Arial" w:cs="Arial" w:eastAsia="Arial" w:hAnsi="Arial"/>
                <w:b/>
                <w:bCs/>
                <w:color w:val="2C2C2A"/>
                <w:sz w:val="20"/>
                <w:szCs w:val="20"/>
              </w:rPr>
              <w:t xml:space="preserve">Total infrastructure / month</w:t>
            </w:r>
          </w:p>
        </w:tc>
        <w:tc>
          <w:tcPr>
            <w:tcW w:type="dxa" w:w="2000"/>
            <w:tcBorders>
              <w:top w:val="single" w:color="D3D1C7" w:sz="1"/>
              <w:left w:val="single" w:color="D3D1C7" w:sz="1"/>
              <w:bottom w:val="single" w:color="D3D1C7" w:sz="1"/>
              <w:right w:val="single" w:color="D3D1C7" w:sz="1"/>
            </w:tcBorders>
            <w:shd w:fill="E1F5EE" w:val="clear"/>
            <w:tcMar>
              <w:top w:type="dxa" w:w="90"/>
              <w:left w:type="dxa" w:w="120"/>
              <w:bottom w:type="dxa" w:w="90"/>
              <w:right w:type="dxa" w:w="120"/>
            </w:tcMar>
          </w:tcPr>
          <w:p>
            <w:r>
              <w:rPr>
                <w:rFonts w:ascii="Arial" w:cs="Arial" w:eastAsia="Arial" w:hAnsi="Arial"/>
                <w:b/>
                <w:bCs/>
                <w:color w:val="085041"/>
                <w:sz w:val="20"/>
                <w:szCs w:val="20"/>
              </w:rPr>
              <w:t xml:space="preserve">~UGX 490,000</w:t>
            </w:r>
          </w:p>
        </w:tc>
        <w:tc>
          <w:tcPr>
            <w:tcW w:type="dxa" w:w="4560"/>
            <w:tcBorders>
              <w:top w:val="single" w:color="D3D1C7" w:sz="1"/>
              <w:left w:val="single" w:color="D3D1C7" w:sz="1"/>
              <w:bottom w:val="single" w:color="D3D1C7" w:sz="1"/>
              <w:right w:val="single" w:color="D3D1C7" w:sz="1"/>
            </w:tcBorders>
            <w:shd w:fill="E1F5EE" w:val="clear"/>
            <w:tcMar>
              <w:top w:type="dxa" w:w="90"/>
              <w:left w:type="dxa" w:w="120"/>
              <w:bottom w:type="dxa" w:w="90"/>
              <w:right w:type="dxa" w:w="120"/>
            </w:tcMar>
          </w:tcPr>
          <w:p>
            <w:r>
              <w:rPr>
                <w:rFonts w:ascii="Arial" w:cs="Arial" w:eastAsia="Arial" w:hAnsi="Arial"/>
                <w:b w:val="false"/>
                <w:bCs w:val="false"/>
                <w:color w:val="2C2C2A"/>
                <w:sz w:val="20"/>
                <w:szCs w:val="20"/>
              </w:rPr>
              <w:t xml:space="preserve">Scales with usage — estimate for first 6 months</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4.3 Budget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500"/>
        <w:gridCol w:w="2160"/>
      </w:tblGrid>
      <w:tr>
        <w:tc>
          <w:tcPr>
            <w:tcW w:type="dxa" w:w="35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Budget Line</w:t>
            </w:r>
          </w:p>
        </w:tc>
        <w:tc>
          <w:tcPr>
            <w:tcW w:type="dxa" w:w="22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Amount (UGX)</w:t>
            </w:r>
          </w:p>
        </w:tc>
        <w:tc>
          <w:tcPr>
            <w:tcW w:type="dxa" w:w="15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 of Seed</w:t>
            </w:r>
          </w:p>
        </w:tc>
        <w:tc>
          <w:tcPr>
            <w:tcW w:type="dxa" w:w="21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Period</w:t>
            </w:r>
          </w:p>
        </w:tc>
      </w:tr>
      <w:tr>
        <w:tc>
          <w:tcPr>
            <w:tcW w:type="dxa" w:w="3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Engineering — Primo salary (12 months)</w:t>
            </w:r>
          </w:p>
        </w:tc>
        <w:tc>
          <w:tcPr>
            <w:tcW w:type="dxa" w:w="22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200,000,000</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40%</w:t>
            </w:r>
          </w:p>
        </w:tc>
        <w:tc>
          <w:tcPr>
            <w:tcW w:type="dxa" w:w="21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Months 1–12</w:t>
            </w:r>
          </w:p>
        </w:tc>
      </w:tr>
      <w:tr>
        <w:tc>
          <w:tcPr>
            <w:tcW w:type="dxa" w:w="3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Legal setup and advisor fees</w:t>
            </w:r>
          </w:p>
        </w:tc>
        <w:tc>
          <w:tcPr>
            <w:tcW w:type="dxa" w:w="22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75,000,000</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15%</w:t>
            </w:r>
          </w:p>
        </w:tc>
        <w:tc>
          <w:tcPr>
            <w:tcW w:type="dxa" w:w="21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Months 1–6</w:t>
            </w:r>
          </w:p>
        </w:tc>
      </w:tr>
      <w:tr>
        <w:tc>
          <w:tcPr>
            <w:tcW w:type="dxa" w:w="3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Sales and marketing</w:t>
            </w:r>
          </w:p>
        </w:tc>
        <w:tc>
          <w:tcPr>
            <w:tcW w:type="dxa" w:w="22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75,000,000</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15%</w:t>
            </w:r>
          </w:p>
        </w:tc>
        <w:tc>
          <w:tcPr>
            <w:tcW w:type="dxa" w:w="21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Months 4–12</w:t>
            </w:r>
          </w:p>
        </w:tc>
      </w:tr>
      <w:tr>
        <w:tc>
          <w:tcPr>
            <w:tcW w:type="dxa" w:w="3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Cloud infrastructure (AWS)</w:t>
            </w:r>
          </w:p>
        </w:tc>
        <w:tc>
          <w:tcPr>
            <w:tcW w:type="dxa" w:w="22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60,000,000</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12%</w:t>
            </w:r>
          </w:p>
        </w:tc>
        <w:tc>
          <w:tcPr>
            <w:tcW w:type="dxa" w:w="21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Months 1–12</w:t>
            </w:r>
          </w:p>
        </w:tc>
      </w:tr>
      <w:tr>
        <w:tc>
          <w:tcPr>
            <w:tcW w:type="dxa" w:w="3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Operations and administration</w:t>
            </w:r>
          </w:p>
        </w:tc>
        <w:tc>
          <w:tcPr>
            <w:tcW w:type="dxa" w:w="22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50,000,000</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10%</w:t>
            </w:r>
          </w:p>
        </w:tc>
        <w:tc>
          <w:tcPr>
            <w:tcW w:type="dxa" w:w="21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Months 1–12</w:t>
            </w:r>
          </w:p>
        </w:tc>
      </w:tr>
      <w:tr>
        <w:tc>
          <w:tcPr>
            <w:tcW w:type="dxa" w:w="3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Reserve and contingency</w:t>
            </w:r>
          </w:p>
        </w:tc>
        <w:tc>
          <w:tcPr>
            <w:tcW w:type="dxa" w:w="22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40,000,000</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8%</w:t>
            </w:r>
          </w:p>
        </w:tc>
        <w:tc>
          <w:tcPr>
            <w:tcW w:type="dxa" w:w="21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As needed</w:t>
            </w:r>
          </w:p>
        </w:tc>
      </w:tr>
      <w:tr>
        <w:tc>
          <w:tcPr>
            <w:tcW w:type="dxa" w:w="3500"/>
            <w:tcBorders>
              <w:top w:val="single" w:color="D3D1C7" w:sz="1"/>
              <w:left w:val="single" w:color="D3D1C7" w:sz="1"/>
              <w:bottom w:val="single" w:color="D3D1C7" w:sz="1"/>
              <w:right w:val="single" w:color="D3D1C7" w:sz="1"/>
            </w:tcBorders>
            <w:shd w:fill="E1F5EE" w:val="clear"/>
            <w:tcMar>
              <w:top w:type="dxa" w:w="90"/>
              <w:left w:type="dxa" w:w="120"/>
              <w:bottom w:type="dxa" w:w="90"/>
              <w:right w:type="dxa" w:w="120"/>
            </w:tcMar>
          </w:tcPr>
          <w:p>
            <w:r>
              <w:rPr>
                <w:rFonts w:ascii="Arial" w:cs="Arial" w:eastAsia="Arial" w:hAnsi="Arial"/>
                <w:b/>
                <w:bCs/>
                <w:color w:val="2C2C2A"/>
                <w:sz w:val="20"/>
                <w:szCs w:val="20"/>
              </w:rPr>
              <w:t xml:space="preserve">TOTAL SEED BUDGET</w:t>
            </w:r>
          </w:p>
        </w:tc>
        <w:tc>
          <w:tcPr>
            <w:tcW w:type="dxa" w:w="2200"/>
            <w:tcBorders>
              <w:top w:val="single" w:color="D3D1C7" w:sz="1"/>
              <w:left w:val="single" w:color="D3D1C7" w:sz="1"/>
              <w:bottom w:val="single" w:color="D3D1C7" w:sz="1"/>
              <w:right w:val="single" w:color="D3D1C7" w:sz="1"/>
            </w:tcBorders>
            <w:shd w:fill="E1F5EE" w:val="clear"/>
            <w:tcMar>
              <w:top w:type="dxa" w:w="90"/>
              <w:left w:type="dxa" w:w="120"/>
              <w:bottom w:type="dxa" w:w="90"/>
              <w:right w:type="dxa" w:w="120"/>
            </w:tcMar>
          </w:tcPr>
          <w:p>
            <w:r>
              <w:rPr>
                <w:rFonts w:ascii="Arial" w:cs="Arial" w:eastAsia="Arial" w:hAnsi="Arial"/>
                <w:b/>
                <w:bCs/>
                <w:color w:val="085041"/>
                <w:sz w:val="20"/>
                <w:szCs w:val="20"/>
              </w:rPr>
              <w:t xml:space="preserve">500,000,000</w:t>
            </w:r>
          </w:p>
        </w:tc>
        <w:tc>
          <w:tcPr>
            <w:tcW w:type="dxa" w:w="1500"/>
            <w:tcBorders>
              <w:top w:val="single" w:color="D3D1C7" w:sz="1"/>
              <w:left w:val="single" w:color="D3D1C7" w:sz="1"/>
              <w:bottom w:val="single" w:color="D3D1C7" w:sz="1"/>
              <w:right w:val="single" w:color="D3D1C7" w:sz="1"/>
            </w:tcBorders>
            <w:shd w:fill="E1F5EE" w:val="clear"/>
            <w:tcMar>
              <w:top w:type="dxa" w:w="90"/>
              <w:left w:type="dxa" w:w="120"/>
              <w:bottom w:type="dxa" w:w="90"/>
              <w:right w:type="dxa" w:w="120"/>
            </w:tcMar>
          </w:tcPr>
          <w:p>
            <w:r>
              <w:rPr>
                <w:rFonts w:ascii="Arial" w:cs="Arial" w:eastAsia="Arial" w:hAnsi="Arial"/>
                <w:b/>
                <w:bCs/>
                <w:color w:val="2C2C2A"/>
                <w:sz w:val="20"/>
                <w:szCs w:val="20"/>
              </w:rPr>
              <w:t xml:space="preserve">100%</w:t>
            </w:r>
          </w:p>
        </w:tc>
        <w:tc>
          <w:tcPr>
            <w:tcW w:type="dxa" w:w="2160"/>
            <w:tcBorders>
              <w:top w:val="single" w:color="D3D1C7" w:sz="1"/>
              <w:left w:val="single" w:color="D3D1C7" w:sz="1"/>
              <w:bottom w:val="single" w:color="D3D1C7" w:sz="1"/>
              <w:right w:val="single" w:color="D3D1C7" w:sz="1"/>
            </w:tcBorders>
            <w:shd w:fill="E1F5EE" w:val="clear"/>
            <w:tcMar>
              <w:top w:type="dxa" w:w="90"/>
              <w:left w:type="dxa" w:w="120"/>
              <w:bottom w:type="dxa" w:w="90"/>
              <w:right w:type="dxa" w:w="120"/>
            </w:tcMar>
          </w:tcPr>
          <w:p>
            <w:r>
              <w:rPr>
                <w:rFonts w:ascii="Arial" w:cs="Arial" w:eastAsia="Arial" w:hAnsi="Arial"/>
                <w:b/>
                <w:bCs/>
                <w:color w:val="2C2C2A"/>
                <w:sz w:val="20"/>
                <w:szCs w:val="20"/>
              </w:rPr>
              <w:t xml:space="preserve">12 months</w:t>
            </w:r>
          </w:p>
        </w:tc>
      </w:tr>
    </w:tbl>
    <w:p>
      <w:r>
        <w:br w:type="page"/>
      </w:r>
    </w:p>
    <w:p>
      <w:pPr>
        <w:pStyle w:val="Heading1"/>
        <w:shd w:fill="085041" w:val="clear"/>
        <w:spacing w:before="360" w:after="0"/>
        <w:ind w:left="160" w:right="160"/>
      </w:pPr>
      <w:r>
        <w:rPr>
          <w:rFonts w:ascii="Arial" w:cs="Arial" w:eastAsia="Arial" w:hAnsi="Arial"/>
          <w:b/>
          <w:bCs/>
          <w:color w:val="FFFFFF"/>
          <w:sz w:val="34"/>
          <w:szCs w:val="34"/>
        </w:rPr>
        <w:t xml:space="preserve">5. Risk Register</w:t>
      </w:r>
    </w:p>
    <w:p>
      <w:pPr>
        <w:spacing w:before="0" w:after="120"/>
      </w:pPr>
      <w:r>
        <w:rPr>
          <w:sz w:val="22"/>
          <w:szCs w:val="22"/>
        </w:rPr>
        <w:t xml:space="preserve"/>
      </w:r>
    </w:p>
    <w:p>
      <w:pPr>
        <w:spacing w:before="80" w:after="100"/>
        <w:jc w:val="both"/>
      </w:pPr>
      <w:r>
        <w:rPr>
          <w:rFonts w:ascii="Arial" w:cs="Arial" w:eastAsia="Arial" w:hAnsi="Arial"/>
          <w:color w:val="2C2C2A"/>
          <w:sz w:val="22"/>
          <w:szCs w:val="22"/>
        </w:rPr>
        <w:t xml:space="preserve">The following risks have been identified, assessed, and mitigated as part of the URITHI project planning process. Risks are rated by likelihood (1–5) and impact (1–5). Risk Score = Likelihood x Impact.</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4760"/>
      </w:tblGrid>
      <w:tr>
        <w:tc>
          <w:tcPr>
            <w:tcW w:type="dxa" w:w="22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8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47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Mitigation Strategy</w:t>
            </w:r>
          </w:p>
        </w:tc>
      </w:tr>
      <w:tr>
        <w:tc>
          <w:tcPr>
            <w:tcW w:type="dxa" w:w="22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bCs/>
                <w:color w:val="2C2C2A"/>
                <w:sz w:val="20"/>
                <w:szCs w:val="20"/>
              </w:rPr>
              <w:t xml:space="preserve">Slow law firm adoption</w:t>
            </w:r>
          </w:p>
        </w:tc>
        <w:tc>
          <w:tcPr>
            <w:tcW w:type="dxa" w:w="8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val="false"/>
                <w:bCs w:val="false"/>
                <w:color w:val="2C2C2A"/>
                <w:sz w:val="20"/>
                <w:szCs w:val="20"/>
              </w:rPr>
              <w:t xml:space="preserve">4</w:t>
            </w:r>
          </w:p>
        </w:tc>
        <w:tc>
          <w:tcPr>
            <w:tcW w:type="dxa" w:w="8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val="false"/>
                <w:bCs w:val="false"/>
                <w:color w:val="2C2C2A"/>
                <w:sz w:val="20"/>
                <w:szCs w:val="20"/>
              </w:rPr>
              <w:t xml:space="preserve">5</w:t>
            </w:r>
          </w:p>
        </w:tc>
        <w:tc>
          <w:tcPr>
            <w:tcW w:type="dxa" w:w="8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bCs/>
                <w:color w:val="791F1F"/>
                <w:sz w:val="20"/>
                <w:szCs w:val="20"/>
              </w:rPr>
              <w:t xml:space="preserve">20 — High</w:t>
            </w:r>
          </w:p>
        </w:tc>
        <w:tc>
          <w:tcPr>
            <w:tcW w:type="dxa" w:w="476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val="false"/>
                <w:bCs w:val="false"/>
                <w:color w:val="2C2C2A"/>
                <w:sz w:val="20"/>
                <w:szCs w:val="20"/>
              </w:rPr>
              <w:t xml:space="preserve">3-month free pilot removes adoption barrier. Uganda Law Society partnership for credibility. Personal founder-led onboarding for each firm.</w:t>
            </w:r>
          </w:p>
        </w:tc>
      </w:tr>
      <w:tr>
        <w:tc>
          <w:tcPr>
            <w:tcW w:type="dxa" w:w="22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bCs/>
                <w:color w:val="2C2C2A"/>
                <w:sz w:val="20"/>
                <w:szCs w:val="20"/>
              </w:rPr>
              <w:t xml:space="preserve">URA / URSB API access delayed</w:t>
            </w:r>
          </w:p>
        </w:tc>
        <w:tc>
          <w:tcPr>
            <w:tcW w:type="dxa" w:w="8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val="false"/>
                <w:bCs w:val="false"/>
                <w:color w:val="2C2C2A"/>
                <w:sz w:val="20"/>
                <w:szCs w:val="20"/>
              </w:rPr>
              <w:t xml:space="preserve">3</w:t>
            </w:r>
          </w:p>
        </w:tc>
        <w:tc>
          <w:tcPr>
            <w:tcW w:type="dxa" w:w="8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val="false"/>
                <w:bCs w:val="false"/>
                <w:color w:val="2C2C2A"/>
                <w:sz w:val="20"/>
                <w:szCs w:val="20"/>
              </w:rPr>
              <w:t xml:space="preserve">4</w:t>
            </w:r>
          </w:p>
        </w:tc>
        <w:tc>
          <w:tcPr>
            <w:tcW w:type="dxa" w:w="8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bCs/>
                <w:color w:val="791F1F"/>
                <w:sz w:val="20"/>
                <w:szCs w:val="20"/>
              </w:rPr>
              <w:t xml:space="preserve">12 — High</w:t>
            </w:r>
          </w:p>
        </w:tc>
        <w:tc>
          <w:tcPr>
            <w:tcW w:type="dxa" w:w="476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val="false"/>
                <w:bCs w:val="false"/>
                <w:color w:val="2C2C2A"/>
                <w:sz w:val="20"/>
                <w:szCs w:val="20"/>
              </w:rPr>
              <w:t xml:space="preserve">Build manual CSV export fallback. Design system to work without API in MVP — add integration in Phase 3. Engage NITA-U from Month 1.</w:t>
            </w:r>
          </w:p>
        </w:tc>
      </w:tr>
      <w:tr>
        <w:tc>
          <w:tcPr>
            <w:tcW w:type="dxa" w:w="22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bCs/>
                <w:color w:val="2C2C2A"/>
                <w:sz w:val="20"/>
                <w:szCs w:val="20"/>
              </w:rPr>
              <w:t xml:space="preserve">Solo founder burnout</w:t>
            </w:r>
          </w:p>
        </w:tc>
        <w:tc>
          <w:tcPr>
            <w:tcW w:type="dxa" w:w="8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val="false"/>
                <w:bCs w:val="false"/>
                <w:color w:val="2C2C2A"/>
                <w:sz w:val="20"/>
                <w:szCs w:val="20"/>
              </w:rPr>
              <w:t xml:space="preserve">3</w:t>
            </w:r>
          </w:p>
        </w:tc>
        <w:tc>
          <w:tcPr>
            <w:tcW w:type="dxa" w:w="8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val="false"/>
                <w:bCs w:val="false"/>
                <w:color w:val="2C2C2A"/>
                <w:sz w:val="20"/>
                <w:szCs w:val="20"/>
              </w:rPr>
              <w:t xml:space="preserve">4</w:t>
            </w:r>
          </w:p>
        </w:tc>
        <w:tc>
          <w:tcPr>
            <w:tcW w:type="dxa" w:w="8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bCs/>
                <w:color w:val="791F1F"/>
                <w:sz w:val="20"/>
                <w:szCs w:val="20"/>
              </w:rPr>
              <w:t xml:space="preserve">12 — High</w:t>
            </w:r>
          </w:p>
        </w:tc>
        <w:tc>
          <w:tcPr>
            <w:tcW w:type="dxa" w:w="476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val="false"/>
                <w:bCs w:val="false"/>
                <w:color w:val="2C2C2A"/>
                <w:sz w:val="20"/>
                <w:szCs w:val="20"/>
              </w:rPr>
              <w:t xml:space="preserve">Ship MVP fast — do not build everything before first client. Outsource security testing. Hire second developer by Month 8. Set clear weekly targets.</w:t>
            </w:r>
          </w:p>
        </w:tc>
      </w:tr>
      <w:tr>
        <w:tc>
          <w:tcPr>
            <w:tcW w:type="dxa" w:w="22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bCs/>
                <w:color w:val="2C2C2A"/>
                <w:sz w:val="20"/>
                <w:szCs w:val="20"/>
              </w:rPr>
              <w:t xml:space="preserve">Funding takes longer to raise</w:t>
            </w:r>
          </w:p>
        </w:tc>
        <w:tc>
          <w:tcPr>
            <w:tcW w:type="dxa" w:w="8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val="false"/>
                <w:bCs w:val="false"/>
                <w:color w:val="2C2C2A"/>
                <w:sz w:val="20"/>
                <w:szCs w:val="20"/>
              </w:rPr>
              <w:t xml:space="preserve">3</w:t>
            </w:r>
          </w:p>
        </w:tc>
        <w:tc>
          <w:tcPr>
            <w:tcW w:type="dxa" w:w="8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val="false"/>
                <w:bCs w:val="false"/>
                <w:color w:val="2C2C2A"/>
                <w:sz w:val="20"/>
                <w:szCs w:val="20"/>
              </w:rPr>
              <w:t xml:space="preserve">5</w:t>
            </w:r>
          </w:p>
        </w:tc>
        <w:tc>
          <w:tcPr>
            <w:tcW w:type="dxa" w:w="80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bCs/>
                <w:color w:val="791F1F"/>
                <w:sz w:val="20"/>
                <w:szCs w:val="20"/>
              </w:rPr>
              <w:t xml:space="preserve">15 — High</w:t>
            </w:r>
          </w:p>
        </w:tc>
        <w:tc>
          <w:tcPr>
            <w:tcW w:type="dxa" w:w="4760"/>
            <w:tcBorders>
              <w:top w:val="single" w:color="D3D1C7" w:sz="1"/>
              <w:left w:val="single" w:color="D3D1C7" w:sz="1"/>
              <w:bottom w:val="single" w:color="D3D1C7" w:sz="1"/>
              <w:right w:val="single" w:color="D3D1C7" w:sz="1"/>
            </w:tcBorders>
            <w:shd w:fill="FCEBEB" w:val="clear"/>
            <w:tcMar>
              <w:top w:type="dxa" w:w="90"/>
              <w:left w:type="dxa" w:w="120"/>
              <w:bottom w:type="dxa" w:w="90"/>
              <w:right w:type="dxa" w:w="120"/>
            </w:tcMar>
          </w:tcPr>
          <w:p>
            <w:r>
              <w:rPr>
                <w:rFonts w:ascii="Arial" w:cs="Arial" w:eastAsia="Arial" w:hAnsi="Arial"/>
                <w:b w:val="false"/>
                <w:bCs w:val="false"/>
                <w:color w:val="2C2C2A"/>
                <w:sz w:val="20"/>
                <w:szCs w:val="20"/>
              </w:rPr>
              <w:t xml:space="preserve">Start approaching investors from Month 1. Apply to NITA-U and Founders Factory programmes for non-dilutive funding. Revenue from Month 7 reduces dependence on external funding.</w:t>
            </w:r>
          </w:p>
        </w:tc>
      </w:tr>
      <w:tr>
        <w:tc>
          <w:tcPr>
            <w:tcW w:type="dxa" w:w="220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bCs/>
                <w:color w:val="2C2C2A"/>
                <w:sz w:val="20"/>
                <w:szCs w:val="20"/>
              </w:rPr>
              <w:t xml:space="preserve">Data security breach</w:t>
            </w:r>
          </w:p>
        </w:tc>
        <w:tc>
          <w:tcPr>
            <w:tcW w:type="dxa" w:w="80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val="false"/>
                <w:bCs w:val="false"/>
                <w:color w:val="2C2C2A"/>
                <w:sz w:val="20"/>
                <w:szCs w:val="20"/>
              </w:rPr>
              <w:t xml:space="preserve">2</w:t>
            </w:r>
          </w:p>
        </w:tc>
        <w:tc>
          <w:tcPr>
            <w:tcW w:type="dxa" w:w="80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val="false"/>
                <w:bCs w:val="false"/>
                <w:color w:val="2C2C2A"/>
                <w:sz w:val="20"/>
                <w:szCs w:val="20"/>
              </w:rPr>
              <w:t xml:space="preserve">5</w:t>
            </w:r>
          </w:p>
        </w:tc>
        <w:tc>
          <w:tcPr>
            <w:tcW w:type="dxa" w:w="80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bCs/>
                <w:color w:val="633806"/>
                <w:sz w:val="20"/>
                <w:szCs w:val="20"/>
              </w:rPr>
              <w:t xml:space="preserve">10 — Med</w:t>
            </w:r>
          </w:p>
        </w:tc>
        <w:tc>
          <w:tcPr>
            <w:tcW w:type="dxa" w:w="476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val="false"/>
                <w:bCs w:val="false"/>
                <w:color w:val="2C2C2A"/>
                <w:sz w:val="20"/>
                <w:szCs w:val="20"/>
              </w:rPr>
              <w:t xml:space="preserve">Penetration testing before launch. MFA enforcement. End-to-end encryption. Blockchain immutability. Monthly security reviews. Cyber insurance.</w:t>
            </w:r>
          </w:p>
        </w:tc>
      </w:tr>
      <w:tr>
        <w:tc>
          <w:tcPr>
            <w:tcW w:type="dxa" w:w="220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bCs/>
                <w:color w:val="2C2C2A"/>
                <w:sz w:val="20"/>
                <w:szCs w:val="20"/>
              </w:rPr>
              <w:t xml:space="preserve">Mobile Money API downtime</w:t>
            </w:r>
          </w:p>
        </w:tc>
        <w:tc>
          <w:tcPr>
            <w:tcW w:type="dxa" w:w="80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val="false"/>
                <w:bCs w:val="false"/>
                <w:color w:val="2C2C2A"/>
                <w:sz w:val="20"/>
                <w:szCs w:val="20"/>
              </w:rPr>
              <w:t xml:space="preserve">2</w:t>
            </w:r>
          </w:p>
        </w:tc>
        <w:tc>
          <w:tcPr>
            <w:tcW w:type="dxa" w:w="80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val="false"/>
                <w:bCs w:val="false"/>
                <w:color w:val="2C2C2A"/>
                <w:sz w:val="20"/>
                <w:szCs w:val="20"/>
              </w:rPr>
              <w:t xml:space="preserve">3</w:t>
            </w:r>
          </w:p>
        </w:tc>
        <w:tc>
          <w:tcPr>
            <w:tcW w:type="dxa" w:w="80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bCs/>
                <w:color w:val="633806"/>
                <w:sz w:val="20"/>
                <w:szCs w:val="20"/>
              </w:rPr>
              <w:t xml:space="preserve">6 — Med</w:t>
            </w:r>
          </w:p>
        </w:tc>
        <w:tc>
          <w:tcPr>
            <w:tcW w:type="dxa" w:w="476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val="false"/>
                <w:bCs w:val="false"/>
                <w:color w:val="2C2C2A"/>
                <w:sz w:val="20"/>
                <w:szCs w:val="20"/>
              </w:rPr>
              <w:t xml:space="preserve">Retry queue with Celery. Support both MTN and Airtel as fallbacks. Bank transfer fallback. Real-time monitoring alerts to trustees.</w:t>
            </w:r>
          </w:p>
        </w:tc>
      </w:tr>
      <w:tr>
        <w:tc>
          <w:tcPr>
            <w:tcW w:type="dxa" w:w="220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bCs/>
                <w:color w:val="2C2C2A"/>
                <w:sz w:val="20"/>
                <w:szCs w:val="20"/>
              </w:rPr>
              <w:t xml:space="preserve">Well-funded competitor enters market</w:t>
            </w:r>
          </w:p>
        </w:tc>
        <w:tc>
          <w:tcPr>
            <w:tcW w:type="dxa" w:w="80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val="false"/>
                <w:bCs w:val="false"/>
                <w:color w:val="2C2C2A"/>
                <w:sz w:val="20"/>
                <w:szCs w:val="20"/>
              </w:rPr>
              <w:t xml:space="preserve">2</w:t>
            </w:r>
          </w:p>
        </w:tc>
        <w:tc>
          <w:tcPr>
            <w:tcW w:type="dxa" w:w="80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val="false"/>
                <w:bCs w:val="false"/>
                <w:color w:val="2C2C2A"/>
                <w:sz w:val="20"/>
                <w:szCs w:val="20"/>
              </w:rPr>
              <w:t xml:space="preserve">4</w:t>
            </w:r>
          </w:p>
        </w:tc>
        <w:tc>
          <w:tcPr>
            <w:tcW w:type="dxa" w:w="80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bCs/>
                <w:color w:val="633806"/>
                <w:sz w:val="20"/>
                <w:szCs w:val="20"/>
              </w:rPr>
              <w:t xml:space="preserve">8 — Med</w:t>
            </w:r>
          </w:p>
        </w:tc>
        <w:tc>
          <w:tcPr>
            <w:tcW w:type="dxa" w:w="4760"/>
            <w:tcBorders>
              <w:top w:val="single" w:color="D3D1C7" w:sz="1"/>
              <w:left w:val="single" w:color="D3D1C7" w:sz="1"/>
              <w:bottom w:val="single" w:color="D3D1C7" w:sz="1"/>
              <w:right w:val="single" w:color="D3D1C7" w:sz="1"/>
            </w:tcBorders>
            <w:shd w:fill="FAEEDA" w:val="clear"/>
            <w:tcMar>
              <w:top w:type="dxa" w:w="90"/>
              <w:left w:type="dxa" w:w="120"/>
              <w:bottom w:type="dxa" w:w="90"/>
              <w:right w:type="dxa" w:w="120"/>
            </w:tcMar>
          </w:tcPr>
          <w:p>
            <w:r>
              <w:rPr>
                <w:rFonts w:ascii="Arial" w:cs="Arial" w:eastAsia="Arial" w:hAnsi="Arial"/>
                <w:b w:val="false"/>
                <w:bCs w:val="false"/>
                <w:color w:val="2C2C2A"/>
                <w:sz w:val="20"/>
                <w:szCs w:val="20"/>
              </w:rPr>
              <w:t xml:space="preserve">Speed to 10 paying clients creates switching cost moat. Deep URA/URSB/Mobile Money integration is 6–12 month advantage. First-mover brand recognition in Uganda.</w:t>
            </w:r>
          </w:p>
        </w:tc>
      </w:tr>
      <w:tr>
        <w:tc>
          <w:tcPr>
            <w:tcW w:type="dxa" w:w="2200"/>
            <w:tcBorders>
              <w:top w:val="single" w:color="D3D1C7" w:sz="1"/>
              <w:left w:val="single" w:color="D3D1C7" w:sz="1"/>
              <w:bottom w:val="single" w:color="D3D1C7" w:sz="1"/>
              <w:right w:val="single" w:color="D3D1C7" w:sz="1"/>
            </w:tcBorders>
            <w:shd w:fill="E1F5EE" w:val="clear"/>
            <w:tcMar>
              <w:top w:type="dxa" w:w="90"/>
              <w:left w:type="dxa" w:w="120"/>
              <w:bottom w:type="dxa" w:w="90"/>
              <w:right w:type="dxa" w:w="120"/>
            </w:tcMar>
          </w:tcPr>
          <w:p>
            <w:r>
              <w:rPr>
                <w:rFonts w:ascii="Arial" w:cs="Arial" w:eastAsia="Arial" w:hAnsi="Arial"/>
                <w:b/>
                <w:bCs/>
                <w:color w:val="2C2C2A"/>
                <w:sz w:val="20"/>
                <w:szCs w:val="20"/>
              </w:rPr>
              <w:t xml:space="preserve">Uganda Trustees Act regulatory change</w:t>
            </w:r>
          </w:p>
        </w:tc>
        <w:tc>
          <w:tcPr>
            <w:tcW w:type="dxa" w:w="800"/>
            <w:tcBorders>
              <w:top w:val="single" w:color="D3D1C7" w:sz="1"/>
              <w:left w:val="single" w:color="D3D1C7" w:sz="1"/>
              <w:bottom w:val="single" w:color="D3D1C7" w:sz="1"/>
              <w:right w:val="single" w:color="D3D1C7" w:sz="1"/>
            </w:tcBorders>
            <w:shd w:fill="E1F5EE" w:val="clear"/>
            <w:tcMar>
              <w:top w:type="dxa" w:w="90"/>
              <w:left w:type="dxa" w:w="120"/>
              <w:bottom w:type="dxa" w:w="90"/>
              <w:right w:type="dxa" w:w="120"/>
            </w:tcMar>
          </w:tcPr>
          <w:p>
            <w:r>
              <w:rPr>
                <w:rFonts w:ascii="Arial" w:cs="Arial" w:eastAsia="Arial" w:hAnsi="Arial"/>
                <w:b w:val="false"/>
                <w:bCs w:val="false"/>
                <w:color w:val="2C2C2A"/>
                <w:sz w:val="20"/>
                <w:szCs w:val="20"/>
              </w:rPr>
              <w:t xml:space="preserve">1</w:t>
            </w:r>
          </w:p>
        </w:tc>
        <w:tc>
          <w:tcPr>
            <w:tcW w:type="dxa" w:w="800"/>
            <w:tcBorders>
              <w:top w:val="single" w:color="D3D1C7" w:sz="1"/>
              <w:left w:val="single" w:color="D3D1C7" w:sz="1"/>
              <w:bottom w:val="single" w:color="D3D1C7" w:sz="1"/>
              <w:right w:val="single" w:color="D3D1C7" w:sz="1"/>
            </w:tcBorders>
            <w:shd w:fill="E1F5EE" w:val="clear"/>
            <w:tcMar>
              <w:top w:type="dxa" w:w="90"/>
              <w:left w:type="dxa" w:w="120"/>
              <w:bottom w:type="dxa" w:w="90"/>
              <w:right w:type="dxa" w:w="120"/>
            </w:tcMar>
          </w:tcPr>
          <w:p>
            <w:r>
              <w:rPr>
                <w:rFonts w:ascii="Arial" w:cs="Arial" w:eastAsia="Arial" w:hAnsi="Arial"/>
                <w:b w:val="false"/>
                <w:bCs w:val="false"/>
                <w:color w:val="2C2C2A"/>
                <w:sz w:val="20"/>
                <w:szCs w:val="20"/>
              </w:rPr>
              <w:t xml:space="preserve">3</w:t>
            </w:r>
          </w:p>
        </w:tc>
        <w:tc>
          <w:tcPr>
            <w:tcW w:type="dxa" w:w="800"/>
            <w:tcBorders>
              <w:top w:val="single" w:color="D3D1C7" w:sz="1"/>
              <w:left w:val="single" w:color="D3D1C7" w:sz="1"/>
              <w:bottom w:val="single" w:color="D3D1C7" w:sz="1"/>
              <w:right w:val="single" w:color="D3D1C7" w:sz="1"/>
            </w:tcBorders>
            <w:shd w:fill="E1F5EE" w:val="clear"/>
            <w:tcMar>
              <w:top w:type="dxa" w:w="90"/>
              <w:left w:type="dxa" w:w="120"/>
              <w:bottom w:type="dxa" w:w="90"/>
              <w:right w:type="dxa" w:w="120"/>
            </w:tcMar>
          </w:tcPr>
          <w:p>
            <w:r>
              <w:rPr>
                <w:rFonts w:ascii="Arial" w:cs="Arial" w:eastAsia="Arial" w:hAnsi="Arial"/>
                <w:b/>
                <w:bCs/>
                <w:color w:val="085041"/>
                <w:sz w:val="20"/>
                <w:szCs w:val="20"/>
              </w:rPr>
              <w:t xml:space="preserve">3 — Low</w:t>
            </w:r>
          </w:p>
        </w:tc>
        <w:tc>
          <w:tcPr>
            <w:tcW w:type="dxa" w:w="4760"/>
            <w:tcBorders>
              <w:top w:val="single" w:color="D3D1C7" w:sz="1"/>
              <w:left w:val="single" w:color="D3D1C7" w:sz="1"/>
              <w:bottom w:val="single" w:color="D3D1C7" w:sz="1"/>
              <w:right w:val="single" w:color="D3D1C7" w:sz="1"/>
            </w:tcBorders>
            <w:shd w:fill="E1F5EE" w:val="clear"/>
            <w:tcMar>
              <w:top w:type="dxa" w:w="90"/>
              <w:left w:type="dxa" w:w="120"/>
              <w:bottom w:type="dxa" w:w="90"/>
              <w:right w:type="dxa" w:w="120"/>
            </w:tcMar>
          </w:tcPr>
          <w:p>
            <w:r>
              <w:rPr>
                <w:rFonts w:ascii="Arial" w:cs="Arial" w:eastAsia="Arial" w:hAnsi="Arial"/>
                <w:b w:val="false"/>
                <w:bCs w:val="false"/>
                <w:color w:val="2C2C2A"/>
                <w:sz w:val="20"/>
                <w:szCs w:val="20"/>
              </w:rPr>
              <w:t xml:space="preserve">Legal advisor monitors all regulatory developments. Rules engine is configurable for rapid compliance updates without full redeployment.</w:t>
            </w:r>
          </w:p>
        </w:tc>
      </w:tr>
    </w:tbl>
    <w:p>
      <w:r>
        <w:br w:type="page"/>
      </w:r>
    </w:p>
    <w:p>
      <w:pPr>
        <w:pStyle w:val="Heading1"/>
        <w:shd w:fill="085041" w:val="clear"/>
        <w:spacing w:before="360" w:after="0"/>
        <w:ind w:left="160" w:right="160"/>
      </w:pPr>
      <w:r>
        <w:rPr>
          <w:rFonts w:ascii="Arial" w:cs="Arial" w:eastAsia="Arial" w:hAnsi="Arial"/>
          <w:b/>
          <w:bCs/>
          <w:color w:val="FFFFFF"/>
          <w:sz w:val="34"/>
          <w:szCs w:val="34"/>
        </w:rPr>
        <w:t xml:space="preserve">6. Quality Plan</w:t>
      </w:r>
    </w:p>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6.1 Definition of Done</w:t>
      </w:r>
    </w:p>
    <w:p>
      <w:pPr>
        <w:spacing w:before="80" w:after="100"/>
        <w:jc w:val="both"/>
      </w:pPr>
      <w:r>
        <w:rPr>
          <w:rFonts w:ascii="Arial" w:cs="Arial" w:eastAsia="Arial" w:hAnsi="Arial"/>
          <w:color w:val="2C2C2A"/>
          <w:sz w:val="22"/>
          <w:szCs w:val="22"/>
        </w:rPr>
        <w:t xml:space="preserve">A feature is only considered complete and deployable when ALL of the following criteria are met:</w:t>
      </w:r>
    </w:p>
    <w:p>
      <w:pPr>
        <w:spacing w:before="0" w:after="120"/>
      </w:pPr>
      <w:r>
        <w:rPr>
          <w:sz w:val="22"/>
          <w:szCs w:val="22"/>
        </w:rPr>
        <w:t xml:space="preserve"/>
      </w:r>
    </w:p>
    <w:p>
      <w:pPr>
        <w:pStyle w:val="ListParagraph"/>
        <w:numPr>
          <w:ilvl w:val="0"/>
          <w:numId w:val="2"/>
        </w:numPr>
        <w:spacing w:before="60" w:after="60"/>
      </w:pPr>
      <w:r>
        <w:rPr>
          <w:rFonts w:ascii="Arial" w:cs="Arial" w:eastAsia="Arial" w:hAnsi="Arial"/>
          <w:color w:val="2C2C2A"/>
          <w:sz w:val="22"/>
          <w:szCs w:val="22"/>
        </w:rPr>
        <w:t xml:space="preserve">Unit tests written and passing with minimum 80% code coverage</w:t>
      </w:r>
    </w:p>
    <w:p>
      <w:pPr>
        <w:pStyle w:val="ListParagraph"/>
        <w:numPr>
          <w:ilvl w:val="0"/>
          <w:numId w:val="2"/>
        </w:numPr>
        <w:spacing w:before="60" w:after="60"/>
      </w:pPr>
      <w:r>
        <w:rPr>
          <w:rFonts w:ascii="Arial" w:cs="Arial" w:eastAsia="Arial" w:hAnsi="Arial"/>
          <w:color w:val="2C2C2A"/>
          <w:sz w:val="22"/>
          <w:szCs w:val="22"/>
        </w:rPr>
        <w:t xml:space="preserve">Integration tests passing against staging database</w:t>
      </w:r>
    </w:p>
    <w:p>
      <w:pPr>
        <w:pStyle w:val="ListParagraph"/>
        <w:numPr>
          <w:ilvl w:val="0"/>
          <w:numId w:val="2"/>
        </w:numPr>
        <w:spacing w:before="60" w:after="60"/>
      </w:pPr>
      <w:r>
        <w:rPr>
          <w:rFonts w:ascii="Arial" w:cs="Arial" w:eastAsia="Arial" w:hAnsi="Arial"/>
          <w:color w:val="2C2C2A"/>
          <w:sz w:val="22"/>
          <w:szCs w:val="22"/>
        </w:rPr>
        <w:t xml:space="preserve">API endpoints documented in Swagger and manually verified</w:t>
      </w:r>
    </w:p>
    <w:p>
      <w:pPr>
        <w:pStyle w:val="ListParagraph"/>
        <w:numPr>
          <w:ilvl w:val="0"/>
          <w:numId w:val="2"/>
        </w:numPr>
        <w:spacing w:before="60" w:after="60"/>
      </w:pPr>
      <w:r>
        <w:rPr>
          <w:rFonts w:ascii="Arial" w:cs="Arial" w:eastAsia="Arial" w:hAnsi="Arial"/>
          <w:color w:val="2C2C2A"/>
          <w:sz w:val="22"/>
          <w:szCs w:val="22"/>
        </w:rPr>
        <w:t xml:space="preserve">Security review completed — no hardcoded secrets, input validation in place</w:t>
      </w:r>
    </w:p>
    <w:p>
      <w:pPr>
        <w:pStyle w:val="ListParagraph"/>
        <w:numPr>
          <w:ilvl w:val="0"/>
          <w:numId w:val="2"/>
        </w:numPr>
        <w:spacing w:before="60" w:after="60"/>
      </w:pPr>
      <w:r>
        <w:rPr>
          <w:rFonts w:ascii="Arial" w:cs="Arial" w:eastAsia="Arial" w:hAnsi="Arial"/>
          <w:color w:val="2C2C2A"/>
          <w:sz w:val="22"/>
          <w:szCs w:val="22"/>
        </w:rPr>
        <w:t xml:space="preserve">Frontend component tested across Chrome, Firefox, and Safari</w:t>
      </w:r>
    </w:p>
    <w:p>
      <w:pPr>
        <w:pStyle w:val="ListParagraph"/>
        <w:numPr>
          <w:ilvl w:val="0"/>
          <w:numId w:val="2"/>
        </w:numPr>
        <w:spacing w:before="60" w:after="60"/>
      </w:pPr>
      <w:r>
        <w:rPr>
          <w:rFonts w:ascii="Arial" w:cs="Arial" w:eastAsia="Arial" w:hAnsi="Arial"/>
          <w:color w:val="2C2C2A"/>
          <w:sz w:val="22"/>
          <w:szCs w:val="22"/>
        </w:rPr>
        <w:t xml:space="preserve">Mobile app tested on Android (physical device) and iOS (simulator minimum)</w:t>
      </w:r>
    </w:p>
    <w:p>
      <w:pPr>
        <w:pStyle w:val="ListParagraph"/>
        <w:numPr>
          <w:ilvl w:val="0"/>
          <w:numId w:val="2"/>
        </w:numPr>
        <w:spacing w:before="60" w:after="60"/>
      </w:pPr>
      <w:r>
        <w:rPr>
          <w:rFonts w:ascii="Arial" w:cs="Arial" w:eastAsia="Arial" w:hAnsi="Arial"/>
          <w:color w:val="2C2C2A"/>
          <w:sz w:val="22"/>
          <w:szCs w:val="22"/>
        </w:rPr>
        <w:t xml:space="preserve">Peer review completed — code reviewed against URITHI coding standards</w:t>
      </w:r>
    </w:p>
    <w:p>
      <w:pPr>
        <w:pStyle w:val="ListParagraph"/>
        <w:numPr>
          <w:ilvl w:val="0"/>
          <w:numId w:val="2"/>
        </w:numPr>
        <w:spacing w:before="60" w:after="60"/>
      </w:pPr>
      <w:r>
        <w:rPr>
          <w:rFonts w:ascii="Arial" w:cs="Arial" w:eastAsia="Arial" w:hAnsi="Arial"/>
          <w:color w:val="2C2C2A"/>
          <w:sz w:val="22"/>
          <w:szCs w:val="22"/>
        </w:rPr>
        <w:t xml:space="preserve">Feature deployed to staging environment and smoke-tested</w:t>
      </w:r>
    </w:p>
    <w:p>
      <w:pPr>
        <w:pStyle w:val="ListParagraph"/>
        <w:numPr>
          <w:ilvl w:val="0"/>
          <w:numId w:val="2"/>
        </w:numPr>
        <w:spacing w:before="60" w:after="60"/>
      </w:pPr>
      <w:r>
        <w:rPr>
          <w:rFonts w:ascii="Arial" w:cs="Arial" w:eastAsia="Arial" w:hAnsi="Arial"/>
          <w:color w:val="2C2C2A"/>
          <w:sz w:val="22"/>
          <w:szCs w:val="22"/>
        </w:rPr>
        <w:t xml:space="preserve">Product owner (Primo) signed off on acceptance criteria</w:t>
      </w:r>
    </w:p>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6.2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Test Type</w:t>
            </w:r>
          </w:p>
        </w:tc>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49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Coverage</w:t>
            </w:r>
          </w:p>
        </w:tc>
      </w:tr>
      <w:tr>
        <w:tc>
          <w:tcPr>
            <w:tcW w:type="dxa" w:w="2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Unit tests (backend)</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pytest</w:t>
            </w:r>
          </w:p>
        </w:tc>
        <w:tc>
          <w:tcPr>
            <w:tcW w:type="dxa" w:w="49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All service layer functions, condition evaluator, tax calculation engine — minimum 80%</w:t>
            </w:r>
          </w:p>
        </w:tc>
      </w:tr>
      <w:tr>
        <w:tc>
          <w:tcPr>
            <w:tcW w:type="dxa" w:w="2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Integration tests</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pytest + httpx</w:t>
            </w:r>
          </w:p>
        </w:tc>
        <w:tc>
          <w:tcPr>
            <w:tcW w:type="dxa" w:w="49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All API endpoints tested against test database — full request/response cycle</w:t>
            </w:r>
          </w:p>
        </w:tc>
      </w:tr>
      <w:tr>
        <w:tc>
          <w:tcPr>
            <w:tcW w:type="dxa" w:w="2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Frontend component tests</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Vitest + RTL</w:t>
            </w:r>
          </w:p>
        </w:tc>
        <w:tc>
          <w:tcPr>
            <w:tcW w:type="dxa" w:w="49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All React components — user interactions, state changes, error states</w:t>
            </w:r>
          </w:p>
        </w:tc>
      </w:tr>
      <w:tr>
        <w:tc>
          <w:tcPr>
            <w:tcW w:type="dxa" w:w="2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End-to-end tests</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Playwright</w:t>
            </w:r>
          </w:p>
        </w:tc>
        <w:tc>
          <w:tcPr>
            <w:tcW w:type="dxa" w:w="49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Critical user journeys — login, create trust, process distribution, file tax return</w:t>
            </w:r>
          </w:p>
        </w:tc>
      </w:tr>
      <w:tr>
        <w:tc>
          <w:tcPr>
            <w:tcW w:type="dxa" w:w="2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Security / penetration test</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OWASP ZAP</w:t>
            </w:r>
          </w:p>
        </w:tc>
        <w:tc>
          <w:tcPr>
            <w:tcW w:type="dxa" w:w="49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OWASP Top 10, SQL injection, XSS, CSRF, authentication bypass — Month 4</w:t>
            </w:r>
          </w:p>
        </w:tc>
      </w:tr>
      <w:tr>
        <w:tc>
          <w:tcPr>
            <w:tcW w:type="dxa" w:w="2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Load testing</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Locust</w:t>
            </w:r>
          </w:p>
        </w:tc>
        <w:tc>
          <w:tcPr>
            <w:tcW w:type="dxa" w:w="49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Simulate 500 concurrent users — API response time must remain under 500ms</w:t>
            </w:r>
          </w:p>
        </w:tc>
      </w:tr>
      <w:tr>
        <w:tc>
          <w:tcPr>
            <w:tcW w:type="dxa" w:w="24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UAT (User Acceptance)</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Manual — pilot firms</w:t>
            </w:r>
          </w:p>
        </w:tc>
        <w:tc>
          <w:tcPr>
            <w:tcW w:type="dxa" w:w="49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 Kampala law firms testing real trust scenarios over 4 weeks — Month 4</w:t>
            </w:r>
          </w:p>
        </w:tc>
      </w:tr>
      <w:tr>
        <w:tc>
          <w:tcPr>
            <w:tcW w:type="dxa" w:w="24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Mobile device testing</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Physical + Expo</w:t>
            </w:r>
          </w:p>
        </w:tc>
        <w:tc>
          <w:tcPr>
            <w:tcW w:type="dxa" w:w="49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Samsung Galaxy A-series (Android), iPhone 12+ (iOS) — Uganda most common devices</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6.3 Code Quality Standards</w:t>
      </w:r>
    </w:p>
    <w:p>
      <w:pPr>
        <w:pStyle w:val="ListParagraph"/>
        <w:numPr>
          <w:ilvl w:val="0"/>
          <w:numId w:val="2"/>
        </w:numPr>
        <w:spacing w:before="60" w:after="60"/>
      </w:pPr>
      <w:r>
        <w:rPr>
          <w:rFonts w:ascii="Arial" w:cs="Arial" w:eastAsia="Arial" w:hAnsi="Arial"/>
          <w:color w:val="2C2C2A"/>
          <w:sz w:val="22"/>
          <w:szCs w:val="22"/>
        </w:rPr>
        <w:t xml:space="preserve">Python backend: PEP 8 style guide enforced via flake8 and black formatter</w:t>
      </w:r>
    </w:p>
    <w:p>
      <w:pPr>
        <w:pStyle w:val="ListParagraph"/>
        <w:numPr>
          <w:ilvl w:val="0"/>
          <w:numId w:val="2"/>
        </w:numPr>
        <w:spacing w:before="60" w:after="60"/>
      </w:pPr>
      <w:r>
        <w:rPr>
          <w:rFonts w:ascii="Arial" w:cs="Arial" w:eastAsia="Arial" w:hAnsi="Arial"/>
          <w:color w:val="2C2C2A"/>
          <w:sz w:val="22"/>
          <w:szCs w:val="22"/>
        </w:rPr>
        <w:t xml:space="preserve">TypeScript frontend: ESLint with Airbnb configuration. No any types allowed.</w:t>
      </w:r>
    </w:p>
    <w:p>
      <w:pPr>
        <w:pStyle w:val="ListParagraph"/>
        <w:numPr>
          <w:ilvl w:val="0"/>
          <w:numId w:val="2"/>
        </w:numPr>
        <w:spacing w:before="60" w:after="60"/>
      </w:pPr>
      <w:r>
        <w:rPr>
          <w:rFonts w:ascii="Arial" w:cs="Arial" w:eastAsia="Arial" w:hAnsi="Arial"/>
          <w:color w:val="2C2C2A"/>
          <w:sz w:val="22"/>
          <w:szCs w:val="22"/>
        </w:rPr>
        <w:t xml:space="preserve">All secrets stored in AWS Secrets Manager — never in code or .env files committed to Git</w:t>
      </w:r>
    </w:p>
    <w:p>
      <w:pPr>
        <w:pStyle w:val="ListParagraph"/>
        <w:numPr>
          <w:ilvl w:val="0"/>
          <w:numId w:val="2"/>
        </w:numPr>
        <w:spacing w:before="60" w:after="60"/>
      </w:pPr>
      <w:r>
        <w:rPr>
          <w:rFonts w:ascii="Arial" w:cs="Arial" w:eastAsia="Arial" w:hAnsi="Arial"/>
          <w:color w:val="2C2C2A"/>
          <w:sz w:val="22"/>
          <w:szCs w:val="22"/>
        </w:rPr>
        <w:t xml:space="preserve">All database queries use parameterised inputs — no raw SQL string concatenation</w:t>
      </w:r>
    </w:p>
    <w:p>
      <w:pPr>
        <w:pStyle w:val="ListParagraph"/>
        <w:numPr>
          <w:ilvl w:val="0"/>
          <w:numId w:val="2"/>
        </w:numPr>
        <w:spacing w:before="60" w:after="60"/>
      </w:pPr>
      <w:r>
        <w:rPr>
          <w:rFonts w:ascii="Arial" w:cs="Arial" w:eastAsia="Arial" w:hAnsi="Arial"/>
          <w:color w:val="2C2C2A"/>
          <w:sz w:val="22"/>
          <w:szCs w:val="22"/>
        </w:rPr>
        <w:t xml:space="preserve">Every API endpoint requires authentication except /health and /auth/login</w:t>
      </w:r>
    </w:p>
    <w:p>
      <w:pPr>
        <w:pStyle w:val="ListParagraph"/>
        <w:numPr>
          <w:ilvl w:val="0"/>
          <w:numId w:val="2"/>
        </w:numPr>
        <w:spacing w:before="60" w:after="60"/>
      </w:pPr>
      <w:r>
        <w:rPr>
          <w:rFonts w:ascii="Arial" w:cs="Arial" w:eastAsia="Arial" w:hAnsi="Arial"/>
          <w:color w:val="2C2C2A"/>
          <w:sz w:val="22"/>
          <w:szCs w:val="22"/>
        </w:rPr>
        <w:t xml:space="preserve">All monetary values stored as integers in UGX (no floating point for money)</w:t>
      </w:r>
    </w:p>
    <w:p>
      <w:pPr>
        <w:pStyle w:val="ListParagraph"/>
        <w:numPr>
          <w:ilvl w:val="0"/>
          <w:numId w:val="2"/>
        </w:numPr>
        <w:spacing w:before="60" w:after="60"/>
      </w:pPr>
      <w:r>
        <w:rPr>
          <w:rFonts w:ascii="Arial" w:cs="Arial" w:eastAsia="Arial" w:hAnsi="Arial"/>
          <w:color w:val="2C2C2A"/>
          <w:sz w:val="22"/>
          <w:szCs w:val="22"/>
        </w:rPr>
        <w:t xml:space="preserve">All file uploads virus-scanned before storage via ClamAV</w:t>
      </w:r>
    </w:p>
    <w:p>
      <w:r>
        <w:br w:type="page"/>
      </w:r>
    </w:p>
    <w:p>
      <w:pPr>
        <w:pStyle w:val="Heading1"/>
        <w:shd w:fill="085041" w:val="clear"/>
        <w:spacing w:before="360" w:after="0"/>
        <w:ind w:left="160" w:right="160"/>
      </w:pPr>
      <w:r>
        <w:rPr>
          <w:rFonts w:ascii="Arial" w:cs="Arial" w:eastAsia="Arial" w:hAnsi="Arial"/>
          <w:b/>
          <w:bCs/>
          <w:color w:val="FFFFFF"/>
          <w:sz w:val="34"/>
          <w:szCs w:val="34"/>
        </w:rPr>
        <w:t xml:space="preserve">7. Communication and Reporting Plan</w:t>
      </w:r>
    </w:p>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7.1 Internal Reporting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Meeting / Report</w:t>
            </w:r>
          </w:p>
        </w:tc>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c>
          <w:tcPr>
            <w:tcW w:type="dxa" w:w="2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Audience</w:t>
            </w:r>
          </w:p>
        </w:tc>
        <w:tc>
          <w:tcPr>
            <w:tcW w:type="dxa" w:w="33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r>
      <w:tr>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Daily standup</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Daily (self)</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w:t>
            </w:r>
          </w:p>
        </w:tc>
        <w:tc>
          <w:tcPr>
            <w:tcW w:type="dxa" w:w="3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What was done yesterday, what today, any blockers</w:t>
            </w:r>
          </w:p>
        </w:tc>
      </w:tr>
      <w:tr>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Weekly progress review</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Every Friday</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Primo + advisors</w:t>
            </w:r>
          </w:p>
        </w:tc>
        <w:tc>
          <w:tcPr>
            <w:tcW w:type="dxa" w:w="3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Tasks completed vs planned, next week priorities, risks</w:t>
            </w:r>
          </w:p>
        </w:tc>
      </w:tr>
      <w:tr>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Monthly investor update</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Monthly</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Investors</w:t>
            </w:r>
          </w:p>
        </w:tc>
        <w:tc>
          <w:tcPr>
            <w:tcW w:type="dxa" w:w="3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MRR, client count, key wins, blockers, next month targets</w:t>
            </w:r>
          </w:p>
        </w:tc>
      </w:tr>
      <w:tr>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Quarterly milestone review</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Quarterly</w:t>
            </w:r>
          </w:p>
        </w:tc>
        <w:tc>
          <w:tcPr>
            <w:tcW w:type="dxa" w:w="2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All stakeholders</w:t>
            </w:r>
          </w:p>
        </w:tc>
        <w:tc>
          <w:tcPr>
            <w:tcW w:type="dxa" w:w="33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Full project health check against plan — timeline, budget, risks</w:t>
            </w:r>
          </w:p>
        </w:tc>
      </w:tr>
      <w:tr>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Pilot firm feedback session</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Bi-weekly</w:t>
            </w:r>
          </w:p>
        </w:tc>
        <w:tc>
          <w:tcPr>
            <w:tcW w:type="dxa" w:w="2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Pilot law firms</w:t>
            </w:r>
          </w:p>
        </w:tc>
        <w:tc>
          <w:tcPr>
            <w:tcW w:type="dxa" w:w="33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Feature feedback, bug reports, usability issues, wishlist</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7.2 Project Tracking Tools</w:t>
      </w:r>
    </w:p>
    <w:p>
      <w:pPr>
        <w:pStyle w:val="ListParagraph"/>
        <w:numPr>
          <w:ilvl w:val="0"/>
          <w:numId w:val="2"/>
        </w:numPr>
        <w:spacing w:before="60" w:after="60"/>
      </w:pPr>
      <w:r>
        <w:rPr>
          <w:rFonts w:ascii="Arial" w:cs="Arial" w:eastAsia="Arial" w:hAnsi="Arial"/>
          <w:color w:val="2C2C2A"/>
          <w:sz w:val="22"/>
          <w:szCs w:val="22"/>
        </w:rPr>
        <w:t xml:space="preserve">GitHub Issues — all development tasks, bugs, and features tracked as issues</w:t>
      </w:r>
    </w:p>
    <w:p>
      <w:pPr>
        <w:pStyle w:val="ListParagraph"/>
        <w:numPr>
          <w:ilvl w:val="0"/>
          <w:numId w:val="2"/>
        </w:numPr>
        <w:spacing w:before="60" w:after="60"/>
      </w:pPr>
      <w:r>
        <w:rPr>
          <w:rFonts w:ascii="Arial" w:cs="Arial" w:eastAsia="Arial" w:hAnsi="Arial"/>
          <w:color w:val="2C2C2A"/>
          <w:sz w:val="22"/>
          <w:szCs w:val="22"/>
        </w:rPr>
        <w:t xml:space="preserve">GitHub Projects (Kanban board) — sprint planning and progress tracking</w:t>
      </w:r>
    </w:p>
    <w:p>
      <w:pPr>
        <w:pStyle w:val="ListParagraph"/>
        <w:numPr>
          <w:ilvl w:val="0"/>
          <w:numId w:val="2"/>
        </w:numPr>
        <w:spacing w:before="60" w:after="60"/>
      </w:pPr>
      <w:r>
        <w:rPr>
          <w:rFonts w:ascii="Arial" w:cs="Arial" w:eastAsia="Arial" w:hAnsi="Arial"/>
          <w:color w:val="2C2C2A"/>
          <w:sz w:val="22"/>
          <w:szCs w:val="22"/>
        </w:rPr>
        <w:t xml:space="preserve">Notion — project documentation, meeting notes, and decision log</w:t>
      </w:r>
    </w:p>
    <w:p>
      <w:pPr>
        <w:pStyle w:val="ListParagraph"/>
        <w:numPr>
          <w:ilvl w:val="0"/>
          <w:numId w:val="2"/>
        </w:numPr>
        <w:spacing w:before="60" w:after="60"/>
      </w:pPr>
      <w:r>
        <w:rPr>
          <w:rFonts w:ascii="Arial" w:cs="Arial" w:eastAsia="Arial" w:hAnsi="Arial"/>
          <w:color w:val="2C2C2A"/>
          <w:sz w:val="22"/>
          <w:szCs w:val="22"/>
        </w:rPr>
        <w:t xml:space="preserve">Google Sheets — financial tracking, budget vs actuals, client pipeline</w:t>
      </w:r>
    </w:p>
    <w:p>
      <w:pPr>
        <w:pStyle w:val="ListParagraph"/>
        <w:numPr>
          <w:ilvl w:val="0"/>
          <w:numId w:val="2"/>
        </w:numPr>
        <w:spacing w:before="60" w:after="60"/>
      </w:pPr>
      <w:r>
        <w:rPr>
          <w:rFonts w:ascii="Arial" w:cs="Arial" w:eastAsia="Arial" w:hAnsi="Arial"/>
          <w:color w:val="2C2C2A"/>
          <w:sz w:val="22"/>
          <w:szCs w:val="22"/>
        </w:rPr>
        <w:t xml:space="preserve">Slack or WhatsApp — daily communication with advisors and pilot firms</w:t>
      </w:r>
    </w:p>
    <w:p>
      <w:pPr>
        <w:pStyle w:val="ListParagraph"/>
        <w:numPr>
          <w:ilvl w:val="0"/>
          <w:numId w:val="2"/>
        </w:numPr>
        <w:spacing w:before="60" w:after="60"/>
      </w:pPr>
      <w:r>
        <w:rPr>
          <w:rFonts w:ascii="Arial" w:cs="Arial" w:eastAsia="Arial" w:hAnsi="Arial"/>
          <w:color w:val="2C2C2A"/>
          <w:sz w:val="22"/>
          <w:szCs w:val="22"/>
        </w:rPr>
        <w:t xml:space="preserve">Loom — async video updates for investors and remote advisors</w:t>
      </w:r>
    </w:p>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7.3 Change Management</w:t>
      </w:r>
    </w:p>
    <w:p>
      <w:pPr>
        <w:spacing w:before="80" w:after="100"/>
        <w:jc w:val="both"/>
      </w:pPr>
      <w:r>
        <w:rPr>
          <w:rFonts w:ascii="Arial" w:cs="Arial" w:eastAsia="Arial" w:hAnsi="Arial"/>
          <w:color w:val="2C2C2A"/>
          <w:sz w:val="22"/>
          <w:szCs w:val="22"/>
        </w:rPr>
        <w:t xml:space="preserve">Any change to project scope, timeline, or budget that exceeds 10% variance from this plan must follow this process:</w:t>
      </w:r>
    </w:p>
    <w:p>
      <w:pPr>
        <w:spacing w:before="0" w:after="120"/>
      </w:pPr>
      <w:r>
        <w:rPr>
          <w:sz w:val="22"/>
          <w:szCs w:val="22"/>
        </w:rPr>
        <w:t xml:space="preserve"/>
      </w:r>
    </w:p>
    <w:p>
      <w:pPr>
        <w:pStyle w:val="ListParagraph"/>
        <w:numPr>
          <w:ilvl w:val="0"/>
          <w:numId w:val="2"/>
        </w:numPr>
        <w:spacing w:before="60" w:after="60"/>
      </w:pPr>
      <w:r>
        <w:rPr>
          <w:rFonts w:ascii="Arial" w:cs="Arial" w:eastAsia="Arial" w:hAnsi="Arial"/>
          <w:color w:val="2C2C2A"/>
          <w:sz w:val="22"/>
          <w:szCs w:val="22"/>
        </w:rPr>
        <w:t xml:space="preserve">Change request documented in writing with reason, impact analysis, and proposed solution</w:t>
      </w:r>
    </w:p>
    <w:p>
      <w:pPr>
        <w:pStyle w:val="ListParagraph"/>
        <w:numPr>
          <w:ilvl w:val="0"/>
          <w:numId w:val="2"/>
        </w:numPr>
        <w:spacing w:before="60" w:after="60"/>
      </w:pPr>
      <w:r>
        <w:rPr>
          <w:rFonts w:ascii="Arial" w:cs="Arial" w:eastAsia="Arial" w:hAnsi="Arial"/>
          <w:color w:val="2C2C2A"/>
          <w:sz w:val="22"/>
          <w:szCs w:val="22"/>
        </w:rPr>
        <w:t xml:space="preserve">Impact assessed against timeline, budget, and quality — three constraints reviewed simultaneously</w:t>
      </w:r>
    </w:p>
    <w:p>
      <w:pPr>
        <w:pStyle w:val="ListParagraph"/>
        <w:numPr>
          <w:ilvl w:val="0"/>
          <w:numId w:val="2"/>
        </w:numPr>
        <w:spacing w:before="60" w:after="60"/>
      </w:pPr>
      <w:r>
        <w:rPr>
          <w:rFonts w:ascii="Arial" w:cs="Arial" w:eastAsia="Arial" w:hAnsi="Arial"/>
          <w:color w:val="2C2C2A"/>
          <w:sz w:val="22"/>
          <w:szCs w:val="22"/>
        </w:rPr>
        <w:t xml:space="preserve">If change affects investor commitments or seed funding use — investor notification required within 48 hours</w:t>
      </w:r>
    </w:p>
    <w:p>
      <w:pPr>
        <w:pStyle w:val="ListParagraph"/>
        <w:numPr>
          <w:ilvl w:val="0"/>
          <w:numId w:val="2"/>
        </w:numPr>
        <w:spacing w:before="60" w:after="60"/>
      </w:pPr>
      <w:r>
        <w:rPr>
          <w:rFonts w:ascii="Arial" w:cs="Arial" w:eastAsia="Arial" w:hAnsi="Arial"/>
          <w:color w:val="2C2C2A"/>
          <w:sz w:val="22"/>
          <w:szCs w:val="22"/>
        </w:rPr>
        <w:t xml:space="preserve">Approved changes documented in a change log with version number and date</w:t>
      </w:r>
    </w:p>
    <w:p>
      <w:pPr>
        <w:pStyle w:val="ListParagraph"/>
        <w:numPr>
          <w:ilvl w:val="0"/>
          <w:numId w:val="2"/>
        </w:numPr>
        <w:spacing w:before="60" w:after="60"/>
      </w:pPr>
      <w:r>
        <w:rPr>
          <w:rFonts w:ascii="Arial" w:cs="Arial" w:eastAsia="Arial" w:hAnsi="Arial"/>
          <w:color w:val="2C2C2A"/>
          <w:sz w:val="22"/>
          <w:szCs w:val="22"/>
        </w:rPr>
        <w:t xml:space="preserve">This project plan document updated within one week of any approved change</w:t>
      </w:r>
    </w:p>
    <w:p>
      <w:r>
        <w:br w:type="page"/>
      </w:r>
    </w:p>
    <w:p>
      <w:pPr>
        <w:pStyle w:val="Heading1"/>
        <w:shd w:fill="085041" w:val="clear"/>
        <w:spacing w:before="360" w:after="0"/>
        <w:ind w:left="160" w:right="160"/>
      </w:pPr>
      <w:r>
        <w:rPr>
          <w:rFonts w:ascii="Arial" w:cs="Arial" w:eastAsia="Arial" w:hAnsi="Arial"/>
          <w:b/>
          <w:bCs/>
          <w:color w:val="FFFFFF"/>
          <w:sz w:val="34"/>
          <w:szCs w:val="34"/>
        </w:rPr>
        <w:t xml:space="preserve">8. Success Criteria and KPIs</w:t>
      </w:r>
    </w:p>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8.1 Project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40"/>
              <w:bottom w:type="dxa" w:w="160"/>
              <w:right w:type="dxa" w:w="240"/>
            </w:tcMar>
          </w:tcPr>
          <w:p>
            <w:pPr>
              <w:spacing w:after="80"/>
            </w:pPr>
            <w:r>
              <w:rPr>
                <w:rFonts w:ascii="Arial" w:cs="Arial" w:eastAsia="Arial" w:hAnsi="Arial"/>
                <w:b/>
                <w:bCs/>
                <w:color w:val="085041"/>
                <w:sz w:val="22"/>
                <w:szCs w:val="22"/>
              </w:rPr>
              <w:t xml:space="preserve">Definition of Project Success</w:t>
            </w:r>
          </w:p>
          <w:p>
            <w:pPr>
              <w:jc w:val="both"/>
            </w:pPr>
            <w:r>
              <w:rPr>
                <w:rFonts w:ascii="Arial" w:cs="Arial" w:eastAsia="Arial" w:hAnsi="Arial"/>
                <w:color w:val="085041"/>
                <w:sz w:val="21"/>
                <w:szCs w:val="21"/>
              </w:rPr>
              <w:t xml:space="preserve">URITHI version 1.0 is considered successfully delivered when: the platform is live in production, 3 pilot law firms have completed onboarding, the first paid client conversion has occurred, and the platform is operating without critical bugs for 30 consecutive days.</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8.2 Key Performance Indicators — Tracked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KPI</w:t>
            </w:r>
          </w:p>
        </w:tc>
        <w:tc>
          <w:tcPr>
            <w:tcW w:type="dxa" w:w="15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 3</w:t>
            </w:r>
          </w:p>
        </w:tc>
        <w:tc>
          <w:tcPr>
            <w:tcW w:type="dxa" w:w="15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 6</w:t>
            </w:r>
          </w:p>
        </w:tc>
        <w:tc>
          <w:tcPr>
            <w:tcW w:type="dxa" w:w="150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 9</w:t>
            </w:r>
          </w:p>
        </w:tc>
        <w:tc>
          <w:tcPr>
            <w:tcW w:type="dxa" w:w="1860"/>
            <w:tcBorders>
              <w:top w:val="single" w:color="D3D1C7" w:sz="1"/>
              <w:left w:val="single" w:color="D3D1C7" w:sz="1"/>
              <w:bottom w:val="single" w:color="D3D1C7" w:sz="1"/>
              <w:right w:val="single" w:color="D3D1C7" w:sz="1"/>
            </w:tcBorders>
            <w:shd w:fill="085041" w:val="clear"/>
            <w:tcMar>
              <w:top w:type="dxa" w:w="100"/>
              <w:left w:type="dxa" w:w="120"/>
              <w:bottom w:type="dxa" w:w="100"/>
              <w:right w:type="dxa" w:w="120"/>
            </w:tcMar>
          </w:tcPr>
          <w:p>
            <w:r>
              <w:rPr>
                <w:rFonts w:ascii="Arial" w:cs="Arial" w:eastAsia="Arial" w:hAnsi="Arial"/>
                <w:b/>
                <w:bCs/>
                <w:color w:val="FFFFFF"/>
                <w:sz w:val="20"/>
                <w:szCs w:val="20"/>
              </w:rPr>
              <w:t xml:space="preserve">Month 12</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Paying clients</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0 (pilot)</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7</w:t>
            </w:r>
          </w:p>
        </w:tc>
        <w:tc>
          <w:tcPr>
            <w:tcW w:type="dxa" w:w="18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10</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Monthly recurring revenue (MRR)</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0</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4.5M</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10.5M</w:t>
            </w:r>
          </w:p>
        </w:tc>
        <w:tc>
          <w:tcPr>
            <w:tcW w:type="dxa" w:w="18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14.7M</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Active trusts on platform</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5 (pilot)</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30</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80</w:t>
            </w:r>
          </w:p>
        </w:tc>
        <w:tc>
          <w:tcPr>
            <w:tcW w:type="dxa" w:w="18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120</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Distributions processed (UGX)</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5M</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80M</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350M</w:t>
            </w:r>
          </w:p>
        </w:tc>
        <w:tc>
          <w:tcPr>
            <w:tcW w:type="dxa" w:w="18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UGX 600M</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API uptime</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99%</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99.5%</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99.9%</w:t>
            </w:r>
          </w:p>
        </w:tc>
        <w:tc>
          <w:tcPr>
            <w:tcW w:type="dxa" w:w="18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99.9%</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Monthly churn rate</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&lt; 5%</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&lt; 3%</w:t>
            </w:r>
          </w:p>
        </w:tc>
        <w:tc>
          <w:tcPr>
            <w:tcW w:type="dxa" w:w="18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&lt; 2%</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Net Promoter Score (NPS)</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50+</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60+</w:t>
            </w:r>
          </w:p>
        </w:tc>
        <w:tc>
          <w:tcPr>
            <w:tcW w:type="dxa" w:w="18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65+</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Website monthly visitors</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200</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700</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1,500</w:t>
            </w:r>
          </w:p>
        </w:tc>
        <w:tc>
          <w:tcPr>
            <w:tcW w:type="dxa" w:w="18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2,000</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Demo conversion rate</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30%</w:t>
            </w:r>
          </w:p>
        </w:tc>
        <w:tc>
          <w:tcPr>
            <w:tcW w:type="dxa" w:w="150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28%</w:t>
            </w:r>
          </w:p>
        </w:tc>
        <w:tc>
          <w:tcPr>
            <w:tcW w:type="dxa" w:w="1860"/>
            <w:tcBorders>
              <w:top w:val="single" w:color="D3D1C7" w:sz="1"/>
              <w:left w:val="single" w:color="D3D1C7" w:sz="1"/>
              <w:bottom w:val="single" w:color="D3D1C7" w:sz="1"/>
              <w:right w:val="single" w:color="D3D1C7" w:sz="1"/>
            </w:tcBorders>
            <w:shd w:fill="FFFFFF" w:val="clear"/>
            <w:tcMar>
              <w:top w:type="dxa" w:w="90"/>
              <w:left w:type="dxa" w:w="120"/>
              <w:bottom w:type="dxa" w:w="90"/>
              <w:right w:type="dxa" w:w="120"/>
            </w:tcMar>
          </w:tcPr>
          <w:p>
            <w:r>
              <w:rPr>
                <w:rFonts w:ascii="Arial" w:cs="Arial" w:eastAsia="Arial" w:hAnsi="Arial"/>
                <w:b w:val="false"/>
                <w:bCs w:val="false"/>
                <w:color w:val="2C2C2A"/>
                <w:sz w:val="20"/>
                <w:szCs w:val="20"/>
              </w:rPr>
              <w:t xml:space="preserve">25%</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Critical bugs in production</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0</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0</w:t>
            </w:r>
          </w:p>
        </w:tc>
        <w:tc>
          <w:tcPr>
            <w:tcW w:type="dxa" w:w="150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0</w:t>
            </w:r>
          </w:p>
        </w:tc>
        <w:tc>
          <w:tcPr>
            <w:tcW w:type="dxa" w:w="1860"/>
            <w:tcBorders>
              <w:top w:val="single" w:color="D3D1C7" w:sz="1"/>
              <w:left w:val="single" w:color="D3D1C7" w:sz="1"/>
              <w:bottom w:val="single" w:color="D3D1C7" w:sz="1"/>
              <w:right w:val="single" w:color="D3D1C7" w:sz="1"/>
            </w:tcBorders>
            <w:shd w:fill="F1EFE8" w:val="clear"/>
            <w:tcMar>
              <w:top w:type="dxa" w:w="90"/>
              <w:left w:type="dxa" w:w="120"/>
              <w:bottom w:type="dxa" w:w="90"/>
              <w:right w:type="dxa" w:w="120"/>
            </w:tcMar>
          </w:tcPr>
          <w:p>
            <w:r>
              <w:rPr>
                <w:rFonts w:ascii="Arial" w:cs="Arial" w:eastAsia="Arial" w:hAnsi="Arial"/>
                <w:b w:val="false"/>
                <w:bCs w:val="false"/>
                <w:color w:val="2C2C2A"/>
                <w:sz w:val="20"/>
                <w:szCs w:val="20"/>
              </w:rPr>
              <w:t xml:space="preserve">0</w:t>
            </w:r>
          </w:p>
        </w:tc>
      </w:tr>
    </w:tbl>
    <w:p>
      <w:pPr>
        <w:spacing w:before="0" w:after="120"/>
      </w:pPr>
      <w:r>
        <w:rPr>
          <w:sz w:val="22"/>
          <w:szCs w:val="22"/>
        </w:rPr>
        <w:t xml:space="preserve"/>
      </w:r>
    </w:p>
    <w:p>
      <w:pPr>
        <w:pStyle w:val="Heading2"/>
        <w:pBdr>
          <w:bottom w:val="single" w:color="085041" w:sz="4"/>
        </w:pBdr>
        <w:spacing w:before="280" w:after="140"/>
      </w:pPr>
      <w:r>
        <w:rPr>
          <w:rFonts w:ascii="Arial" w:cs="Arial" w:eastAsia="Arial" w:hAnsi="Arial"/>
          <w:b/>
          <w:bCs/>
          <w:color w:val="085041"/>
          <w:sz w:val="26"/>
          <w:szCs w:val="26"/>
        </w:rPr>
        <w:t xml:space="preserve">8.3 Technical Quality Gates</w:t>
      </w:r>
    </w:p>
    <w:p>
      <w:pPr>
        <w:spacing w:before="80" w:after="100"/>
        <w:jc w:val="both"/>
      </w:pPr>
      <w:r>
        <w:rPr>
          <w:rFonts w:ascii="Arial" w:cs="Arial" w:eastAsia="Arial" w:hAnsi="Arial"/>
          <w:color w:val="2C2C2A"/>
          <w:sz w:val="22"/>
          <w:szCs w:val="22"/>
        </w:rPr>
        <w:t xml:space="preserve">Before any deployment to production, the following quality gates must all pass:</w:t>
      </w:r>
    </w:p>
    <w:p>
      <w:pPr>
        <w:spacing w:before="0" w:after="120"/>
      </w:pPr>
      <w:r>
        <w:rPr>
          <w:sz w:val="22"/>
          <w:szCs w:val="22"/>
        </w:rPr>
        <w:t xml:space="preserve"/>
      </w:r>
    </w:p>
    <w:p>
      <w:pPr>
        <w:pStyle w:val="ListParagraph"/>
        <w:numPr>
          <w:ilvl w:val="0"/>
          <w:numId w:val="2"/>
        </w:numPr>
        <w:spacing w:before="60" w:after="60"/>
      </w:pPr>
      <w:r>
        <w:rPr>
          <w:rFonts w:ascii="Arial" w:cs="Arial" w:eastAsia="Arial" w:hAnsi="Arial"/>
          <w:color w:val="2C2C2A"/>
          <w:sz w:val="22"/>
          <w:szCs w:val="22"/>
        </w:rPr>
        <w:t xml:space="preserve">All automated tests passing (pytest, Vitest, Playwright) — zero failures</w:t>
      </w:r>
    </w:p>
    <w:p>
      <w:pPr>
        <w:pStyle w:val="ListParagraph"/>
        <w:numPr>
          <w:ilvl w:val="0"/>
          <w:numId w:val="2"/>
        </w:numPr>
        <w:spacing w:before="60" w:after="60"/>
      </w:pPr>
      <w:r>
        <w:rPr>
          <w:rFonts w:ascii="Arial" w:cs="Arial" w:eastAsia="Arial" w:hAnsi="Arial"/>
          <w:color w:val="2C2C2A"/>
          <w:sz w:val="22"/>
          <w:szCs w:val="22"/>
        </w:rPr>
        <w:t xml:space="preserve">Code coverage above 80% for backend services</w:t>
      </w:r>
    </w:p>
    <w:p>
      <w:pPr>
        <w:pStyle w:val="ListParagraph"/>
        <w:numPr>
          <w:ilvl w:val="0"/>
          <w:numId w:val="2"/>
        </w:numPr>
        <w:spacing w:before="60" w:after="60"/>
      </w:pPr>
      <w:r>
        <w:rPr>
          <w:rFonts w:ascii="Arial" w:cs="Arial" w:eastAsia="Arial" w:hAnsi="Arial"/>
          <w:color w:val="2C2C2A"/>
          <w:sz w:val="22"/>
          <w:szCs w:val="22"/>
        </w:rPr>
        <w:t xml:space="preserve">No critical or high severity security vulnerabilities from latest scan</w:t>
      </w:r>
    </w:p>
    <w:p>
      <w:pPr>
        <w:pStyle w:val="ListParagraph"/>
        <w:numPr>
          <w:ilvl w:val="0"/>
          <w:numId w:val="2"/>
        </w:numPr>
        <w:spacing w:before="60" w:after="60"/>
      </w:pPr>
      <w:r>
        <w:rPr>
          <w:rFonts w:ascii="Arial" w:cs="Arial" w:eastAsia="Arial" w:hAnsi="Arial"/>
          <w:color w:val="2C2C2A"/>
          <w:sz w:val="22"/>
          <w:szCs w:val="22"/>
        </w:rPr>
        <w:t xml:space="preserve">API response time below 500ms at 95th percentile under load test</w:t>
      </w:r>
    </w:p>
    <w:p>
      <w:pPr>
        <w:pStyle w:val="ListParagraph"/>
        <w:numPr>
          <w:ilvl w:val="0"/>
          <w:numId w:val="2"/>
        </w:numPr>
        <w:spacing w:before="60" w:after="60"/>
      </w:pPr>
      <w:r>
        <w:rPr>
          <w:rFonts w:ascii="Arial" w:cs="Arial" w:eastAsia="Arial" w:hAnsi="Arial"/>
          <w:color w:val="2C2C2A"/>
          <w:sz w:val="22"/>
          <w:szCs w:val="22"/>
        </w:rPr>
        <w:t xml:space="preserve">Mobile app startup time below 3 seconds on mid-range Android device</w:t>
      </w:r>
    </w:p>
    <w:p>
      <w:pPr>
        <w:pStyle w:val="ListParagraph"/>
        <w:numPr>
          <w:ilvl w:val="0"/>
          <w:numId w:val="2"/>
        </w:numPr>
        <w:spacing w:before="60" w:after="60"/>
      </w:pPr>
      <w:r>
        <w:rPr>
          <w:rFonts w:ascii="Arial" w:cs="Arial" w:eastAsia="Arial" w:hAnsi="Arial"/>
          <w:color w:val="2C2C2A"/>
          <w:sz w:val="22"/>
          <w:szCs w:val="22"/>
        </w:rPr>
        <w:t xml:space="preserve">All environment variables verified correct for production</w:t>
      </w:r>
    </w:p>
    <w:p>
      <w:pPr>
        <w:pStyle w:val="ListParagraph"/>
        <w:numPr>
          <w:ilvl w:val="0"/>
          <w:numId w:val="2"/>
        </w:numPr>
        <w:spacing w:before="60" w:after="60"/>
      </w:pPr>
      <w:r>
        <w:rPr>
          <w:rFonts w:ascii="Arial" w:cs="Arial" w:eastAsia="Arial" w:hAnsi="Arial"/>
          <w:color w:val="2C2C2A"/>
          <w:sz w:val="22"/>
          <w:szCs w:val="22"/>
        </w:rPr>
        <w:t xml:space="preserve">Database migration scripts tested and rolled back successfully on staging</w:t>
      </w:r>
    </w:p>
    <w:p>
      <w:pPr>
        <w:pStyle w:val="ListParagraph"/>
        <w:numPr>
          <w:ilvl w:val="0"/>
          <w:numId w:val="2"/>
        </w:numPr>
        <w:spacing w:before="60" w:after="60"/>
      </w:pPr>
      <w:r>
        <w:rPr>
          <w:rFonts w:ascii="Arial" w:cs="Arial" w:eastAsia="Arial" w:hAnsi="Arial"/>
          <w:color w:val="2C2C2A"/>
          <w:sz w:val="22"/>
          <w:szCs w:val="22"/>
        </w:rPr>
        <w:t xml:space="preserve">Backup and restore procedure verified within last 7 days</w:t>
      </w:r>
    </w:p>
    <w:p>
      <w:pPr>
        <w:spacing w:before="0" w:after="120"/>
      </w:pPr>
      <w:r>
        <w:rPr>
          <w:sz w:val="22"/>
          <w:szCs w:val="22"/>
        </w:rPr>
        <w:t xml:space="preserve"/>
      </w:r>
    </w:p>
    <w:p>
      <w:pPr>
        <w:spacing w:before="480" w:after="200"/>
        <w:jc w:val="center"/>
      </w:pPr>
      <w:r>
        <w:rPr>
          <w:rFonts w:ascii="Arial" w:cs="Arial" w:eastAsia="Arial" w:hAnsi="Arial"/>
          <w:color w:val="D3D1C7"/>
          <w:sz w:val="16"/>
          <w:szCs w:val="16"/>
        </w:rPr>
        <w:t xml:space="preserve">________________________________________________________________________________</w:t>
      </w:r>
    </w:p>
    <w:p>
      <w:pPr>
        <w:spacing w:after="80"/>
        <w:jc w:val="center"/>
      </w:pPr>
      <w:r>
        <w:rPr>
          <w:rFonts w:ascii="Arial" w:cs="Arial" w:eastAsia="Arial" w:hAnsi="Arial"/>
          <w:b/>
          <w:bCs/>
          <w:color w:val="085041"/>
          <w:sz w:val="20"/>
          <w:szCs w:val="20"/>
        </w:rPr>
        <w:t xml:space="preserve">URITHI Technologies Limited  |  Project Plan v1.0  |  April 2026</w:t>
      </w:r>
    </w:p>
    <w:p>
      <w:pPr>
        <w:spacing w:after="80"/>
        <w:jc w:val="center"/>
      </w:pPr>
      <w:r>
        <w:rPr>
          <w:rFonts w:ascii="Arial" w:cs="Arial" w:eastAsia="Arial" w:hAnsi="Arial"/>
          <w:color w:val="888780"/>
          <w:sz w:val="18"/>
          <w:szCs w:val="18"/>
        </w:rPr>
        <w:t xml:space="preserve">urithi.io  |  jaja@urithi.io  |  Kampala, Uganda</w:t>
      </w:r>
    </w:p>
    <w:p>
      <w:pPr>
        <w:jc w:val="center"/>
      </w:pPr>
      <w:r>
        <w:rPr>
          <w:rFonts w:ascii="Arial" w:cs="Arial" w:eastAsia="Arial" w:hAnsi="Arial"/>
          <w:i/>
          <w:iCs/>
          <w:color w:val="888780"/>
          <w:sz w:val="16"/>
          <w:szCs w:val="16"/>
        </w:rPr>
        <w:t xml:space="preserve">Confidential — Do not distribute without written permission</w:t>
      </w:r>
    </w:p>
    <w:sectPr>
      <w:headerReference w:type="default" r:id="rId6"/>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pBdr>
      <w:spacing w:before="120"/>
      <w:jc w:val="center"/>
    </w:pPr>
    <w:r>
      <w:rPr>
        <w:rFonts w:ascii="Arial" w:cs="Arial" w:eastAsia="Arial" w:hAnsi="Arial"/>
        <w:color w:val="888780"/>
        <w:sz w:val="16"/>
        <w:szCs w:val="16"/>
      </w:rPr>
      <w:t xml:space="preserve">URITHI Technologies Limited  |  Kampala, Uganda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of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5041" w:sz="6"/>
      </w:pBdr>
      <w:spacing w:after="160"/>
    </w:pPr>
    <w:r>
      <w:rPr>
        <w:rFonts w:ascii="Arial" w:cs="Arial" w:eastAsia="Arial" w:hAnsi="Arial"/>
        <w:b/>
        <w:bCs/>
        <w:color w:val="085041"/>
        <w:sz w:val="18"/>
        <w:szCs w:val="18"/>
      </w:rPr>
      <w:t xml:space="preserve">URITHI</w:t>
    </w:r>
    <w:r>
      <w:rPr>
        <w:rFonts w:ascii="Arial" w:cs="Arial" w:eastAsia="Arial" w:hAnsi="Arial"/>
        <w:color w:val="888780"/>
        <w:sz w:val="18"/>
        <w:szCs w:val="18"/>
      </w:rPr>
      <w:t xml:space="preserve">  |  Application Project Plan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0"/>
      <w:outlineLvl w:val="0"/>
    </w:pPr>
    <w:rPr>
      <w:rFonts w:ascii="Arial" w:cs="Arial" w:eastAsia="Arial" w:hAnsi="Arial"/>
      <w:b/>
      <w:bCs/>
      <w:color w:val="FFFFFF"/>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085041"/>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2026-04-01T08:11:40.553Z</dcterms:created>
  <dcterms:modified xsi:type="dcterms:W3CDTF">2026-04-01T08:11:40.555Z</dcterms:modified>
</cp:coreProperties>
</file>

<file path=docProps/custom.xml><?xml version="1.0" encoding="utf-8"?>
<Properties xmlns="http://schemas.openxmlformats.org/officeDocument/2006/custom-properties" xmlns:vt="http://schemas.openxmlformats.org/officeDocument/2006/docPropsVTypes"/>
</file>