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CLAUDE CODE OPERATOR GUIDE</w:t>
      </w:r>
    </w:p>
    <w:p>
      <w:pPr>
        <w:spacing w:after="160"/>
        <w:jc w:val="center"/>
      </w:pPr>
      <w:r>
        <w:rPr>
          <w:rFonts w:ascii="Calibri" w:hAnsi="Calibri"/>
          <w:b/>
          <w:color w:val="1F4D78"/>
          <w:sz w:val="60"/>
        </w:rPr>
        <w:t>Scalvya + Mellowa</w:t>
      </w:r>
    </w:p>
    <w:p>
      <w:pPr>
        <w:spacing w:after="520"/>
        <w:jc w:val="center"/>
      </w:pPr>
      <w:r>
        <w:rPr>
          <w:rFonts w:ascii="Calibri" w:hAnsi="Calibri"/>
          <w:b w:val="0"/>
          <w:color w:val="2E74B5"/>
          <w:sz w:val="32"/>
        </w:rPr>
        <w:t>Final Launch-Hardening Prompt Pack</w:t>
      </w:r>
    </w:p>
    <w:p>
      <w:pPr>
        <w:spacing w:after="1440"/>
        <w:jc w:val="center"/>
      </w:pPr>
      <w:r>
        <w:rPr>
          <w:rFonts w:ascii="Calibri" w:hAnsi="Calibri"/>
          <w:i/>
          <w:color w:val="5B6573"/>
          <w:sz w:val="22"/>
        </w:rPr>
        <w:t>Exact implementation, verification, release-evidence and capped-beta prompts</w:t>
      </w:r>
    </w:p>
    <w:p>
      <w:pPr>
        <w:jc w:val="center"/>
      </w:pPr>
      <w:r>
        <w:rPr>
          <w:rFonts w:ascii="Calibri" w:hAnsi="Calibri"/>
          <w:b/>
          <w:color w:val="1F4D78"/>
          <w:sz w:val="22"/>
        </w:rPr>
        <w:t>Audit baseline: 3 August 2026</w:t>
      </w:r>
    </w:p>
    <w:p>
      <w:pPr>
        <w:jc w:val="center"/>
      </w:pPr>
      <w:r>
        <w:rPr>
          <w:rFonts w:ascii="Calibri" w:hAnsi="Calibri"/>
          <w:color w:val="5B6573"/>
          <w:sz w:val="19"/>
        </w:rPr>
        <w:t>LaunchBloom / Scalvya reviewed at fb67e9b  |  Mellowa reviewed at b12f92e</w:t>
      </w:r>
    </w:p>
    <w:p>
      <w:r>
        <w:br w:type="page"/>
      </w:r>
    </w:p>
    <w:p>
      <w:pPr>
        <w:pStyle w:val="Heading1"/>
        <w:keepNext/>
      </w:pPr>
      <w:r>
        <w:t>How to use this document</w:t>
      </w:r>
    </w:p>
    <w:p>
      <w:r>
        <w:rPr>
          <w:rFonts w:ascii="Calibri" w:hAnsi="Calibri"/>
          <w:color w:val="1F2937"/>
          <w:sz w:val="22"/>
        </w:rPr>
        <w:t>Run the prompts in order. Start a fresh Claude Code context for each prompt, paste the complete block from BEGIN PROMPT to END PROMPT, and do not proceed until its acceptance criteria are met.</w:t>
      </w:r>
    </w:p>
    <w:p>
      <w:pPr>
        <w:pStyle w:val="ListBullet"/>
      </w:pPr>
      <w:r>
        <w:rPr>
          <w:rFonts w:ascii="Calibri" w:hAnsi="Calibri"/>
          <w:color w:val="1F2937"/>
          <w:sz w:val="22"/>
        </w:rPr>
        <w:t>Use a dedicated hardening branch in each repository. Never work directly on production or rewrite unrelated user changes.</w:t>
      </w:r>
    </w:p>
    <w:p>
      <w:pPr>
        <w:pStyle w:val="ListBullet"/>
      </w:pPr>
      <w:r>
        <w:rPr>
          <w:rFonts w:ascii="Calibri" w:hAnsi="Calibri"/>
          <w:color w:val="1F2937"/>
          <w:sz w:val="22"/>
        </w:rPr>
        <w:t>One prompt should produce one coherent commit. Review the diff and test output before running the next prompt.</w:t>
      </w:r>
    </w:p>
    <w:p>
      <w:pPr>
        <w:pStyle w:val="ListBullet"/>
      </w:pPr>
      <w:r>
        <w:rPr>
          <w:rFonts w:ascii="Calibri" w:hAnsi="Calibri"/>
          <w:color w:val="1F2937"/>
          <w:sz w:val="22"/>
        </w:rPr>
        <w:t>Claude must inspect existing architecture and tests before editing. The file lists below are starting points, not permission to replace working systems.</w:t>
      </w:r>
    </w:p>
    <w:p>
      <w:pPr>
        <w:pStyle w:val="ListBullet"/>
      </w:pPr>
      <w:r>
        <w:rPr>
          <w:rFonts w:ascii="Calibri" w:hAnsi="Calibri"/>
          <w:color w:val="1F2937"/>
          <w:sz w:val="22"/>
        </w:rPr>
        <w:t>A green unit-test count is not enough. Every prompt includes behavior-level acceptance criteria and release-evidence rules.</w:t>
      </w:r>
    </w:p>
    <w:p>
      <w:pPr>
        <w:pStyle w:val="ListBullet"/>
      </w:pPr>
      <w:r>
        <w:rPr>
          <w:rFonts w:ascii="Calibri" w:hAnsi="Calibri"/>
          <w:color w:val="1F2937"/>
          <w:sz w:val="22"/>
        </w:rPr>
        <w:t>Owner-only prompts require real credentials or production access. Claude must pause before any deploy, migration, Stripe mutation, Supabase mutation, or live-money action.</w:t>
      </w:r>
    </w:p>
    <w:p>
      <w:pPr>
        <w:pStyle w:val="ListBullet"/>
      </w:pPr>
      <w:r>
        <w:rPr>
          <w:rFonts w:ascii="Calibri" w:hAnsi="Calibri"/>
          <w:color w:val="1F2937"/>
          <w:sz w:val="22"/>
        </w:rPr>
        <w:t>Do not mark a blocked check as passed. Use BLOCKED, NOT RUN, FAILED, PASSED LOCALLY, PASSED IN CI, PASSED IN PREVIEW, or OBSERVED IN PRODUCTION truthfully.</w:t>
      </w:r>
    </w:p>
    <w:p>
      <w:pPr>
        <w:pStyle w:val="Callout"/>
      </w:pPr>
      <w:r>
        <w:rPr>
          <w:rFonts w:ascii="Calibri" w:hAnsi="Calibri"/>
          <w:b/>
          <w:color w:val="B42318"/>
          <w:sz w:val="21"/>
        </w:rPr>
        <w:t xml:space="preserve">Important: </w:t>
      </w:r>
      <w:r>
        <w:rPr>
          <w:rFonts w:ascii="Calibri" w:hAnsi="Calibri"/>
          <w:color w:val="1F2937"/>
          <w:sz w:val="21"/>
        </w:rPr>
        <w:t>The reviewed SHAs are anchors, not permanent truth. Every prompt must fetch the latest main branch and report drift before changing code. If product code moved after the audited SHA, Claude must reassess affected assumptions.</w:t>
      </w:r>
    </w:p>
    <w:p>
      <w:pPr>
        <w:pStyle w:val="Heading1"/>
        <w:keepNext/>
      </w:pPr>
      <w:r>
        <w:t>Launch decision summary</w:t>
      </w:r>
    </w:p>
    <w:tbl>
      <w:tblPr>
        <w:tblW w:type="dxa" w:w="9360"/>
        <w:jc w:val="left"/>
        <w:tblLayout w:type="fixed"/>
        <w:tblLook w:firstColumn="1" w:firstRow="1" w:lastColumn="0" w:lastRow="0" w:noHBand="0" w:noVBand="1" w:val="04A0"/>
        <w:tblInd w:w="120" w:type="dxa"/>
        <w:tblBorders>
          <w:top w:val="single" w:sz="6" w:color="D5DAE1"/>
          <w:left w:val="single" w:sz="6" w:color="D5DAE1"/>
          <w:bottom w:val="single" w:sz="6" w:color="D5DAE1"/>
          <w:right w:val="single" w:sz="6" w:color="D5DAE1"/>
          <w:insideH w:val="single" w:sz="6" w:color="D5DAE1"/>
          <w:insideV w:val="single" w:sz="6" w:color="D5DAE1"/>
        </w:tblBorders>
      </w:tblPr>
      <w:tblGrid>
        <w:gridCol w:w="1350"/>
        <w:gridCol w:w="2700"/>
        <w:gridCol w:w="2700"/>
        <w:gridCol w:w="2610"/>
      </w:tblGrid>
      <w:tr>
        <w:trPr>
          <w:tblHeader w:val="true"/>
        </w:trPr>
        <w:tc>
          <w:tcPr>
            <w:tcW w:type="dxa" w:w="1350"/>
            <w:shd w:fill="E8EEF5"/>
            <w:vAlign w:val="center"/>
            <w:tcMar>
              <w:top w:w="80" w:type="dxa"/>
              <w:start w:w="120" w:type="dxa"/>
              <w:bottom w:w="80" w:type="dxa"/>
              <w:end w:w="120" w:type="dxa"/>
            </w:tcMar>
          </w:tcPr>
          <w:p>
            <w:r>
              <w:rPr>
                <w:rFonts w:ascii="Calibri" w:hAnsi="Calibri"/>
                <w:b/>
                <w:color w:val="1F4D78"/>
                <w:sz w:val="19"/>
              </w:rPr>
              <w:t>App</w:t>
            </w:r>
          </w:p>
        </w:tc>
        <w:tc>
          <w:tcPr>
            <w:tcW w:type="dxa" w:w="2700"/>
            <w:shd w:fill="E8EEF5"/>
            <w:vAlign w:val="center"/>
            <w:tcMar>
              <w:top w:w="80" w:type="dxa"/>
              <w:start w:w="120" w:type="dxa"/>
              <w:bottom w:w="80" w:type="dxa"/>
              <w:end w:w="120" w:type="dxa"/>
            </w:tcMar>
          </w:tcPr>
          <w:p>
            <w:r>
              <w:rPr>
                <w:rFonts w:ascii="Calibri" w:hAnsi="Calibri"/>
                <w:b/>
                <w:color w:val="1F4D78"/>
                <w:sz w:val="19"/>
              </w:rPr>
              <w:t>Current position</w:t>
            </w:r>
          </w:p>
        </w:tc>
        <w:tc>
          <w:tcPr>
            <w:tcW w:type="dxa" w:w="2700"/>
            <w:shd w:fill="E8EEF5"/>
            <w:vAlign w:val="center"/>
            <w:tcMar>
              <w:top w:w="80" w:type="dxa"/>
              <w:start w:w="120" w:type="dxa"/>
              <w:bottom w:w="80" w:type="dxa"/>
              <w:end w:w="120" w:type="dxa"/>
            </w:tcMar>
          </w:tcPr>
          <w:p>
            <w:r>
              <w:rPr>
                <w:rFonts w:ascii="Calibri" w:hAnsi="Calibri"/>
                <w:b/>
                <w:color w:val="1F4D78"/>
                <w:sz w:val="19"/>
              </w:rPr>
              <w:t>Capped beta requirement</w:t>
            </w:r>
          </w:p>
        </w:tc>
        <w:tc>
          <w:tcPr>
            <w:tcW w:type="dxa" w:w="2610"/>
            <w:shd w:fill="E8EEF5"/>
            <w:vAlign w:val="center"/>
            <w:tcMar>
              <w:top w:w="80" w:type="dxa"/>
              <w:start w:w="120" w:type="dxa"/>
              <w:bottom w:w="80" w:type="dxa"/>
              <w:end w:w="120" w:type="dxa"/>
            </w:tcMar>
          </w:tcPr>
          <w:p>
            <w:r>
              <w:rPr>
                <w:rFonts w:ascii="Calibri" w:hAnsi="Calibri"/>
                <w:b/>
                <w:color w:val="1F4D78"/>
                <w:sz w:val="19"/>
              </w:rPr>
              <w:t>Public paid requirement</w:t>
            </w:r>
          </w:p>
        </w:tc>
      </w:tr>
      <w:tr>
        <w:tc>
          <w:tcPr>
            <w:tcW w:type="dxa" w:w="1350"/>
            <w:vAlign w:val="top"/>
            <w:tcMar>
              <w:top w:w="80" w:type="dxa"/>
              <w:start w:w="120" w:type="dxa"/>
              <w:bottom w:w="80" w:type="dxa"/>
              <w:end w:w="120" w:type="dxa"/>
            </w:tcMar>
          </w:tcPr>
          <w:p>
            <w:r>
              <w:rPr>
                <w:rFonts w:ascii="Calibri" w:hAnsi="Calibri"/>
                <w:color w:val="1F2937"/>
                <w:sz w:val="18"/>
              </w:rPr>
              <w:t>Scalvya</w:t>
            </w:r>
          </w:p>
        </w:tc>
        <w:tc>
          <w:tcPr>
            <w:tcW w:type="dxa" w:w="2700"/>
            <w:vAlign w:val="top"/>
            <w:tcMar>
              <w:top w:w="80" w:type="dxa"/>
              <w:start w:w="120" w:type="dxa"/>
              <w:bottom w:w="80" w:type="dxa"/>
              <w:end w:w="120" w:type="dxa"/>
            </w:tcMar>
          </w:tcPr>
          <w:p>
            <w:r>
              <w:rPr>
                <w:rFonts w:ascii="Calibri" w:hAnsi="Calibri"/>
                <w:color w:val="1F2937"/>
                <w:sz w:val="18"/>
              </w:rPr>
              <w:t>Strong product; release gate says capped-beta GO, but trial-history reads are not fully fail-closed.</w:t>
            </w:r>
          </w:p>
        </w:tc>
        <w:tc>
          <w:tcPr>
            <w:tcW w:type="dxa" w:w="2700"/>
            <w:vAlign w:val="top"/>
            <w:tcMar>
              <w:top w:w="80" w:type="dxa"/>
              <w:start w:w="120" w:type="dxa"/>
              <w:bottom w:w="80" w:type="dxa"/>
              <w:end w:w="120" w:type="dxa"/>
            </w:tcMar>
          </w:tcPr>
          <w:p>
            <w:r>
              <w:rPr>
                <w:rFonts w:ascii="Calibri" w:hAnsi="Calibri"/>
                <w:color w:val="1F2937"/>
                <w:sz w:val="18"/>
              </w:rPr>
              <w:t>Fix billing uncertainty, re-cut candidate, then supervised invite-only beta.</w:t>
            </w:r>
          </w:p>
        </w:tc>
        <w:tc>
          <w:tcPr>
            <w:tcW w:type="dxa" w:w="2610"/>
            <w:vAlign w:val="top"/>
            <w:tcMar>
              <w:top w:w="80" w:type="dxa"/>
              <w:start w:w="120" w:type="dxa"/>
              <w:bottom w:w="80" w:type="dxa"/>
              <w:end w:w="120" w:type="dxa"/>
            </w:tcMar>
          </w:tcPr>
          <w:p>
            <w:r>
              <w:rPr>
                <w:rFonts w:ascii="Calibri" w:hAnsi="Calibri"/>
                <w:color w:val="1F2937"/>
                <w:sz w:val="18"/>
              </w:rPr>
              <w:t>Auth E2E, live billing matrix and router advisory decision on the same candidate.</w:t>
            </w:r>
          </w:p>
        </w:tc>
      </w:tr>
      <w:tr>
        <w:tc>
          <w:tcPr>
            <w:tcW w:type="dxa" w:w="1350"/>
            <w:vAlign w:val="top"/>
            <w:tcMar>
              <w:top w:w="80" w:type="dxa"/>
              <w:start w:w="120" w:type="dxa"/>
              <w:bottom w:w="80" w:type="dxa"/>
              <w:end w:w="120" w:type="dxa"/>
            </w:tcMar>
          </w:tcPr>
          <w:p>
            <w:r>
              <w:rPr>
                <w:rFonts w:ascii="Calibri" w:hAnsi="Calibri"/>
                <w:color w:val="1F2937"/>
                <w:sz w:val="18"/>
              </w:rPr>
              <w:t>Mellowa</w:t>
            </w:r>
          </w:p>
        </w:tc>
        <w:tc>
          <w:tcPr>
            <w:tcW w:type="dxa" w:w="2700"/>
            <w:vAlign w:val="top"/>
            <w:tcMar>
              <w:top w:w="80" w:type="dxa"/>
              <w:start w:w="120" w:type="dxa"/>
              <w:bottom w:w="80" w:type="dxa"/>
              <w:end w:w="120" w:type="dxa"/>
            </w:tcMar>
          </w:tcPr>
          <w:p>
            <w:r>
              <w:rPr>
                <w:rFonts w:ascii="Calibri" w:hAnsi="Calibri"/>
                <w:color w:val="1F2937"/>
                <w:sz w:val="18"/>
              </w:rPr>
              <w:t>Strong adaptive-day product; pricing truth and release candidate are stale.</w:t>
            </w:r>
          </w:p>
        </w:tc>
        <w:tc>
          <w:tcPr>
            <w:tcW w:type="dxa" w:w="2700"/>
            <w:vAlign w:val="top"/>
            <w:tcMar>
              <w:top w:w="80" w:type="dxa"/>
              <w:start w:w="120" w:type="dxa"/>
              <w:bottom w:w="80" w:type="dxa"/>
              <w:end w:w="120" w:type="dxa"/>
            </w:tcMar>
          </w:tcPr>
          <w:p>
            <w:r>
              <w:rPr>
                <w:rFonts w:ascii="Calibri" w:hAnsi="Calibri"/>
                <w:color w:val="1F2937"/>
                <w:sz w:val="18"/>
              </w:rPr>
              <w:t>Correct all price math/currency surfaces, fail-close billing, re-cut current-head candidate.</w:t>
            </w:r>
          </w:p>
        </w:tc>
        <w:tc>
          <w:tcPr>
            <w:tcW w:type="dxa" w:w="2610"/>
            <w:vAlign w:val="top"/>
            <w:tcMar>
              <w:top w:w="80" w:type="dxa"/>
              <w:start w:w="120" w:type="dxa"/>
              <w:bottom w:w="80" w:type="dxa"/>
              <w:end w:w="120" w:type="dxa"/>
            </w:tcMar>
          </w:tcPr>
          <w:p>
            <w:r>
              <w:rPr>
                <w:rFonts w:ascii="Calibri" w:hAnsi="Calibri"/>
                <w:color w:val="1F2937"/>
                <w:sz w:val="18"/>
              </w:rPr>
              <w:t>Current authenticated matrix, current browser evidence and full production readiness evidence.</w:t>
            </w:r>
          </w:p>
        </w:tc>
      </w:tr>
    </w:tbl>
    <w:p>
      <w:pPr>
        <w:pStyle w:val="Heading1"/>
        <w:keepNext/>
      </w:pPr>
      <w:r>
        <w:t>Universal operating contract</w:t>
      </w:r>
    </w:p>
    <w:p>
      <w:pPr>
        <w:pStyle w:val="Heading2"/>
        <w:keepNext/>
        <w:pageBreakBefore w:val="0"/>
      </w:pPr>
      <w:r>
        <w:t>GLOBAL-00 — Mandatory rules for every following prompt</w:t>
      </w:r>
    </w:p>
    <w:p>
      <w:pPr>
        <w:pStyle w:val="Callout"/>
      </w:pPr>
      <w:r>
        <w:rPr>
          <w:rFonts w:ascii="Calibri" w:hAnsi="Calibri"/>
          <w:b/>
          <w:color w:val="1F4D78"/>
          <w:sz w:val="21"/>
        </w:rPr>
        <w:t xml:space="preserve">Namen: </w:t>
      </w:r>
      <w:r>
        <w:rPr>
          <w:rFonts w:ascii="Calibri" w:hAnsi="Calibri"/>
          <w:color w:val="1F2937"/>
          <w:sz w:val="21"/>
        </w:rPr>
        <w:t>Establish safe working, billing, privacy, testing and evidence behavior for every Claude Code session.</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You are the senior engineer responsible for final launch hardening. Work conservatively and prove every claim.</w:t>
        <w:br/>
        <w:br/>
        <w:t>Repository discipline</w:t>
        <w:br/>
        <w:t>1. Confirm repository name, remote, current branch, exact HEAD SHA and working-tree status.</w:t>
        <w:br/>
        <w:t>2. Fetch the latest default branch. Do not reset, discard or overwrite unrelated work.</w:t>
        <w:br/>
        <w:t>3. If the tree is dirty, report the files and stop before touching overlapping paths.</w:t>
        <w:br/>
        <w:t>4. Create or use a dedicated launch-hardening branch. Never force-push.</w:t>
        <w:br/>
        <w:t>5. Read AGENTS.md, CLAUDE.md, README, package.json and any release/runbook documents relevant to this prompt before editing.</w:t>
        <w:br/>
        <w:br/>
        <w:t>Implementation discipline</w:t>
        <w:br/>
        <w:t>1. Reproduce or prove the defect before changing code.</w:t>
        <w:br/>
        <w:t>2. Identify the canonical source of truth; do not add a second catalog, entitlement model, price table, status vocabulary or release record.</w:t>
        <w:br/>
        <w:t>3. Prefer explicit typed states over null/false ambiguity.</w:t>
        <w:br/>
        <w:t>4. Billing, entitlement, trial eligibility, quota and security checks must fail closed when the system cannot verify state.</w:t>
        <w:br/>
        <w:t>5. Never expose raw provider, Stripe, Supabase or database messages to the client.</w:t>
        <w:br/>
        <w:t>6. Never log full email addresses, journal text, generated campaign content, tokens, secrets, price IDs in public responses, or other unnecessary personal data.</w:t>
        <w:br/>
        <w:t>7. Do not weaken a test to make a failure green. Correct stale assertions and add behavioral regression coverage.</w:t>
        <w:br/>
        <w:t>8. Do not perform broad redesigns or unrelated refactors.</w:t>
        <w:br/>
        <w:br/>
        <w:t>Evidence discipline</w:t>
        <w:br/>
        <w:t>1. Run the exact project lint, typecheck, unit, eval, build and integrity commands requested by the prompt.</w:t>
        <w:br/>
        <w:t>2. Report command, exit code, counts, warnings, skipped tests and environment blockers.</w:t>
        <w:br/>
        <w:t>3. Never reuse evidence from another SHA after product code changes.</w:t>
        <w:br/>
        <w:t>4. Never claim a browser, authenticated, preview, production or live-money pass unless it actually ran in that environment.</w:t>
        <w:br/>
        <w:t>5. Evidence must name the exact full SHA and should be generated, not copied into free-form prose.</w:t>
        <w:br/>
        <w:br/>
        <w:t>Final response format</w:t>
        <w:br/>
        <w:t>- Summary of the defect and root cause.</w:t>
        <w:br/>
        <w:t>- Files changed and why.</w:t>
        <w:br/>
        <w:t>- Tests added or changed.</w:t>
        <w:br/>
        <w:t>- Exact commands and results.</w:t>
        <w:br/>
        <w:t>- Remaining risks or blocked owner actions.</w:t>
        <w:br/>
        <w:t>- Commit SHA for this prompt.</w:t>
        <w:br/>
        <w:t>- Explicit verdict: READY FOR NEXT PROMPT or BLOCKED.</w:t>
        <w:br/>
        <w:br/>
        <w:t>END PROMPT</w:t>
      </w:r>
    </w:p>
    <w:p>
      <w:r>
        <w:br w:type="page"/>
      </w:r>
    </w:p>
    <w:p>
      <w:pPr>
        <w:pStyle w:val="Heading1"/>
        <w:keepNext/>
      </w:pPr>
      <w:r>
        <w:t>Part I — Scalvya / LaunchBloom</w:t>
      </w:r>
    </w:p>
    <w:p>
      <w:r>
        <w:rPr>
          <w:rFonts w:ascii="Calibri" w:hAnsi="Calibri"/>
          <w:color w:val="1F2937"/>
          <w:sz w:val="22"/>
        </w:rPr>
        <w:t>Repository: https://github.com/primocera/LaunchBloom. Product name: Scalvya. Audited HEAD: fb67e9b0bdec1c615d72f865de5fe94dd8d9fa3e. Pinned candidate at audit time: 552318709c04f37f0a455acdd4c734fd5cd31abc.</w:t>
      </w:r>
    </w:p>
    <w:p>
      <w:pPr>
        <w:pStyle w:val="Heading2"/>
        <w:keepNext/>
        <w:pageBreakBefore w:val="0"/>
      </w:pPr>
      <w:r>
        <w:t>SC-01 — Fresh preflight and evidence baseline</w:t>
      </w:r>
    </w:p>
    <w:p>
      <w:pPr>
        <w:pStyle w:val="Callout"/>
      </w:pPr>
      <w:r>
        <w:rPr>
          <w:rFonts w:ascii="Calibri" w:hAnsi="Calibri"/>
          <w:b/>
          <w:color w:val="1F4D78"/>
          <w:sz w:val="21"/>
        </w:rPr>
        <w:t xml:space="preserve">Namen: </w:t>
      </w:r>
      <w:r>
        <w:rPr>
          <w:rFonts w:ascii="Calibri" w:hAnsi="Calibri"/>
          <w:color w:val="1F2937"/>
          <w:sz w:val="21"/>
        </w:rPr>
        <w:t>Re-establish current repository truth before implementing the final fixes.</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w:t>
        <w:br/>
        <w:br/>
        <w:t>Goal</w:t>
        <w:br/>
        <w:t>Create a truthful preflight snapshot before any launch fix. Do not modify product code in this prompt.</w:t>
        <w:br/>
        <w:br/>
        <w:t>Tasks</w:t>
        <w:br/>
        <w:t>1. Confirm remote, default branch, HEAD, audited-SHA ancestry and clean/dirty state.</w:t>
        <w:br/>
        <w:t>2. Read package.json, CLAUDE.md, AGENTS.md if present, docs/launch/launch-state.json, docs/LAUNCH_STATE.md, backend/scripts/launch-state.js, backend/routes/payments.js, backend/routes/customers.js and the billing tests.</w:t>
        <w:br/>
        <w:t>3. Run: npm ci; npm run lint; npm test; npm run build:app; npm run check:app-fresh; npm run test:export; npm run launch:verify; npm run launch:drift; npm run launch:gate; npm audit --omit=dev.</w:t>
        <w:br/>
        <w:t>4. Attempt public Playwright only if the browser is installed. If it is not installed, report BLOCKED; do not convert that into a product failure and do not download binaries without permission.</w:t>
        <w:br/>
        <w:t>5. Produce a short matrix of current passes, failures, blockers, warnings and evidence SHAs.</w:t>
        <w:br/>
        <w:t>6. Search tracked files for obvious live Stripe/Supabase/API secrets. Print filenames only, never secret values. Distinguish examples/tests from real credentials.</w:t>
        <w:br/>
        <w:br/>
        <w:t>Acceptance criteria</w:t>
        <w:br/>
        <w:t>- No product file changes.</w:t>
        <w:br/>
        <w:t>- Every command has an exact result and exit code.</w:t>
        <w:br/>
        <w:t>- The report distinguishes capped-beta and public-paid requirements.</w:t>
        <w:br/>
        <w:t>- Any product-code drift from the pinned candidate is explicitly classified.</w:t>
        <w:br/>
        <w:t>- End with READY FOR SC-02 or BLOCKED, with the concrete reason.</w:t>
        <w:br/>
        <w:br/>
        <w:t>END PROMPT</w:t>
      </w:r>
    </w:p>
    <w:p>
      <w:pPr>
        <w:pStyle w:val="Heading2"/>
        <w:keepNext/>
        <w:pageBreakBefore w:val="0"/>
      </w:pPr>
      <w:r>
        <w:t>SC-02 — Fail-closed trial history and Stripe-customer persistence</w:t>
      </w:r>
    </w:p>
    <w:p>
      <w:pPr>
        <w:pStyle w:val="Callout"/>
      </w:pPr>
      <w:r>
        <w:rPr>
          <w:rFonts w:ascii="Calibri" w:hAnsi="Calibri"/>
          <w:b/>
          <w:color w:val="1F4D78"/>
          <w:sz w:val="21"/>
        </w:rPr>
        <w:t xml:space="preserve">Namen: </w:t>
      </w:r>
      <w:r>
        <w:rPr>
          <w:rFonts w:ascii="Calibri" w:hAnsi="Calibri"/>
          <w:color w:val="1F2937"/>
          <w:sz w:val="21"/>
        </w:rPr>
        <w:t>Close the remaining duplicate-trial and duplicate-customer risk during partial Supabase failure.</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 after SC-01.</w:t>
        <w:br/>
        <w:br/>
        <w:t>Defect</w:t>
        <w:br/>
        <w:t>backend/routes/payments.js treats Supabase read failures inside hadTrialOrActiveSubscription() as verified absence. ensureStripeCustomer() also fails to distinguish no row from read failure and does not verify persistence after creating a Stripe customer. Under partial database failure this can grant a second trial or create an unlinked duplicate Stripe customer.</w:t>
        <w:br/>
        <w:br/>
        <w:t>Required implementation</w:t>
        <w:br/>
        <w:t>1. Reuse the existing EntitlementUnavailableError / readFailed / NO_ROWS semantics from the canonical billing state model. Do not invent incompatible error meanings.</w:t>
        <w:br/>
        <w:t>2. Replace boolean ambiguity in trial-history lookup with an explicit result or a typed throw. Verified no customer and verified zero subscriptions may return eligible; every database/network error must be unavailable.</w:t>
        <w:br/>
        <w:t>3. In create-checkout-session, resolve all billing state required for checkout before creating or mutating anything in Stripe.</w:t>
        <w:br/>
        <w:t>4. On uncertainty, return 503 with a stable code such as BILLING_STATE_UNAVAILABLE, retryable=true, and honest copy: checkout is temporarily unavailable, nothing was charged, workspace/drafts are safe.</w:t>
        <w:br/>
        <w:t>5. Ensure no Stripe Checkout Session and no Stripe customer are created when trial or customer state cannot be verified.</w:t>
        <w:br/>
        <w:t>6. In ensureStripeCustomer(), check the customer read error. After creating a Stripe customer, check the Supabase upsert result. If persistence fails, do not open checkout; log a redacted correlation event and return a stable unavailable response. Do not expose or log full email addresses.</w:t>
        <w:br/>
        <w:t>7. Preserve one-trial-ever behavior for trial_end and active/trialing/past_due history. Preserve verified first-time eligibility.</w:t>
        <w:br/>
        <w:t>8. If a newly created Stripe customer cannot be persisted, document the safe reconciliation path. Do not automatically delete a real Stripe resource unless existing architecture has a proven idempotent compensation mechanism.</w:t>
        <w:br/>
        <w:br/>
        <w:t>Regression tests</w:t>
        <w:br/>
        <w:t>- customer lookup returns a real database error -&gt; 503, zero Stripe customer/session calls.</w:t>
        <w:br/>
        <w:t>- subscription-history lookup returns an error -&gt; 503, zero Stripe customer/session calls.</w:t>
        <w:br/>
        <w:t>- customer does not exist with PostgREST no-row code -&gt; first trial remains eligible.</w:t>
        <w:br/>
        <w:t>- existing customer with no subscriptions -&gt; eligible.</w:t>
        <w:br/>
        <w:t>- trial_end, trialing, active and past_due -&gt; no second trial.</w:t>
        <w:br/>
        <w:t>- Stripe customer persistence upsert fails -&gt; no Checkout Session; stable safe response.</w:t>
        <w:br/>
        <w:t>- logs and responses do not contain the synthetic test email, Supabase raw message or Stripe secret identifiers.</w:t>
        <w:br/>
        <w:br/>
        <w:t>Required checks</w:t>
        <w:br/>
        <w:t>npm run lint</w:t>
        <w:br/>
        <w:t>npm test</w:t>
        <w:br/>
        <w:t>npm run build:app</w:t>
        <w:br/>
        <w:t>npm run check:app-fresh</w:t>
        <w:br/>
        <w:t>npm run test:export</w:t>
        <w:br/>
        <w:br/>
        <w:t>Commit</w:t>
        <w:br/>
        <w:t>Use one focused commit such as: fix(billing): fail closed on trial and customer persistence uncertainty</w:t>
        <w:br/>
        <w:br/>
        <w:t>Do not edit launch verdicts in this prompt. End with READY FOR SC-03 only if all new behavioral tests pass.</w:t>
        <w:br/>
        <w:br/>
        <w:t>END PROMPT</w:t>
      </w:r>
    </w:p>
    <w:p>
      <w:pPr>
        <w:pStyle w:val="Heading2"/>
        <w:keepNext/>
        <w:pageBreakBefore w:val="0"/>
      </w:pPr>
      <w:r>
        <w:t>SC-03 — Billing API privacy and public error contract</w:t>
      </w:r>
    </w:p>
    <w:p>
      <w:pPr>
        <w:pStyle w:val="Callout"/>
      </w:pPr>
      <w:r>
        <w:rPr>
          <w:rFonts w:ascii="Calibri" w:hAnsi="Calibri"/>
          <w:b/>
          <w:color w:val="1F4D78"/>
          <w:sz w:val="21"/>
        </w:rPr>
        <w:t xml:space="preserve">Namen: </w:t>
      </w:r>
      <w:r>
        <w:rPr>
          <w:rFonts w:ascii="Calibri" w:hAnsi="Calibri"/>
          <w:color w:val="1F2937"/>
          <w:sz w:val="21"/>
        </w:rPr>
        <w:t>Remove raw internal error leakage, PII logging and unresolved write-path ambiguity.</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 after SC-02.</w:t>
        <w:br/>
        <w:br/>
        <w:t>Goal</w:t>
        <w:br/>
        <w:t>Complete a narrow billing/API privacy and failure-path pass without redesigning the billing system.</w:t>
        <w:br/>
        <w:br/>
        <w:t>Inspect</w:t>
        <w:br/>
        <w:t>- backend/routes/payments.js</w:t>
        <w:br/>
        <w:t>- backend/routes/customers.js</w:t>
        <w:br/>
        <w:t>- account billing portal and cancellation routes</w:t>
        <w:br/>
        <w:t>- webhook reconciliation paths</w:t>
        <w:br/>
        <w:t>- client billing error mapping</w:t>
        <w:br/>
        <w:t>- tests covering customer ownership, cancellation and public error responses</w:t>
        <w:br/>
        <w:br/>
        <w:t>Required changes</w:t>
        <w:br/>
        <w:t>1. Replace full-email logging in ensureStripeCustomer() with the existing redaction helper or one canonical PII-safe logger.</w:t>
        <w:br/>
        <w:t>2. Never return err.message from Supabase, Stripe or internal exceptions to the client. In particular audit GET /api/customers/:id and every catch block in billing/customer routes.</w:t>
        <w:br/>
        <w:t>3. Return stable public error codes and typed retryability. Keep detailed causes server-side, redacted and correlated with request ID.</w:t>
        <w:br/>
        <w:t>4. Check database write errors after Stripe cancellation or portal-relevant state changes. Decide explicitly whether the response waits for the write, relies on webhook reconciliation, or returns a temporary reconciliation status. Document the decision and test it.</w:t>
        <w:br/>
        <w:t>5. Confirm every customer/subscription lookup is scoped to the authenticated identity and does not accept a client-controlled billing email, price ID, currency or return URL.</w:t>
        <w:br/>
        <w:t>6. Confirm legacy removed endpoints remain absent and add negative route tests if coverage is weak.</w:t>
        <w:br/>
        <w:br/>
        <w:t>Tests</w:t>
        <w:br/>
        <w:t>- synthetic Supabase errors never appear in JSON responses.</w:t>
        <w:br/>
        <w:t>- synthetic full emails never appear in captured logs for changed paths.</w:t>
        <w:br/>
        <w:t>- one user cannot read, cancel or open billing for another user's subscription/customer.</w:t>
        <w:br/>
        <w:t>- arbitrary return URLs and client price IDs are ignored or rejected.</w:t>
        <w:br/>
        <w:t>- known public errors remain understandable and say whether anything was charged or saved.</w:t>
        <w:br/>
        <w:br/>
        <w:t>Required checks</w:t>
        <w:br/>
        <w:t>npm run lint</w:t>
        <w:br/>
        <w:t>npm test</w:t>
        <w:br/>
        <w:t>npm run build:app</w:t>
        <w:br/>
        <w:t>npm run check:app-fresh</w:t>
        <w:br/>
        <w:br/>
        <w:t>Keep the commit limited to API safety, privacy and tests. End with READY FOR SC-04.</w:t>
        <w:br/>
        <w:br/>
        <w:t>END PROMPT</w:t>
      </w:r>
    </w:p>
    <w:p>
      <w:pPr>
        <w:pStyle w:val="Heading2"/>
        <w:keepNext/>
        <w:pageBreakBefore w:val="0"/>
      </w:pPr>
      <w:r>
        <w:t>SC-04 — Make launch evidence mechanically truthful</w:t>
      </w:r>
    </w:p>
    <w:p>
      <w:pPr>
        <w:pStyle w:val="Callout"/>
      </w:pPr>
      <w:r>
        <w:rPr>
          <w:rFonts w:ascii="Calibri" w:hAnsi="Calibri"/>
          <w:b/>
          <w:color w:val="1F4D78"/>
          <w:sz w:val="21"/>
        </w:rPr>
        <w:t xml:space="preserve">Namen: </w:t>
      </w:r>
      <w:r>
        <w:rPr>
          <w:rFonts w:ascii="Calibri" w:hAnsi="Calibri"/>
          <w:color w:val="1F2937"/>
          <w:sz w:val="21"/>
        </w:rPr>
        <w:t>Prevent stale SHA prose and accepted-risk semantics from producing a misleading launch verdict.</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 after SC-03.</w:t>
        <w:br/>
        <w:br/>
        <w:t>Defect</w:t>
        <w:br/>
        <w:t>docs/launch/launch-state.json has structured evidence pinned to one candidate SHA while free-form evidence and verdict prose still mention older SHAs such as 879e1bb and 8f21b02. launch:verify passes because it does not validate embedded SHA references or production evidence vocabulary.</w:t>
        <w:br/>
        <w:br/>
        <w:t>Required implementation</w:t>
        <w:br/>
        <w:t>1. Do not merely replace strings by hand. Identify the canonical generator for launch-state evidence and eliminate duplicated manually authored SHA claims where practical.</w:t>
        <w:br/>
        <w:t>2. Extend launch-state integrity validation so every commit-like SHA in active evidence/note/explanation fields is either:</w:t>
        <w:br/>
        <w:t xml:space="preserve">   - the exact candidate SHA,</w:t>
        <w:br/>
        <w:t xml:space="preserve">   - explicitly labeled historical/superseded with context, or</w:t>
        <w:br/>
        <w:t xml:space="preserve">   - rejected as stale.</w:t>
        <w:br/>
        <w:t>3. Make the validator detect stale bundle hashes, test counts and candidate names where structured equivalents exist.</w:t>
        <w:br/>
        <w:t>4. Add an evidence status that accurately represents a check run against production, such as observed_production or passed_production. Do not label a production observation passed_locally.</w:t>
        <w:br/>
        <w:t>5. Keep local, CI, preview, authenticated, production and live-money evidence distinct.</w:t>
        <w:br/>
        <w:t>6. Add self-tests that reproduce the current failure: structured candidate A plus prose mentioning candidate B must fail.</w:t>
        <w:br/>
        <w:t>7. Ensure launch:gate cannot output clean GO while accepted risks remain. Accepted risks must yield CONDITIONAL GO, never GO, for the affected tier.</w:t>
        <w:br/>
        <w:t>8. Regenerate docs/LAUNCH_STATE.md from the canonical state. Historical documents may remain but must be marked superseded.</w:t>
        <w:br/>
        <w:br/>
        <w:t>Acceptance criteria</w:t>
        <w:br/>
        <w:t>- npm run launch:verify fails on injected stale prose SHA and passes on the corrected real state.</w:t>
        <w:br/>
        <w:t>- launch:gate clearly distinguishes GO, CONDITIONAL GO and NO-GO.</w:t>
        <w:br/>
        <w:t>- capped beta cannot be clean GO if it rests on any accepted risk.</w:t>
        <w:br/>
        <w:t>- current evidence names exactly one active candidate SHA.</w:t>
        <w:br/>
        <w:t>- production evidence has truthful status vocabulary.</w:t>
        <w:br/>
        <w:br/>
        <w:t>Required checks</w:t>
        <w:br/>
        <w:t>npm run lint</w:t>
        <w:br/>
        <w:t>npm test</w:t>
        <w:br/>
        <w:t>npm run launch:verify</w:t>
        <w:br/>
        <w:t>npm run launch:drift</w:t>
        <w:br/>
        <w:t>npm run launch:render</w:t>
        <w:br/>
        <w:t>git diff --exit-code docs/LAUNCH_STATE.md after a second render</w:t>
        <w:br/>
        <w:br/>
        <w:t>Do not declare a new candidate yet. End with READY FOR SC-05.</w:t>
        <w:br/>
        <w:br/>
        <w:t>END PROMPT</w:t>
      </w:r>
    </w:p>
    <w:p>
      <w:pPr>
        <w:pStyle w:val="Heading2"/>
        <w:keepNext/>
        <w:pageBreakBefore w:val="0"/>
      </w:pPr>
      <w:r>
        <w:t>SC-05 — Router advisory, authenticated E2E and billing rehearsal readiness</w:t>
      </w:r>
    </w:p>
    <w:p>
      <w:pPr>
        <w:pStyle w:val="Callout"/>
      </w:pPr>
      <w:r>
        <w:rPr>
          <w:rFonts w:ascii="Calibri" w:hAnsi="Calibri"/>
          <w:b/>
          <w:color w:val="1F4D78"/>
          <w:sz w:val="21"/>
        </w:rPr>
        <w:t xml:space="preserve">Namen: </w:t>
      </w:r>
      <w:r>
        <w:rPr>
          <w:rFonts w:ascii="Calibri" w:hAnsi="Calibri"/>
          <w:color w:val="1F2937"/>
          <w:sz w:val="21"/>
        </w:rPr>
        <w:t>Turn the remaining public-paid blockers into patched, provable or explicitly accepted states.</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 after SC-04.</w:t>
        <w:br/>
        <w:br/>
        <w:t>Goal</w:t>
        <w:br/>
        <w:t>Resolve or formally contain the remaining public-paid technical blockers without pretending unavailable infrastructure ran.</w:t>
        <w:br/>
        <w:br/>
        <w:t>Router advisory</w:t>
        <w:br/>
        <w:t>1. Re-run npm audit --omit=dev and record the exact advisory, affected versions and reachable feature assumptions.</w:t>
        <w:br/>
        <w:t>2. Prove whether the app uses the affected React Server Components path through imports/config/build output, not only a prose assertion.</w:t>
        <w:br/>
        <w:t>3. Prefer a non-breaking patched upgrade if one is available and compatible. Do not perform a React 19/Vite 7/router 8 migration in this prompt unless a separate plan proves scope and rollback.</w:t>
        <w:br/>
        <w:t>4. If no safe patch exists, retain an explicit accepted-risk record with named owner, rationale, affected tier, revisit date and dependency-watch instruction. Public paid remains CONDITIONAL GO or NO-GO, never clean GO.</w:t>
        <w:br/>
        <w:br/>
        <w:t>Authenticated E2E</w:t>
        <w:br/>
        <w:t>5. Audit the non-production guard in scripts/e2e-auth.mjs and require an explicit marker in the disposable Supabase project. It must refuse production-like URLs.</w:t>
        <w:br/>
        <w:t>6. Ensure the matrix covers signup/login, session expiry, two-account isolation, Brand Profile, Campaign Brief approval, one generation path, review, export, billing state and failure/retry paths on mobile and keyboard where specified.</w:t>
        <w:br/>
        <w:t>7. If credentials are unavailable, report BLOCKED. Do not skip with exit code 0.</w:t>
        <w:br/>
        <w:br/>
        <w:t>Billing rehearsal</w:t>
        <w:br/>
        <w:t>8. Validate the nine-transition rehearsal runbook: first trial, trial conversion, active access, cancel-at-period-end, reactivate, failed payment, recovery, out-of-order webhook and refund/correct final state.</w:t>
        <w:br/>
        <w:t>9. The automated harness must use Stripe test mode and a disposable non-production Supabase target. Live-money execution is owner-only.</w:t>
        <w:br/>
        <w:t>10. Evidence must be PII-safe and tied to the exact candidate SHA/build.</w:t>
        <w:br/>
        <w:br/>
        <w:t>Required local checks</w:t>
        <w:br/>
        <w:t>npm run lint</w:t>
        <w:br/>
        <w:t>npm test</w:t>
        <w:br/>
        <w:t>npm run build:app</w:t>
        <w:br/>
        <w:t>npm audit --omit=dev</w:t>
        <w:br/>
        <w:t>npm run launch:verify</w:t>
        <w:br/>
        <w:br/>
        <w:t>End by listing which items are CLOSED, ACCEPTED RISK, or BLOCKED. Do not alter production or run live money.</w:t>
        <w:br/>
        <w:br/>
        <w:t>END PROMPT</w:t>
      </w:r>
    </w:p>
    <w:p>
      <w:pPr>
        <w:pStyle w:val="Heading2"/>
        <w:keepNext/>
        <w:pageBreakBefore w:val="0"/>
      </w:pPr>
      <w:r>
        <w:t>SC-06 — Canonical Scalvya project and content contract</w:t>
      </w:r>
    </w:p>
    <w:p>
      <w:pPr>
        <w:pStyle w:val="Callout"/>
      </w:pPr>
      <w:r>
        <w:rPr>
          <w:rFonts w:ascii="Calibri" w:hAnsi="Calibri"/>
          <w:b/>
          <w:color w:val="1F4D78"/>
          <w:sz w:val="21"/>
        </w:rPr>
        <w:t xml:space="preserve">Namen: </w:t>
      </w:r>
      <w:r>
        <w:rPr>
          <w:rFonts w:ascii="Calibri" w:hAnsi="Calibri"/>
          <w:color w:val="1F2937"/>
          <w:sz w:val="21"/>
        </w:rPr>
        <w:t>Stop future coding agents from regressing brand, product scope and honest customer promises.</w:t>
      </w:r>
    </w:p>
    <w:p>
      <w:pPr>
        <w:pStyle w:val="Callout"/>
      </w:pPr>
      <w:r>
        <w:rPr>
          <w:rFonts w:ascii="Calibri" w:hAnsi="Calibri"/>
          <w:b/>
          <w:color w:val="16794B"/>
          <w:sz w:val="21"/>
        </w:rPr>
        <w:t xml:space="preserve">Vrsta: </w:t>
      </w:r>
      <w:r>
        <w:rPr>
          <w:rFonts w:ascii="Calibri" w:hAnsi="Calibri"/>
          <w:color w:val="1F2937"/>
          <w:sz w:val="21"/>
        </w:rPr>
        <w:t>Claude Code implementation prompt. Run in the named repository on a dedicated branch and review the commit before continuing.</w:t>
      </w:r>
    </w:p>
    <w:p>
      <w:pPr>
        <w:pStyle w:val="PromptBlock"/>
      </w:pPr>
      <w:r>
        <w:rPr>
          <w:rFonts w:ascii="Consolas" w:hAnsi="Consolas"/>
          <w:color w:val="1F2937"/>
          <w:sz w:val="17"/>
        </w:rPr>
        <w:t>BEGIN PROMPT</w:t>
        <w:br/>
        <w:br/>
        <w:t>Apply GLOBAL-00. Work in primocera/LaunchBloom after SC-05.</w:t>
        <w:br/>
        <w:br/>
        <w:t>Goal</w:t>
        <w:br/>
        <w:t>Update internal project instructions so future agents preserve the current Scalvya product instead of reintroducing OfferFlow/LaunchBloom/ConversionForge assumptions.</w:t>
        <w:br/>
        <w:br/>
        <w:t>Files to inspect</w:t>
        <w:br/>
        <w:t>CLAUDE.md, AGENTS.md if present, README.md, DEPLOYMENT.md, DEVELOPMENT.md, .env examples, app-src customer copy, AI prompts/schemas, lifecycle emails and active runbooks.</w:t>
        <w:br/>
        <w:br/>
        <w:t>Required changes</w:t>
        <w:br/>
        <w:t>1. Define the product as Scalvya: a campaign-control workspace that turns one approved offer/brief into connected website, email, social, ads/creative and SEO-idea assets.</w:t>
        <w:br/>
        <w:t>2. Preserve the canonical flow: Brand Profile -&gt; Campaign Brief -&gt; Create -&gt; Review -&gt; Library -&gt; Export.</w:t>
        <w:br/>
        <w:t>3. State the primary ICP as freelance marketers and boutique agencies; solo founders are a secondary use case, not a separate product.</w:t>
        <w:br/>
        <w:t>4. State honest boundaries: no automatic publishing, no SEO volume/ranking data, no automatic legal/compliance approval, and export means packaging user-approved drafts.</w:t>
        <w:br/>
        <w:t>5. Remove obsolete claims that the frontend is planned. Describe the actual Vite/React/Express/Supabase/Stripe architecture.</w:t>
        <w:br/>
        <w:t>6. Keep historical brand names only where needed for migration history, clearly labeled historical. Do not rename database migrations.</w:t>
        <w:br/>
        <w:t>7. Audit customer-visible and model-instruction uses of production-ready, send-ready and ready to paste. Replace misleading customer promises. In model instructions, use precise deliverable language such as complete draft body copy requiring human review.</w:t>
        <w:br/>
        <w:t>8. Add or update content-contract tests so old brand names and forbidden claims cannot return to customer-visible surfaces.</w:t>
        <w:br/>
        <w:t>9. Do not change the established visual design or broad product content in this prompt.</w:t>
        <w:br/>
        <w:br/>
        <w:t>Required checks</w:t>
        <w:br/>
        <w:t>npm run lint</w:t>
        <w:br/>
        <w:t>npm test</w:t>
        <w:br/>
        <w:t>npm run build:app</w:t>
        <w:br/>
        <w:t>npm run check:app-fresh</w:t>
        <w:br/>
        <w:br/>
        <w:t>End with a concise list of historical terms intentionally retained and why.</w:t>
        <w:br/>
        <w:br/>
        <w:t>END PROMPT</w:t>
      </w:r>
    </w:p>
    <w:p>
      <w:pPr>
        <w:pStyle w:val="Heading2"/>
        <w:keepNext/>
        <w:pageBreakBefore w:val="0"/>
      </w:pPr>
      <w:r>
        <w:t>SC-07 — Cut the final Scalvya release candidate</w:t>
      </w:r>
    </w:p>
    <w:p>
      <w:pPr>
        <w:pStyle w:val="Callout"/>
      </w:pPr>
      <w:r>
        <w:rPr>
          <w:rFonts w:ascii="Calibri" w:hAnsi="Calibri"/>
          <w:b/>
          <w:color w:val="1F4D78"/>
          <w:sz w:val="21"/>
        </w:rPr>
        <w:t xml:space="preserve">Namen: </w:t>
      </w:r>
      <w:r>
        <w:rPr>
          <w:rFonts w:ascii="Calibri" w:hAnsi="Calibri"/>
          <w:color w:val="1F2937"/>
          <w:sz w:val="21"/>
        </w:rPr>
        <w:t>Produce one reproducible, same-SHA release record and an honest capped-beta/public-paid verdict.</w:t>
      </w:r>
    </w:p>
    <w:p>
      <w:pPr>
        <w:pStyle w:val="Callout"/>
      </w:pPr>
      <w:r>
        <w:rPr>
          <w:rFonts w:ascii="Calibri" w:hAnsi="Calibri"/>
          <w:b/>
          <w:color w:val="B42318"/>
          <w:sz w:val="21"/>
        </w:rPr>
        <w:t xml:space="preserve">Vrsta: </w:t>
      </w:r>
      <w:r>
        <w:rPr>
          <w:rFonts w:ascii="Calibri" w:hAnsi="Calibri"/>
          <w:color w:val="1F2937"/>
          <w:sz w:val="21"/>
        </w:rPr>
        <w:t>Owner-assisted prompt. Claude may prepare and validate tooling, but must not deploy, spend money, alter live Stripe/Supabase, or claim production evidence without explicit authorization and real output.</w:t>
      </w:r>
    </w:p>
    <w:p>
      <w:pPr>
        <w:pStyle w:val="PromptBlock"/>
      </w:pPr>
      <w:r>
        <w:rPr>
          <w:rFonts w:ascii="Consolas" w:hAnsi="Consolas"/>
          <w:color w:val="1F2937"/>
          <w:sz w:val="17"/>
        </w:rPr>
        <w:t>BEGIN PROMPT</w:t>
        <w:br/>
        <w:br/>
        <w:t>Apply GLOBAL-00. Work in primocera/LaunchBloom only after SC-02 through SC-06 are merged on the hardening branch.</w:t>
        <w:br/>
        <w:br/>
        <w:t>Goal</w:t>
        <w:br/>
        <w:t>Create a new release candidate that certifies the exact product code intended for deployment. This prompt may prepare evidence locally but must pause before production deployment or live actions.</w:t>
        <w:br/>
        <w:br/>
        <w:t>Steps</w:t>
        <w:br/>
        <w:t>1. Confirm clean working tree, latest main ancestry and all expected hardening commits.</w:t>
        <w:br/>
        <w:t>2. Run the complete local gate from a fresh dependency install:</w:t>
        <w:br/>
        <w:t xml:space="preserve">   npm ci</w:t>
        <w:br/>
        <w:t xml:space="preserve">   npm run lint</w:t>
        <w:br/>
        <w:t xml:space="preserve">   npm test</w:t>
        <w:br/>
        <w:t xml:space="preserve">   npm run build:app</w:t>
        <w:br/>
        <w:t xml:space="preserve">   npm run check:app-fresh</w:t>
        <w:br/>
        <w:t xml:space="preserve">   npm run test:export</w:t>
        <w:br/>
        <w:t xml:space="preserve">   npm audit --omit=dev</w:t>
        <w:br/>
        <w:t xml:space="preserve">   npm run launch:verify</w:t>
        <w:br/>
        <w:t>3. Run public Playwright against the fresh build if the browser exists. Record exact counts and viewport projects.</w:t>
        <w:br/>
        <w:t>4. Run authenticated E2E only against a recognized disposable target. Otherwise record BLOCKED.</w:t>
        <w:br/>
        <w:t>5. Pin candidate.sha to the exact product-code SHA, regenerate bundle/evidence and run launch:drift.</w:t>
        <w:br/>
        <w:t>6. Regenerate launch documents. Every active check must carry the same candidate SHA and real status.</w:t>
        <w:br/>
        <w:t>7. Compute capped_beta and public_paid verdicts. Do not hand-edit them into GO.</w:t>
        <w:br/>
        <w:t>8. Capped beta may be GO only when no accepted risk affects it. If an accepted risk remains, verdict is CONDITIONAL GO.</w:t>
        <w:br/>
        <w:t>9. Public paid remains NO-GO/CONDITIONAL GO until authenticated E2E, required billing rehearsal and security conditions are satisfied.</w:t>
        <w:br/>
        <w:t>10. Produce an owner handoff with exact deploy SHA, rollback SHA, migration status, configuration checks, smoke paths, monitoring queries and stop conditions.</w:t>
        <w:br/>
        <w:br/>
        <w:t>Release acceptance</w:t>
        <w:br/>
        <w:t>- zero lint warnings/errors;</w:t>
        <w:br/>
        <w:t>- all unit/export/build/fresh-bundle checks pass;</w:t>
        <w:br/>
        <w:t>- no product-code drift after evidence generation;</w:t>
        <w:br/>
        <w:t>- trial-history failure injection passes;</w:t>
        <w:br/>
        <w:t>- no stale evidence SHA or invented production pass;</w:t>
        <w:br/>
        <w:t>- launch verdict is computed and truthful.</w:t>
        <w:br/>
        <w:br/>
        <w:t>Commit only documentation/evidence after the candidate code SHA is frozen. End with the exact candidate SHA and one of: CAPPED BETA GO, CAPPED BETA CONDITIONAL GO, or NO-GO.</w:t>
        <w:br/>
        <w:br/>
        <w:t>END PROMPT</w:t>
      </w:r>
    </w:p>
    <w:p>
      <w:r>
        <w:br w:type="page"/>
      </w:r>
    </w:p>
    <w:p>
      <w:pPr>
        <w:pStyle w:val="Heading1"/>
        <w:keepNext/>
      </w:pPr>
      <w:r>
        <w:t>Part III — Launch execution for both apps</w:t>
      </w:r>
    </w:p>
    <w:p>
      <w:pPr>
        <w:pStyle w:val="Heading2"/>
        <w:keepNext/>
        <w:pageBreakBefore w:val="0"/>
      </w:pPr>
      <w:r>
        <w:t>LAUNCH-01 — Capped-beta deployment, smoke test and stop conditions</w:t>
      </w:r>
    </w:p>
    <w:p>
      <w:pPr>
        <w:pStyle w:val="Callout"/>
      </w:pPr>
      <w:r>
        <w:rPr>
          <w:rFonts w:ascii="Calibri" w:hAnsi="Calibri"/>
          <w:b/>
          <w:color w:val="1F4D78"/>
          <w:sz w:val="21"/>
        </w:rPr>
        <w:t xml:space="preserve">Namen: </w:t>
      </w:r>
      <w:r>
        <w:rPr>
          <w:rFonts w:ascii="Calibri" w:hAnsi="Calibri"/>
          <w:color w:val="1F2937"/>
          <w:sz w:val="21"/>
        </w:rPr>
        <w:t>Launch both products safely, collect real value evidence and prevent an automatic jump from green tests to unrestricted traffic.</w:t>
      </w:r>
    </w:p>
    <w:p>
      <w:pPr>
        <w:pStyle w:val="Callout"/>
      </w:pPr>
      <w:r>
        <w:rPr>
          <w:rFonts w:ascii="Calibri" w:hAnsi="Calibri"/>
          <w:b/>
          <w:color w:val="B42318"/>
          <w:sz w:val="21"/>
        </w:rPr>
        <w:t xml:space="preserve">Vrsta: </w:t>
      </w:r>
      <w:r>
        <w:rPr>
          <w:rFonts w:ascii="Calibri" w:hAnsi="Calibri"/>
          <w:color w:val="1F2937"/>
          <w:sz w:val="21"/>
        </w:rPr>
        <w:t>Owner-assisted prompt. Claude may prepare and validate tooling, but must not deploy, spend money, alter live Stripe/Supabase, or claim production evidence without explicit authorization and real output.</w:t>
      </w:r>
    </w:p>
    <w:p>
      <w:pPr>
        <w:pStyle w:val="PromptBlock"/>
      </w:pPr>
      <w:r>
        <w:rPr>
          <w:rFonts w:ascii="Consolas" w:hAnsi="Consolas"/>
          <w:color w:val="1F2937"/>
          <w:sz w:val="17"/>
        </w:rPr>
        <w:t>BEGIN PROMPT</w:t>
        <w:br/>
        <w:br/>
        <w:t>Apply GLOBAL-00 separately in each repository after its final candidate is frozen. This is an owner-assisted launch-control prompt, not permission for autonomous deployment.</w:t>
        <w:br/>
        <w:br/>
        <w:t>Goal</w:t>
        <w:br/>
        <w:t>Prepare and supervise a small capped beta that tests real value and payment behavior without exposing an unproven system to unrestricted traffic.</w:t>
        <w:br/>
        <w:br/>
        <w:t>Before deployment</w:t>
        <w:br/>
        <w:t>1. Print exact app, candidate SHA, rollback SHA, environment and launch tier.</w:t>
        <w:br/>
        <w:t>2. Verify all required migrations are applied using read-only schema checks.</w:t>
        <w:br/>
        <w:t>3. Verify production environment variable presence and mode without printing values.</w:t>
        <w:br/>
        <w:t>4. Verify Stripe account/mode/product/price/currency contract read-only.</w:t>
        <w:br/>
        <w:t>5. Confirm email sender, webhook endpoints, cron authentication, AI spend ceiling, beta cap and support route.</w:t>
        <w:br/>
        <w:t>6. Stop on any mismatch. Do not substitute a local pass for production readiness.</w:t>
        <w:br/>
        <w:br/>
        <w:t>Deployment authorization boundary</w:t>
        <w:br/>
        <w:t>- Present the exact planned deploy and migrations.</w:t>
        <w:br/>
        <w:t>- Ask the owner for explicit approval before deploy, migration, live Stripe mutation or live-money transaction.</w:t>
        <w:br/>
        <w:t>- After approval, execute only the approved target and SHA.</w:t>
        <w:br/>
        <w:br/>
        <w:t>Post-deploy smoke tests</w:t>
        <w:br/>
        <w:t>Scalvya: signup/login; free Brand Profile and Brief; first generation trial boundary; one asset; review; export; billing status; cancel/portal; second-trial prevention; safe temporary-error copy.</w:t>
        <w:br/>
        <w:t>Mellowa: signup/login; onboarding; free sample; second-generation gate; correct regional price; trial confirmation; daily plan; adjustment; completed item preserved; Undo; journal safe result; billing/cancel state.</w:t>
        <w:br/>
        <w:br/>
        <w:t>Monitoring for the first 72 hours</w:t>
        <w:br/>
        <w:t>- 5xx and checkout failure rate;</w:t>
        <w:br/>
        <w:t>- webhook failures/retries and event-order anomalies;</w:t>
        <w:br/>
        <w:t>- duplicate customer/subscription indicators;</w:t>
        <w:br/>
        <w:t>- unresolved AI usage reservations and spend ceiling;</w:t>
        <w:br/>
        <w:t>- email permanent failures/backlog;</w:t>
        <w:br/>
        <w:t>- cross-account/RLS errors;</w:t>
        <w:br/>
        <w:t>- time to first value and successful value-loop completion;</w:t>
        <w:br/>
        <w:t>- refund/support complaints about price, trial or charge date.</w:t>
        <w:br/>
        <w:br/>
        <w:t>Stop conditions</w:t>
        <w:br/>
        <w:t>- any display/charged price or currency mismatch;</w:t>
        <w:br/>
        <w:t>- duplicate subscription/trial;</w:t>
        <w:br/>
        <w:t>- cross-account data exposure;</w:t>
        <w:br/>
        <w:t>- unsafe AI output escaping a guard;</w:t>
        <w:br/>
        <w:t>- migration/schema mismatch;</w:t>
        <w:br/>
        <w:t>- webhook backlog that changes entitlement truth;</w:t>
        <w:br/>
        <w:t>- unexplained material 5xx spike;</w:t>
        <w:br/>
        <w:t>- production readiness endpoint not ready.</w:t>
        <w:br/>
        <w:br/>
        <w:t>Beta scope</w:t>
        <w:br/>
        <w:t>- Invite-only and capped; no public acquisition campaign.</w:t>
        <w:br/>
        <w:t>- Every participant must be contactable.</w:t>
        <w:br/>
        <w:t>- Keep manual support and refund capability available.</w:t>
        <w:br/>
        <w:t>- Do not uncap on vanity signup counts.</w:t>
        <w:br/>
        <w:br/>
        <w:t>Value evidence required before uncap</w:t>
        <w:br/>
        <w:t>Scalvya: activation to first reviewed asset, export/handoff rate, second campaign started, repeat weekly use, and paid users reporting reduced campaign inconsistency/time.</w:t>
        <w:br/>
        <w:t>Mellowa: sample-to-trial conversion, next-day and week-two return, adjustment/Undo use, weekly loop completion, paid retention and clear evidence that users return when their day changes.</w:t>
        <w:br/>
        <w:br/>
        <w:t>Final output</w:t>
        <w:br/>
        <w:t>Produce a 72-hour launch log with timestamps, candidate SHA, observations, incidents, rollback decisions and one verdict: CONTINUE CAPPED BETA, PAUSE/ROLL BACK, or READY TO PLAN PUBLIC PAID. Public paid requires a separate explicit owner decision.</w:t>
        <w:br/>
        <w:br/>
        <w:t>END PROMPT</w:t>
      </w:r>
    </w:p>
    <w:p>
      <w:pPr>
        <w:pStyle w:val="Heading1"/>
        <w:keepNext/>
      </w:pPr>
      <w:r>
        <w:t>Definition of launch-ready</w:t>
      </w:r>
    </w:p>
    <w:p>
      <w:pPr>
        <w:pStyle w:val="ListBullet"/>
      </w:pPr>
      <w:r>
        <w:rPr>
          <w:rFonts w:ascii="Calibri" w:hAnsi="Calibri"/>
          <w:color w:val="1F2937"/>
          <w:sz w:val="22"/>
        </w:rPr>
        <w:t>The exact deployed SHA is the exact SHA certified by current evidence.</w:t>
      </w:r>
    </w:p>
    <w:p>
      <w:pPr>
        <w:pStyle w:val="ListBullet"/>
      </w:pPr>
      <w:r>
        <w:rPr>
          <w:rFonts w:ascii="Calibri" w:hAnsi="Calibri"/>
          <w:color w:val="1F2937"/>
          <w:sz w:val="22"/>
        </w:rPr>
        <w:t>All required migrations are both present and verified applied.</w:t>
      </w:r>
    </w:p>
    <w:p>
      <w:pPr>
        <w:pStyle w:val="ListBullet"/>
      </w:pPr>
      <w:r>
        <w:rPr>
          <w:rFonts w:ascii="Calibri" w:hAnsi="Calibri"/>
          <w:color w:val="1F2937"/>
          <w:sz w:val="22"/>
        </w:rPr>
        <w:t>Displayed price, currency, trial length and charged amount come from one commercial contract.</w:t>
      </w:r>
    </w:p>
    <w:p>
      <w:pPr>
        <w:pStyle w:val="ListBullet"/>
      </w:pPr>
      <w:r>
        <w:rPr>
          <w:rFonts w:ascii="Calibri" w:hAnsi="Calibri"/>
          <w:color w:val="1F2937"/>
          <w:sz w:val="22"/>
        </w:rPr>
        <w:t>Billing uncertainty fails closed before any Stripe mutation.</w:t>
      </w:r>
    </w:p>
    <w:p>
      <w:pPr>
        <w:pStyle w:val="ListBullet"/>
      </w:pPr>
      <w:r>
        <w:rPr>
          <w:rFonts w:ascii="Calibri" w:hAnsi="Calibri"/>
          <w:color w:val="1F2937"/>
          <w:sz w:val="22"/>
        </w:rPr>
        <w:t>No raw internal errors, secrets, full emails, journal text or campaign content leak through responses or logs.</w:t>
      </w:r>
    </w:p>
    <w:p>
      <w:pPr>
        <w:pStyle w:val="ListBullet"/>
      </w:pPr>
      <w:r>
        <w:rPr>
          <w:rFonts w:ascii="Calibri" w:hAnsi="Calibri"/>
          <w:color w:val="1F2937"/>
          <w:sz w:val="22"/>
        </w:rPr>
        <w:t>Public, authenticated and production checks are reported with truthful environment-specific statuses.</w:t>
      </w:r>
    </w:p>
    <w:p>
      <w:pPr>
        <w:pStyle w:val="ListBullet"/>
      </w:pPr>
      <w:r>
        <w:rPr>
          <w:rFonts w:ascii="Calibri" w:hAnsi="Calibri"/>
          <w:color w:val="1F2937"/>
          <w:sz w:val="22"/>
        </w:rPr>
        <w:t>Accepted risk produces CONDITIONAL GO, not clean GO.</w:t>
      </w:r>
    </w:p>
    <w:p>
      <w:pPr>
        <w:pStyle w:val="ListBullet"/>
      </w:pPr>
      <w:r>
        <w:rPr>
          <w:rFonts w:ascii="Calibri" w:hAnsi="Calibri"/>
          <w:color w:val="1F2937"/>
          <w:sz w:val="22"/>
        </w:rPr>
        <w:t>A small beta demonstrates repeated user value; code quality alone does not prove willingness to pay.</w:t>
      </w:r>
    </w:p>
    <w:p>
      <w:pPr>
        <w:pStyle w:val="Callout"/>
      </w:pPr>
      <w:r>
        <w:rPr>
          <w:rFonts w:ascii="Calibri" w:hAnsi="Calibri"/>
          <w:b/>
          <w:color w:val="1F4D78"/>
          <w:sz w:val="21"/>
        </w:rPr>
        <w:t xml:space="preserve">Recommended order: </w:t>
      </w:r>
      <w:r>
        <w:rPr>
          <w:rFonts w:ascii="Calibri" w:hAnsi="Calibri"/>
          <w:color w:val="1F2937"/>
          <w:sz w:val="21"/>
        </w:rPr>
        <w:t>Finish Scalvya SC-02 to SC-04 first, then Mellowa MW-02 to MW-06. Those prompts close the real money/release-truth risks. Documentation polish and final candidate cuts come afterward.</w:t>
      </w:r>
    </w:p>
    <w:sectPr w:rsidR="00FC693F" w:rsidRPr="0006063C" w:rsidSect="00034616">
      <w:headerReference w:type="default" r:id="rId9"/>
      <w:footerReference w:type="default" r:id="rId10"/>
      <w:pgSz w:w="12240" w:h="15840"/>
      <w:pgMar w:top="1440" w:right="1440" w:bottom="1181"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B6573"/>
        <w:sz w:val="17"/>
      </w:rPr>
      <w:t>FINAL LAUNCH HARDENING  |  SCALVYA + MELLOWA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60" w:after="100" w:line="276" w:lineRule="auto"/>
      <w:ind w:left="259" w:right="115"/>
      <w:shd w:fill="F2F6FA"/>
    </w:pPr>
    <w:rPr>
      <w:rFonts w:ascii="Calibri" w:hAnsi="Calibri"/>
      <w:sz w:val="21"/>
    </w:rPr>
  </w:style>
  <w:style w:type="paragraph" w:customStyle="1" w:styleId="PromptBlock">
    <w:name w:val="Prompt Block"/>
    <w:pPr>
      <w:spacing w:before="60" w:after="240" w:line="240" w:lineRule="auto"/>
      <w:ind w:left="259" w:right="115"/>
      <w:shd w:fill="F5F6F8"/>
      <w:pBdr>
        <w:left w:val="single" w:sz="18" w:space="8" w:color="2E74B5"/>
      </w:pBdr>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Scalvya + Mellowa Final Launch-Hardening Claude Code Prompts</dc:title>
  <dc:subject>Exact implementation and release prompts for launch readiness</dc:subject>
  <dc:creator>OpenAI</dc:creator>
  <cp:keywords>Scalvya, Mellowa, Claude Code, launch, billing, release candidate</cp:keywords>
  <dc:description>generated by python-docx</dc:description>
  <cp:lastModifiedBy/>
  <cp:revision>1</cp:revision>
  <dcterms:created xsi:type="dcterms:W3CDTF">2013-12-23T23:15:00Z</dcterms:created>
  <dcterms:modified xsi:type="dcterms:W3CDTF">2013-12-23T23:15:00Z</dcterms:modified>
  <cp:category/>
</cp:coreProperties>
</file>