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40"/>
        <w:jc w:val="center"/>
      </w:pPr>
      <w:r>
        <w:rPr>
          <w:rFonts w:ascii="Calibri" w:hAnsi="Calibri"/>
          <w:b/>
          <w:color w:val="2E74B5"/>
          <w:sz w:val="22"/>
        </w:rPr>
        <w:t>FINAL LAUNCH CLOSURE</w:t>
      </w:r>
    </w:p>
    <w:p>
      <w:pPr>
        <w:spacing w:after="160"/>
        <w:jc w:val="center"/>
      </w:pPr>
      <w:r>
        <w:rPr>
          <w:rFonts w:ascii="Calibri" w:hAnsi="Calibri"/>
          <w:b/>
          <w:color w:val="0B2545"/>
          <w:sz w:val="60"/>
        </w:rPr>
        <w:t>Scalvya + Mellowa</w:t>
      </w:r>
    </w:p>
    <w:p>
      <w:pPr>
        <w:spacing w:after="360"/>
        <w:jc w:val="center"/>
      </w:pPr>
      <w:r>
        <w:rPr>
          <w:rFonts w:ascii="Calibri" w:hAnsi="Calibri"/>
          <w:color w:val="1F4D78"/>
          <w:sz w:val="28"/>
        </w:rPr>
        <w:t>Detailed Claude Code prompts to close the remaining launch, billing, evidence and operational risks</w:t>
      </w:r>
    </w:p>
    <w:p>
      <w:pPr>
        <w:spacing w:after="720"/>
        <w:jc w:val="center"/>
      </w:pPr>
      <w:r>
        <w:rPr>
          <w:rFonts w:ascii="Calibri" w:hAnsi="Calibri"/>
          <w:i/>
          <w:color w:val="5A6370"/>
          <w:sz w:val="21"/>
        </w:rPr>
        <w:t>Prepared from the independent re-audit completed 4–5 August 2026</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Execution rule: </w:t>
            </w:r>
            <w:r>
              <w:rPr>
                <w:rFonts w:ascii="Calibri" w:hAnsi="Calibri"/>
                <w:color w:val="0B2545"/>
              </w:rPr>
              <w:t>Run prompts sequentially. Start with GLOBAL-00. Do not combine repositories in one Claude Code session, do not allow live mutations, and never convert missing evidence into a pass.</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before="40" w:after="40"/>
            </w:pPr>
            <w:r>
              <w:rPr>
                <w:rFonts w:ascii="Calibri" w:hAnsi="Calibri"/>
                <w:b/>
                <w:color w:val="9B1C1C"/>
              </w:rPr>
              <w:t xml:space="preserve">Launch posture: </w:t>
            </w:r>
            <w:r>
              <w:rPr>
                <w:rFonts w:ascii="Calibri" w:hAnsi="Calibri"/>
                <w:color w:val="9B1C1C"/>
              </w:rPr>
              <w:t>Scalvya is suitable for a capped beta and remains CONDITIONAL for unrestricted paid launch. Mellowa is suitable for a capped beta with accepted risk and remains NO-GO for unrestricted public paid until a new machine-validated candidate and required evidence exist.</w:t>
            </w:r>
          </w:p>
        </w:tc>
      </w:tr>
    </w:tbl>
    <w:p>
      <w:pPr>
        <w:spacing w:after="0"/>
      </w:pPr>
    </w:p>
    <w:p>
      <w:r>
        <w:br w:type="page"/>
      </w:r>
    </w:p>
    <w:p>
      <w:pPr>
        <w:pStyle w:val="Heading1"/>
      </w:pPr>
      <w:r>
        <w:t>How to use this pack</w:t>
      </w:r>
    </w:p>
    <w:p>
      <w:r>
        <w:rPr>
          <w:rFonts w:ascii="Calibri" w:hAnsi="Calibri"/>
        </w:rPr>
        <w:t xml:space="preserve">These prompts are intentionally narrow. They do </w:t>
      </w:r>
      <w:r>
        <w:rPr>
          <w:rFonts w:ascii="Calibri" w:hAnsi="Calibri"/>
          <w:b/>
        </w:rPr>
        <w:t>not</w:t>
      </w:r>
      <w:r>
        <w:rPr>
          <w:rFonts w:ascii="Calibri" w:hAnsi="Calibri"/>
        </w:rPr>
        <w:t xml:space="preserve"> ask Claude Code to redesign either product or repeat work that is already shipped. They close the remaining audit findings and create truthful release evidence.</w:t>
      </w:r>
    </w:p>
    <w:p>
      <w:pPr>
        <w:pStyle w:val="ListBullet"/>
      </w:pPr>
      <w:r>
        <w:rPr>
          <w:rFonts w:ascii="Calibri" w:hAnsi="Calibri"/>
        </w:rPr>
        <w:t>Open one repository in Claude Code and paste only the relevant prompt.</w:t>
      </w:r>
    </w:p>
    <w:p>
      <w:pPr>
        <w:pStyle w:val="ListBullet"/>
      </w:pPr>
      <w:r>
        <w:rPr>
          <w:rFonts w:ascii="Calibri" w:hAnsi="Calibri"/>
        </w:rPr>
        <w:t>Run GLOBAL-00 first in each repository and compare its baseline to the expected findings.</w:t>
      </w:r>
    </w:p>
    <w:p>
      <w:pPr>
        <w:pStyle w:val="ListBullet"/>
      </w:pPr>
      <w:r>
        <w:rPr>
          <w:rFonts w:ascii="Calibri" w:hAnsi="Calibri"/>
        </w:rPr>
        <w:t>Use a fresh branch. Keep one focused commit per implementation prompt.</w:t>
      </w:r>
    </w:p>
    <w:p>
      <w:pPr>
        <w:pStyle w:val="ListBullet"/>
      </w:pPr>
      <w:r>
        <w:rPr>
          <w:rFonts w:ascii="Calibri" w:hAnsi="Calibri"/>
        </w:rPr>
        <w:t>After every prompt, review the diff and command results before moving on.</w:t>
      </w:r>
    </w:p>
    <w:p>
      <w:pPr>
        <w:pStyle w:val="ListBullet"/>
      </w:pPr>
      <w:r>
        <w:rPr>
          <w:rFonts w:ascii="Calibri" w:hAnsi="Calibri"/>
        </w:rPr>
        <w:t>Owner-only actions remain owner-only even when a prompt contains a runbook for them.</w:t>
      </w:r>
    </w:p>
    <w:p>
      <w:pPr>
        <w:pStyle w:val="ListBullet"/>
      </w:pPr>
      <w:r>
        <w:rPr>
          <w:rFonts w:ascii="Calibri" w:hAnsi="Calibri"/>
        </w:rPr>
        <w:t>If HEAD changed, Claude must adapt to the current source and explain the delta; it must never reset to the audited SHA.</w:t>
      </w:r>
    </w:p>
    <w:p>
      <w:pPr>
        <w:pStyle w:val="Heading1"/>
      </w:pPr>
      <w:r>
        <w:t>Recommended execution order</w:t>
      </w:r>
    </w:p>
    <w:p>
      <w:pPr>
        <w:pStyle w:val="ListNumber"/>
      </w:pPr>
      <w:r>
        <w:rPr>
          <w:rFonts w:ascii="Calibri" w:hAnsi="Calibri"/>
        </w:rPr>
        <w:t>GLOBAL-00 separately in LaunchBloom and Mellowa.</w:t>
      </w:r>
    </w:p>
    <w:p>
      <w:pPr>
        <w:pStyle w:val="ListNumber"/>
      </w:pPr>
      <w:r>
        <w:rPr>
          <w:rFonts w:ascii="Calibri" w:hAnsi="Calibri"/>
        </w:rPr>
        <w:t>Scalvya: SC-01 → SC-02 → SC-03 → SC-04 → SC-05 → SC-06.</w:t>
      </w:r>
    </w:p>
    <w:p>
      <w:pPr>
        <w:pStyle w:val="ListNumber"/>
      </w:pPr>
      <w:r>
        <w:rPr>
          <w:rFonts w:ascii="Calibri" w:hAnsi="Calibri"/>
        </w:rPr>
        <w:t>Mellowa: MW-01 → MW-02 → MW-03 → MW-04 → MW-05 → MW-06.</w:t>
      </w:r>
    </w:p>
    <w:p>
      <w:pPr>
        <w:pStyle w:val="ListNumber"/>
      </w:pPr>
      <w:r>
        <w:rPr>
          <w:rFonts w:ascii="Calibri" w:hAnsi="Calibri"/>
        </w:rPr>
        <w:t>Cross-app verification: XAPP-01.</w:t>
      </w:r>
    </w:p>
    <w:p>
      <w:pPr>
        <w:pStyle w:val="ListNumber"/>
      </w:pPr>
      <w:r>
        <w:rPr>
          <w:rFonts w:ascii="Calibri" w:hAnsi="Calibri"/>
        </w:rPr>
        <w:t>Final decision and value-proof packet: XAPP-02.</w:t>
      </w:r>
    </w:p>
    <w:p>
      <w:pPr>
        <w:pStyle w:val="Heading1"/>
      </w:pPr>
      <w:r>
        <w:t>Prompt index</w:t>
      </w:r>
    </w:p>
    <w:tbl>
      <w:tblPr>
        <w:tblStyle w:val="TableGrid"/>
        <w:tblW w:type="dxa" w:w="9360"/>
        <w:tblLayout w:type="fixed"/>
        <w:tblLook w:firstColumn="1" w:firstRow="1" w:lastColumn="0" w:lastRow="0" w:noHBand="0" w:noVBand="1" w:val="04A0"/>
        <w:tblInd w:w="120" w:type="dxa"/>
      </w:tblPr>
      <w:tblGrid>
        <w:gridCol w:w="1200"/>
        <w:gridCol w:w="1500"/>
        <w:gridCol w:w="6660"/>
      </w:tblGrid>
      <w:tr>
        <w:trPr>
          <w:tblHeader w:val="true"/>
        </w:trPr>
        <w:tc>
          <w:tcPr>
            <w:tcW w:type="dxa" w:w="1200"/>
            <w:shd w:fill="E8EEF5"/>
            <w:tcMar>
              <w:top w:w="80" w:type="dxa"/>
              <w:start w:w="120" w:type="dxa"/>
              <w:bottom w:w="80" w:type="dxa"/>
              <w:end w:w="120" w:type="dxa"/>
            </w:tcMar>
            <w:vAlign w:val="center"/>
          </w:tcPr>
          <w:p>
            <w:r>
              <w:rPr>
                <w:rFonts w:ascii="Calibri" w:hAnsi="Calibri"/>
                <w:b/>
                <w:color w:val="0B2545"/>
              </w:rPr>
              <w:t>ID</w:t>
            </w:r>
          </w:p>
        </w:tc>
        <w:tc>
          <w:tcPr>
            <w:tcW w:type="dxa" w:w="1500"/>
            <w:shd w:fill="E8EEF5"/>
            <w:tcMar>
              <w:top w:w="80" w:type="dxa"/>
              <w:start w:w="120" w:type="dxa"/>
              <w:bottom w:w="80" w:type="dxa"/>
              <w:end w:w="120" w:type="dxa"/>
            </w:tcMar>
            <w:vAlign w:val="center"/>
          </w:tcPr>
          <w:p>
            <w:r>
              <w:rPr>
                <w:rFonts w:ascii="Calibri" w:hAnsi="Calibri"/>
                <w:b/>
                <w:color w:val="0B2545"/>
              </w:rPr>
              <w:t>App</w:t>
            </w:r>
          </w:p>
        </w:tc>
        <w:tc>
          <w:tcPr>
            <w:tcW w:type="dxa" w:w="6660"/>
            <w:shd w:fill="E8EEF5"/>
            <w:tcMar>
              <w:top w:w="80" w:type="dxa"/>
              <w:start w:w="120" w:type="dxa"/>
              <w:bottom w:w="80" w:type="dxa"/>
              <w:end w:w="120" w:type="dxa"/>
            </w:tcMar>
            <w:vAlign w:val="center"/>
          </w:tcPr>
          <w:p>
            <w:r>
              <w:rPr>
                <w:rFonts w:ascii="Calibri" w:hAnsi="Calibri"/>
                <w:b/>
                <w:color w:val="0B2545"/>
              </w:rPr>
              <w:t>Purpose</w:t>
            </w:r>
          </w:p>
        </w:tc>
      </w:tr>
      <w:tr>
        <w:tc>
          <w:tcPr>
            <w:tcW w:type="dxa" w:w="1200"/>
            <w:tcMar>
              <w:top w:w="80" w:type="dxa"/>
              <w:start w:w="120" w:type="dxa"/>
              <w:bottom w:w="80" w:type="dxa"/>
              <w:end w:w="120" w:type="dxa"/>
            </w:tcMar>
            <w:vAlign w:val="center"/>
          </w:tcPr>
          <w:p>
            <w:r>
              <w:t>GLOBAL-00</w:t>
            </w:r>
          </w:p>
        </w:tc>
        <w:tc>
          <w:tcPr>
            <w:tcW w:type="dxa" w:w="1500"/>
            <w:tcMar>
              <w:top w:w="80" w:type="dxa"/>
              <w:start w:w="120" w:type="dxa"/>
              <w:bottom w:w="80" w:type="dxa"/>
              <w:end w:w="120" w:type="dxa"/>
            </w:tcMar>
            <w:vAlign w:val="center"/>
          </w:tcPr>
          <w:p>
            <w:r>
              <w:t>Both</w:t>
            </w:r>
          </w:p>
        </w:tc>
        <w:tc>
          <w:tcPr>
            <w:tcW w:type="dxa" w:w="6660"/>
            <w:tcMar>
              <w:top w:w="80" w:type="dxa"/>
              <w:start w:w="120" w:type="dxa"/>
              <w:bottom w:w="80" w:type="dxa"/>
              <w:end w:w="120" w:type="dxa"/>
            </w:tcMar>
            <w:vAlign w:val="center"/>
          </w:tcPr>
          <w:p>
            <w:r>
              <w:t>Pre-flight audit, authority boundaries and execution contract</w:t>
            </w:r>
          </w:p>
        </w:tc>
      </w:tr>
      <w:tr>
        <w:tc>
          <w:tcPr>
            <w:tcW w:type="dxa" w:w="1200"/>
            <w:tcMar>
              <w:top w:w="80" w:type="dxa"/>
              <w:start w:w="120" w:type="dxa"/>
              <w:bottom w:w="80" w:type="dxa"/>
              <w:end w:w="120" w:type="dxa"/>
            </w:tcMar>
            <w:vAlign w:val="center"/>
          </w:tcPr>
          <w:p>
            <w:r>
              <w:t>SC-01</w:t>
            </w:r>
          </w:p>
        </w:tc>
        <w:tc>
          <w:tcPr>
            <w:tcW w:type="dxa" w:w="1500"/>
            <w:tcMar>
              <w:top w:w="80" w:type="dxa"/>
              <w:start w:w="120" w:type="dxa"/>
              <w:bottom w:w="80" w:type="dxa"/>
              <w:end w:w="120" w:type="dxa"/>
            </w:tcMar>
            <w:vAlign w:val="center"/>
          </w:tcPr>
          <w:p>
            <w:r>
              <w:t>Scalvya</w:t>
            </w:r>
          </w:p>
        </w:tc>
        <w:tc>
          <w:tcPr>
            <w:tcW w:type="dxa" w:w="6660"/>
            <w:tcMar>
              <w:top w:w="80" w:type="dxa"/>
              <w:start w:w="120" w:type="dxa"/>
              <w:bottom w:w="80" w:type="dxa"/>
              <w:end w:w="120" w:type="dxa"/>
            </w:tcMar>
            <w:vAlign w:val="center"/>
          </w:tcPr>
          <w:p>
            <w:r>
              <w:t>Scalvya — make every active release document tell one current truth</w:t>
            </w:r>
          </w:p>
        </w:tc>
      </w:tr>
      <w:tr>
        <w:tc>
          <w:tcPr>
            <w:tcW w:type="dxa" w:w="1200"/>
            <w:tcMar>
              <w:top w:w="80" w:type="dxa"/>
              <w:start w:w="120" w:type="dxa"/>
              <w:bottom w:w="80" w:type="dxa"/>
              <w:end w:w="120" w:type="dxa"/>
            </w:tcMar>
            <w:vAlign w:val="center"/>
          </w:tcPr>
          <w:p>
            <w:r>
              <w:t>SC-02</w:t>
            </w:r>
          </w:p>
        </w:tc>
        <w:tc>
          <w:tcPr>
            <w:tcW w:type="dxa" w:w="1500"/>
            <w:tcMar>
              <w:top w:w="80" w:type="dxa"/>
              <w:start w:w="120" w:type="dxa"/>
              <w:bottom w:w="80" w:type="dxa"/>
              <w:end w:w="120" w:type="dxa"/>
            </w:tcMar>
            <w:vAlign w:val="center"/>
          </w:tcPr>
          <w:p>
            <w:r>
              <w:t>Scalvya</w:t>
            </w:r>
          </w:p>
        </w:tc>
        <w:tc>
          <w:tcPr>
            <w:tcW w:type="dxa" w:w="6660"/>
            <w:tcMar>
              <w:top w:w="80" w:type="dxa"/>
              <w:start w:w="120" w:type="dxa"/>
              <w:bottom w:w="80" w:type="dxa"/>
              <w:end w:w="120" w:type="dxa"/>
            </w:tcMar>
            <w:vAlign w:val="center"/>
          </w:tcPr>
          <w:p>
            <w:r>
              <w:t>Scalvya — idempotent Stripe customer linking and orphan recovery</w:t>
            </w:r>
          </w:p>
        </w:tc>
      </w:tr>
      <w:tr>
        <w:tc>
          <w:tcPr>
            <w:tcW w:type="dxa" w:w="1200"/>
            <w:tcMar>
              <w:top w:w="80" w:type="dxa"/>
              <w:start w:w="120" w:type="dxa"/>
              <w:bottom w:w="80" w:type="dxa"/>
              <w:end w:w="120" w:type="dxa"/>
            </w:tcMar>
            <w:vAlign w:val="center"/>
          </w:tcPr>
          <w:p>
            <w:r>
              <w:t>SC-03</w:t>
            </w:r>
          </w:p>
        </w:tc>
        <w:tc>
          <w:tcPr>
            <w:tcW w:type="dxa" w:w="1500"/>
            <w:tcMar>
              <w:top w:w="80" w:type="dxa"/>
              <w:start w:w="120" w:type="dxa"/>
              <w:bottom w:w="80" w:type="dxa"/>
              <w:end w:w="120" w:type="dxa"/>
            </w:tcMar>
            <w:vAlign w:val="center"/>
          </w:tcPr>
          <w:p>
            <w:r>
              <w:t>Scalvya</w:t>
            </w:r>
          </w:p>
        </w:tc>
        <w:tc>
          <w:tcPr>
            <w:tcW w:type="dxa" w:w="6660"/>
            <w:tcMar>
              <w:top w:w="80" w:type="dxa"/>
              <w:start w:w="120" w:type="dxa"/>
              <w:bottom w:w="80" w:type="dxa"/>
              <w:end w:w="120" w:type="dxa"/>
            </w:tcMar>
            <w:vAlign w:val="center"/>
          </w:tcPr>
          <w:p>
            <w:r>
              <w:t>Scalvya — authenticated browser matrix that cannot silently skip</w:t>
            </w:r>
          </w:p>
        </w:tc>
      </w:tr>
      <w:tr>
        <w:tc>
          <w:tcPr>
            <w:tcW w:type="dxa" w:w="1200"/>
            <w:tcMar>
              <w:top w:w="80" w:type="dxa"/>
              <w:start w:w="120" w:type="dxa"/>
              <w:bottom w:w="80" w:type="dxa"/>
              <w:end w:w="120" w:type="dxa"/>
            </w:tcMar>
            <w:vAlign w:val="center"/>
          </w:tcPr>
          <w:p>
            <w:r>
              <w:t>SC-04</w:t>
            </w:r>
          </w:p>
        </w:tc>
        <w:tc>
          <w:tcPr>
            <w:tcW w:type="dxa" w:w="1500"/>
            <w:tcMar>
              <w:top w:w="80" w:type="dxa"/>
              <w:start w:w="120" w:type="dxa"/>
              <w:bottom w:w="80" w:type="dxa"/>
              <w:end w:w="120" w:type="dxa"/>
            </w:tcMar>
            <w:vAlign w:val="center"/>
          </w:tcPr>
          <w:p>
            <w:r>
              <w:t>Scalvya</w:t>
            </w:r>
          </w:p>
        </w:tc>
        <w:tc>
          <w:tcPr>
            <w:tcW w:type="dxa" w:w="6660"/>
            <w:tcMar>
              <w:top w:w="80" w:type="dxa"/>
              <w:start w:w="120" w:type="dxa"/>
              <w:bottom w:w="80" w:type="dxa"/>
              <w:end w:w="120" w:type="dxa"/>
            </w:tcMar>
            <w:vAlign w:val="center"/>
          </w:tcPr>
          <w:p>
            <w:r>
              <w:t>Scalvya — canonical live-billing rehearsal and evidence schema</w:t>
            </w:r>
          </w:p>
        </w:tc>
      </w:tr>
      <w:tr>
        <w:tc>
          <w:tcPr>
            <w:tcW w:type="dxa" w:w="1200"/>
            <w:tcMar>
              <w:top w:w="80" w:type="dxa"/>
              <w:start w:w="120" w:type="dxa"/>
              <w:bottom w:w="80" w:type="dxa"/>
              <w:end w:w="120" w:type="dxa"/>
            </w:tcMar>
            <w:vAlign w:val="center"/>
          </w:tcPr>
          <w:p>
            <w:r>
              <w:t>SC-05</w:t>
            </w:r>
          </w:p>
        </w:tc>
        <w:tc>
          <w:tcPr>
            <w:tcW w:type="dxa" w:w="1500"/>
            <w:tcMar>
              <w:top w:w="80" w:type="dxa"/>
              <w:start w:w="120" w:type="dxa"/>
              <w:bottom w:w="80" w:type="dxa"/>
              <w:end w:w="120" w:type="dxa"/>
            </w:tcMar>
            <w:vAlign w:val="center"/>
          </w:tcPr>
          <w:p>
            <w:r>
              <w:t>Scalvya</w:t>
            </w:r>
          </w:p>
        </w:tc>
        <w:tc>
          <w:tcPr>
            <w:tcW w:type="dxa" w:w="6660"/>
            <w:tcMar>
              <w:top w:w="80" w:type="dxa"/>
              <w:start w:w="120" w:type="dxa"/>
              <w:bottom w:w="80" w:type="dxa"/>
              <w:end w:w="120" w:type="dxa"/>
            </w:tcMar>
            <w:vAlign w:val="center"/>
          </w:tcPr>
          <w:p>
            <w:r>
              <w:t>Scalvya — make the accepted React Router advisory continuously enforceable</w:t>
            </w:r>
          </w:p>
        </w:tc>
      </w:tr>
      <w:tr>
        <w:tc>
          <w:tcPr>
            <w:tcW w:type="dxa" w:w="1200"/>
            <w:tcMar>
              <w:top w:w="80" w:type="dxa"/>
              <w:start w:w="120" w:type="dxa"/>
              <w:bottom w:w="80" w:type="dxa"/>
              <w:end w:w="120" w:type="dxa"/>
            </w:tcMar>
            <w:vAlign w:val="center"/>
          </w:tcPr>
          <w:p>
            <w:r>
              <w:t>SC-06</w:t>
            </w:r>
          </w:p>
        </w:tc>
        <w:tc>
          <w:tcPr>
            <w:tcW w:type="dxa" w:w="1500"/>
            <w:tcMar>
              <w:top w:w="80" w:type="dxa"/>
              <w:start w:w="120" w:type="dxa"/>
              <w:bottom w:w="80" w:type="dxa"/>
              <w:end w:w="120" w:type="dxa"/>
            </w:tcMar>
            <w:vAlign w:val="center"/>
          </w:tcPr>
          <w:p>
            <w:r>
              <w:t>Scalvya</w:t>
            </w:r>
          </w:p>
        </w:tc>
        <w:tc>
          <w:tcPr>
            <w:tcW w:type="dxa" w:w="6660"/>
            <w:tcMar>
              <w:top w:w="80" w:type="dxa"/>
              <w:start w:w="120" w:type="dxa"/>
              <w:bottom w:w="80" w:type="dxa"/>
              <w:end w:w="120" w:type="dxa"/>
            </w:tcMar>
            <w:vAlign w:val="center"/>
          </w:tcPr>
          <w:p>
            <w:r>
              <w:t>Scalvya — cut the final candidate and produce a truthful launch verdict</w:t>
            </w:r>
          </w:p>
        </w:tc>
      </w:tr>
      <w:tr>
        <w:tc>
          <w:tcPr>
            <w:tcW w:type="dxa" w:w="1200"/>
            <w:tcMar>
              <w:top w:w="80" w:type="dxa"/>
              <w:start w:w="120" w:type="dxa"/>
              <w:bottom w:w="80" w:type="dxa"/>
              <w:end w:w="120" w:type="dxa"/>
            </w:tcMar>
            <w:vAlign w:val="center"/>
          </w:tcPr>
          <w:p>
            <w:r>
              <w:t>MW-01</w:t>
            </w:r>
          </w:p>
        </w:tc>
        <w:tc>
          <w:tcPr>
            <w:tcW w:type="dxa" w:w="1500"/>
            <w:tcMar>
              <w:top w:w="80" w:type="dxa"/>
              <w:start w:w="120" w:type="dxa"/>
              <w:bottom w:w="80" w:type="dxa"/>
              <w:end w:w="120" w:type="dxa"/>
            </w:tcMar>
            <w:vAlign w:val="center"/>
          </w:tcPr>
          <w:p>
            <w:r>
              <w:t>Mellowa</w:t>
            </w:r>
          </w:p>
        </w:tc>
        <w:tc>
          <w:tcPr>
            <w:tcW w:type="dxa" w:w="6660"/>
            <w:tcMar>
              <w:top w:w="80" w:type="dxa"/>
              <w:start w:w="120" w:type="dxa"/>
              <w:bottom w:w="80" w:type="dxa"/>
              <w:end w:w="120" w:type="dxa"/>
            </w:tcMar>
            <w:vAlign w:val="center"/>
          </w:tcPr>
          <w:p>
            <w:r>
              <w:t>Mellowa — replace stale price and release instructions with one operational pricing truth</w:t>
            </w:r>
          </w:p>
        </w:tc>
      </w:tr>
      <w:tr>
        <w:tc>
          <w:tcPr>
            <w:tcW w:type="dxa" w:w="1200"/>
            <w:tcMar>
              <w:top w:w="80" w:type="dxa"/>
              <w:start w:w="120" w:type="dxa"/>
              <w:bottom w:w="80" w:type="dxa"/>
              <w:end w:w="120" w:type="dxa"/>
            </w:tcMar>
            <w:vAlign w:val="center"/>
          </w:tcPr>
          <w:p>
            <w:r>
              <w:t>MW-02</w:t>
            </w:r>
          </w:p>
        </w:tc>
        <w:tc>
          <w:tcPr>
            <w:tcW w:type="dxa" w:w="1500"/>
            <w:tcMar>
              <w:top w:w="80" w:type="dxa"/>
              <w:start w:w="120" w:type="dxa"/>
              <w:bottom w:w="80" w:type="dxa"/>
              <w:end w:w="120" w:type="dxa"/>
            </w:tcMar>
            <w:vAlign w:val="center"/>
          </w:tcPr>
          <w:p>
            <w:r>
              <w:t>Mellowa</w:t>
            </w:r>
          </w:p>
        </w:tc>
        <w:tc>
          <w:tcPr>
            <w:tcW w:type="dxa" w:w="6660"/>
            <w:tcMar>
              <w:top w:w="80" w:type="dxa"/>
              <w:start w:w="120" w:type="dxa"/>
              <w:bottom w:w="80" w:type="dxa"/>
              <w:end w:w="120" w:type="dxa"/>
            </w:tcMar>
            <w:vAlign w:val="center"/>
          </w:tcPr>
          <w:p>
            <w:r>
              <w:t>Mellowa — idempotent Stripe customer creation across failed link writes and retries</w:t>
            </w:r>
          </w:p>
        </w:tc>
      </w:tr>
      <w:tr>
        <w:tc>
          <w:tcPr>
            <w:tcW w:type="dxa" w:w="1200"/>
            <w:tcMar>
              <w:top w:w="80" w:type="dxa"/>
              <w:start w:w="120" w:type="dxa"/>
              <w:bottom w:w="80" w:type="dxa"/>
              <w:end w:w="120" w:type="dxa"/>
            </w:tcMar>
            <w:vAlign w:val="center"/>
          </w:tcPr>
          <w:p>
            <w:r>
              <w:t>MW-03</w:t>
            </w:r>
          </w:p>
        </w:tc>
        <w:tc>
          <w:tcPr>
            <w:tcW w:type="dxa" w:w="1500"/>
            <w:tcMar>
              <w:top w:w="80" w:type="dxa"/>
              <w:start w:w="120" w:type="dxa"/>
              <w:bottom w:w="80" w:type="dxa"/>
              <w:end w:w="120" w:type="dxa"/>
            </w:tcMar>
            <w:vAlign w:val="center"/>
          </w:tcPr>
          <w:p>
            <w:r>
              <w:t>Mellowa</w:t>
            </w:r>
          </w:p>
        </w:tc>
        <w:tc>
          <w:tcPr>
            <w:tcW w:type="dxa" w:w="6660"/>
            <w:tcMar>
              <w:top w:w="80" w:type="dxa"/>
              <w:start w:w="120" w:type="dxa"/>
              <w:bottom w:w="80" w:type="dxa"/>
              <w:end w:w="120" w:type="dxa"/>
            </w:tcMar>
            <w:vAlign w:val="center"/>
          </w:tcPr>
          <w:p>
            <w:r>
              <w:t>Mellowa — explicit unavailable billing state from database to UI and generation gates</w:t>
            </w:r>
          </w:p>
        </w:tc>
      </w:tr>
      <w:tr>
        <w:tc>
          <w:tcPr>
            <w:tcW w:type="dxa" w:w="1200"/>
            <w:tcMar>
              <w:top w:w="80" w:type="dxa"/>
              <w:start w:w="120" w:type="dxa"/>
              <w:bottom w:w="80" w:type="dxa"/>
              <w:end w:w="120" w:type="dxa"/>
            </w:tcMar>
            <w:vAlign w:val="center"/>
          </w:tcPr>
          <w:p>
            <w:r>
              <w:t>MW-04</w:t>
            </w:r>
          </w:p>
        </w:tc>
        <w:tc>
          <w:tcPr>
            <w:tcW w:type="dxa" w:w="1500"/>
            <w:tcMar>
              <w:top w:w="80" w:type="dxa"/>
              <w:start w:w="120" w:type="dxa"/>
              <w:bottom w:w="80" w:type="dxa"/>
              <w:end w:w="120" w:type="dxa"/>
            </w:tcMar>
            <w:vAlign w:val="center"/>
          </w:tcPr>
          <w:p>
            <w:r>
              <w:t>Mellowa</w:t>
            </w:r>
          </w:p>
        </w:tc>
        <w:tc>
          <w:tcPr>
            <w:tcW w:type="dxa" w:w="6660"/>
            <w:tcMar>
              <w:top w:w="80" w:type="dxa"/>
              <w:start w:w="120" w:type="dxa"/>
              <w:bottom w:w="80" w:type="dxa"/>
              <w:end w:w="120" w:type="dxa"/>
            </w:tcMar>
            <w:vAlign w:val="center"/>
          </w:tcPr>
          <w:p>
            <w:r>
              <w:t>Mellowa — authenticated E2E release gate with honest GitHub Actions semantics</w:t>
            </w:r>
          </w:p>
        </w:tc>
      </w:tr>
      <w:tr>
        <w:tc>
          <w:tcPr>
            <w:tcW w:type="dxa" w:w="1200"/>
            <w:tcMar>
              <w:top w:w="80" w:type="dxa"/>
              <w:start w:w="120" w:type="dxa"/>
              <w:bottom w:w="80" w:type="dxa"/>
              <w:end w:w="120" w:type="dxa"/>
            </w:tcMar>
            <w:vAlign w:val="center"/>
          </w:tcPr>
          <w:p>
            <w:r>
              <w:t>MW-05</w:t>
            </w:r>
          </w:p>
        </w:tc>
        <w:tc>
          <w:tcPr>
            <w:tcW w:type="dxa" w:w="1500"/>
            <w:tcMar>
              <w:top w:w="80" w:type="dxa"/>
              <w:start w:w="120" w:type="dxa"/>
              <w:bottom w:w="80" w:type="dxa"/>
              <w:end w:w="120" w:type="dxa"/>
            </w:tcMar>
            <w:vAlign w:val="center"/>
          </w:tcPr>
          <w:p>
            <w:r>
              <w:t>Mellowa</w:t>
            </w:r>
          </w:p>
        </w:tc>
        <w:tc>
          <w:tcPr>
            <w:tcW w:type="dxa" w:w="6660"/>
            <w:tcMar>
              <w:top w:w="80" w:type="dxa"/>
              <w:start w:w="120" w:type="dxa"/>
              <w:bottom w:w="80" w:type="dxa"/>
              <w:end w:w="120" w:type="dxa"/>
            </w:tcMar>
            <w:vAlign w:val="center"/>
          </w:tcPr>
          <w:p>
            <w:r>
              <w:t>Mellowa — owner-only operational rehearsals with current pricing and verifiable artifacts</w:t>
            </w:r>
          </w:p>
        </w:tc>
      </w:tr>
      <w:tr>
        <w:tc>
          <w:tcPr>
            <w:tcW w:type="dxa" w:w="1200"/>
            <w:tcMar>
              <w:top w:w="80" w:type="dxa"/>
              <w:start w:w="120" w:type="dxa"/>
              <w:bottom w:w="80" w:type="dxa"/>
              <w:end w:w="120" w:type="dxa"/>
            </w:tcMar>
            <w:vAlign w:val="center"/>
          </w:tcPr>
          <w:p>
            <w:r>
              <w:t>MW-06</w:t>
            </w:r>
          </w:p>
        </w:tc>
        <w:tc>
          <w:tcPr>
            <w:tcW w:type="dxa" w:w="1500"/>
            <w:tcMar>
              <w:top w:w="80" w:type="dxa"/>
              <w:start w:w="120" w:type="dxa"/>
              <w:bottom w:w="80" w:type="dxa"/>
              <w:end w:w="120" w:type="dxa"/>
            </w:tcMar>
            <w:vAlign w:val="center"/>
          </w:tcPr>
          <w:p>
            <w:r>
              <w:t>Mellowa</w:t>
            </w:r>
          </w:p>
        </w:tc>
        <w:tc>
          <w:tcPr>
            <w:tcW w:type="dxa" w:w="6660"/>
            <w:tcMar>
              <w:top w:w="80" w:type="dxa"/>
              <w:start w:w="120" w:type="dxa"/>
              <w:bottom w:w="80" w:type="dxa"/>
              <w:end w:w="120" w:type="dxa"/>
            </w:tcMar>
            <w:vAlign w:val="center"/>
          </w:tcPr>
          <w:p>
            <w:r>
              <w:t>Mellowa — cut a new machine-validated release candidate after product fixes</w:t>
            </w:r>
          </w:p>
        </w:tc>
      </w:tr>
      <w:tr>
        <w:tc>
          <w:tcPr>
            <w:tcW w:type="dxa" w:w="1200"/>
            <w:tcMar>
              <w:top w:w="80" w:type="dxa"/>
              <w:start w:w="120" w:type="dxa"/>
              <w:bottom w:w="80" w:type="dxa"/>
              <w:end w:w="120" w:type="dxa"/>
            </w:tcMar>
            <w:vAlign w:val="center"/>
          </w:tcPr>
          <w:p>
            <w:r>
              <w:t>XAPP-01</w:t>
            </w:r>
          </w:p>
        </w:tc>
        <w:tc>
          <w:tcPr>
            <w:tcW w:type="dxa" w:w="1500"/>
            <w:tcMar>
              <w:top w:w="80" w:type="dxa"/>
              <w:start w:w="120" w:type="dxa"/>
              <w:bottom w:w="80" w:type="dxa"/>
              <w:end w:w="120" w:type="dxa"/>
            </w:tcMar>
            <w:vAlign w:val="center"/>
          </w:tcPr>
          <w:p>
            <w:r>
              <w:t>Both</w:t>
            </w:r>
          </w:p>
        </w:tc>
        <w:tc>
          <w:tcPr>
            <w:tcW w:type="dxa" w:w="6660"/>
            <w:tcMar>
              <w:top w:w="80" w:type="dxa"/>
              <w:start w:w="120" w:type="dxa"/>
              <w:bottom w:w="80" w:type="dxa"/>
              <w:end w:w="120" w:type="dxa"/>
            </w:tcMar>
            <w:vAlign w:val="center"/>
          </w:tcPr>
          <w:p>
            <w:r>
              <w:t>Cross-app — verify shared Stripe isolation without mixing product identity</w:t>
            </w:r>
          </w:p>
        </w:tc>
      </w:tr>
      <w:tr>
        <w:tc>
          <w:tcPr>
            <w:tcW w:type="dxa" w:w="1200"/>
            <w:tcMar>
              <w:top w:w="80" w:type="dxa"/>
              <w:start w:w="120" w:type="dxa"/>
              <w:bottom w:w="80" w:type="dxa"/>
              <w:end w:w="120" w:type="dxa"/>
            </w:tcMar>
            <w:vAlign w:val="center"/>
          </w:tcPr>
          <w:p>
            <w:r>
              <w:t>XAPP-02</w:t>
            </w:r>
          </w:p>
        </w:tc>
        <w:tc>
          <w:tcPr>
            <w:tcW w:type="dxa" w:w="1500"/>
            <w:tcMar>
              <w:top w:w="80" w:type="dxa"/>
              <w:start w:w="120" w:type="dxa"/>
              <w:bottom w:w="80" w:type="dxa"/>
              <w:end w:w="120" w:type="dxa"/>
            </w:tcMar>
            <w:vAlign w:val="center"/>
          </w:tcPr>
          <w:p>
            <w:r>
              <w:t>Both</w:t>
            </w:r>
          </w:p>
        </w:tc>
        <w:tc>
          <w:tcPr>
            <w:tcW w:type="dxa" w:w="6660"/>
            <w:tcMar>
              <w:top w:w="80" w:type="dxa"/>
              <w:start w:w="120" w:type="dxa"/>
              <w:bottom w:w="80" w:type="dxa"/>
              <w:end w:w="120" w:type="dxa"/>
            </w:tcMar>
            <w:vAlign w:val="center"/>
          </w:tcPr>
          <w:p>
            <w:r>
              <w:t>Final launch authorization packet and value-proof plan</w:t>
            </w:r>
          </w:p>
        </w:tc>
      </w:tr>
    </w:tbl>
    <w:p>
      <w:r>
        <w:br w:type="page"/>
      </w:r>
    </w:p>
    <w:p>
      <w:pPr>
        <w:pageBreakBefore w:val="0"/>
        <w:spacing w:before="0" w:after="80"/>
      </w:pPr>
      <w:r>
        <w:rPr>
          <w:rFonts w:ascii="Calibri" w:hAnsi="Calibri"/>
          <w:b/>
          <w:color w:val="2E74B5"/>
          <w:sz w:val="20"/>
        </w:rPr>
        <w:t>GLOBAL-00</w:t>
      </w:r>
    </w:p>
    <w:p>
      <w:pPr>
        <w:keepNext/>
        <w:spacing w:after="240"/>
      </w:pPr>
      <w:r>
        <w:rPr>
          <w:rFonts w:ascii="Calibri" w:hAnsi="Calibri"/>
          <w:b/>
          <w:color w:val="0B2545"/>
          <w:sz w:val="42"/>
        </w:rPr>
        <w:t>Pre-flight audit, authority boundaries and execution contract</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Role</w:t>
      </w:r>
    </w:p>
    <w:p>
      <w:r>
        <w:rPr>
          <w:rFonts w:ascii="Calibri" w:hAnsi="Calibri"/>
        </w:rPr>
        <w:t xml:space="preserve">You are the senior release engineer and product-safety reviewer for two separate production repositories: </w:t>
      </w:r>
      <w:r>
        <w:rPr>
          <w:rFonts w:ascii="Consolas" w:hAnsi="Consolas"/>
          <w:color w:val="1F4D78"/>
          <w:sz w:val="19"/>
        </w:rPr>
        <w:t>primocera/LaunchBloom</w:t>
      </w:r>
      <w:r>
        <w:rPr>
          <w:rFonts w:ascii="Calibri" w:hAnsi="Calibri"/>
        </w:rPr>
        <w:t xml:space="preserve"> (customer-facing product name: Scalvya) and </w:t>
      </w:r>
      <w:r>
        <w:rPr>
          <w:rFonts w:ascii="Consolas" w:hAnsi="Consolas"/>
          <w:color w:val="1F4D78"/>
          <w:sz w:val="19"/>
        </w:rPr>
        <w:t>primocera/Mellowa</w:t>
      </w:r>
      <w:r>
        <w:rPr>
          <w:rFonts w:ascii="Calibri" w:hAnsi="Calibri"/>
        </w:rPr>
        <w:t>. Work on only one repository at a time. Never copy implementation, credentials, identifiers, price IDs, database URLs, customer data or release evidence from one app into the other.</w:t>
      </w:r>
    </w:p>
    <w:p>
      <w:pPr>
        <w:pStyle w:val="Heading2"/>
      </w:pPr>
      <w:r>
        <w:t>Mission</w:t>
      </w:r>
    </w:p>
    <w:p>
      <w:r>
        <w:rPr>
          <w:rFonts w:ascii="Calibri" w:hAnsi="Calibri"/>
        </w:rPr>
        <w:t xml:space="preserve">Establish the exact current state before changing anything. The previous independent audit used these reference points only: LaunchBloom HEAD </w:t>
      </w:r>
      <w:r>
        <w:rPr>
          <w:rFonts w:ascii="Consolas" w:hAnsi="Consolas"/>
          <w:color w:val="1F4D78"/>
          <w:sz w:val="19"/>
        </w:rPr>
        <w:t>06c7eb5918b250aa822516b33b4345533c23ab2c</w:t>
      </w:r>
      <w:r>
        <w:rPr>
          <w:rFonts w:ascii="Calibri" w:hAnsi="Calibri"/>
        </w:rPr>
        <w:t xml:space="preserve">, frozen product candidate </w:t>
      </w:r>
      <w:r>
        <w:rPr>
          <w:rFonts w:ascii="Consolas" w:hAnsi="Consolas"/>
          <w:color w:val="1F4D78"/>
          <w:sz w:val="19"/>
        </w:rPr>
        <w:t>81993ffb4bbcd358e0e2a3ede9e85540581c4352</w:t>
      </w:r>
      <w:r>
        <w:rPr>
          <w:rFonts w:ascii="Calibri" w:hAnsi="Calibri"/>
        </w:rPr>
        <w:t xml:space="preserve">; Mellowa HEAD </w:t>
      </w:r>
      <w:r>
        <w:rPr>
          <w:rFonts w:ascii="Consolas" w:hAnsi="Consolas"/>
          <w:color w:val="1F4D78"/>
          <w:sz w:val="19"/>
        </w:rPr>
        <w:t>6fe39806284c64feaba4222790f7c6ce0aa93891</w:t>
      </w:r>
      <w:r>
        <w:rPr>
          <w:rFonts w:ascii="Calibri" w:hAnsi="Calibri"/>
        </w:rPr>
        <w:t>, with its v13 manifest intentionally superseded and the v14 beta status still lacking a machine-validated manifest. These SHAs are historical audit anchors, not permission to reset or overwrite newer work.</w:t>
      </w:r>
    </w:p>
    <w:p>
      <w:pPr>
        <w:pStyle w:val="Heading2"/>
      </w:pPr>
      <w:r>
        <w:t>Non-negotiable boundaries</w:t>
      </w:r>
    </w:p>
    <w:p>
      <w:pPr>
        <w:pStyle w:val="ListBullet"/>
      </w:pPr>
      <w:r>
        <w:rPr>
          <w:rFonts w:ascii="Calibri" w:hAnsi="Calibri"/>
        </w:rPr>
        <w:t>Do not deploy, merge, push, create a pull request, run a migration, mutate Stripe, send email, rotate a key, issue a refund, create a live checkout, or use production credentials.</w:t>
      </w:r>
    </w:p>
    <w:p>
      <w:pPr>
        <w:pStyle w:val="ListBullet"/>
      </w:pPr>
      <w:r>
        <w:rPr>
          <w:rFonts w:ascii="Calibri" w:hAnsi="Calibri"/>
        </w:rPr>
        <w:t xml:space="preserve">Do not run authenticated E2E against production. A missing non-production environment is </w:t>
      </w:r>
      <w:r>
        <w:rPr>
          <w:rFonts w:ascii="Consolas" w:hAnsi="Consolas"/>
          <w:color w:val="1F4D78"/>
          <w:sz w:val="19"/>
        </w:rPr>
        <w:t>BLOCKED</w:t>
      </w:r>
      <w:r>
        <w:rPr>
          <w:rFonts w:ascii="Calibri" w:hAnsi="Calibri"/>
        </w:rPr>
        <w:t xml:space="preserve">, never </w:t>
      </w:r>
      <w:r>
        <w:rPr>
          <w:rFonts w:ascii="Consolas" w:hAnsi="Consolas"/>
          <w:color w:val="1F4D78"/>
          <w:sz w:val="19"/>
        </w:rPr>
        <w:t>PASS</w:t>
      </w:r>
      <w:r>
        <w:rPr>
          <w:rFonts w:ascii="Calibri" w:hAnsi="Calibri"/>
        </w:rPr>
        <w:t xml:space="preserve">, </w:t>
      </w:r>
      <w:r>
        <w:rPr>
          <w:rFonts w:ascii="Consolas" w:hAnsi="Consolas"/>
          <w:color w:val="1F4D78"/>
          <w:sz w:val="19"/>
        </w:rPr>
        <w:t>SUCCESS</w:t>
      </w:r>
      <w:r>
        <w:rPr>
          <w:rFonts w:ascii="Calibri" w:hAnsi="Calibri"/>
        </w:rPr>
        <w:t xml:space="preserve">, or </w:t>
      </w:r>
      <w:r>
        <w:rPr>
          <w:rFonts w:ascii="Consolas" w:hAnsi="Consolas"/>
          <w:color w:val="1F4D78"/>
          <w:sz w:val="19"/>
        </w:rPr>
        <w:t>SKIPPED BUT GREEN</w:t>
      </w:r>
      <w:r>
        <w:rPr>
          <w:rFonts w:ascii="Calibri" w:hAnsi="Calibri"/>
        </w:rPr>
        <w:t xml:space="preserve"> in release evidence.</w:t>
      </w:r>
    </w:p>
    <w:p>
      <w:pPr>
        <w:pStyle w:val="ListBullet"/>
      </w:pPr>
      <w:r>
        <w:rPr>
          <w:rFonts w:ascii="Calibri" w:hAnsi="Calibri"/>
        </w:rPr>
        <w:t>Do not fabricate screenshots, run IDs, owner attestations, observed-production statuses, test counts, timestamps or evidence paths.</w:t>
      </w:r>
    </w:p>
    <w:p>
      <w:pPr>
        <w:pStyle w:val="ListBullet"/>
      </w:pPr>
      <w:r>
        <w:rPr>
          <w:rFonts w:ascii="Calibri" w:hAnsi="Calibri"/>
        </w:rPr>
        <w:t>Do not rewrite historical release documents so they appear to have been true at the time. Mark them historical or superseded; create a new current record.</w:t>
      </w:r>
    </w:p>
    <w:p>
      <w:pPr>
        <w:pStyle w:val="ListBullet"/>
      </w:pPr>
      <w:r>
        <w:rPr>
          <w:rFonts w:ascii="Calibri" w:hAnsi="Calibri"/>
        </w:rPr>
        <w:t>Preserve unrelated user changes. If the worktree is dirty, identify the overlapping files and stop before touching them.</w:t>
      </w:r>
    </w:p>
    <w:p>
      <w:pPr>
        <w:pStyle w:val="ListBullet"/>
      </w:pPr>
      <w:r>
        <w:rPr>
          <w:rFonts w:ascii="Calibri" w:hAnsi="Calibri"/>
        </w:rPr>
        <w:t>Never print secrets or full customer emails. Do not place raw provider or database error messages in customer responses.</w:t>
      </w:r>
    </w:p>
    <w:p>
      <w:pPr>
        <w:pStyle w:val="Heading2"/>
      </w:pPr>
      <w:r>
        <w:t>Pre-flight procedure</w:t>
      </w:r>
    </w:p>
    <w:p>
      <w:pPr>
        <w:pStyle w:val="ListNumber"/>
      </w:pPr>
      <w:r>
        <w:rPr>
          <w:rFonts w:ascii="Calibri" w:hAnsi="Calibri"/>
        </w:rPr>
        <w:t xml:space="preserve">Print repository name, remote, branch, exact HEAD and </w:t>
      </w:r>
      <w:r>
        <w:rPr>
          <w:rFonts w:ascii="Consolas" w:hAnsi="Consolas"/>
          <w:color w:val="1F4D78"/>
          <w:sz w:val="19"/>
        </w:rPr>
        <w:t>git status --short</w:t>
      </w:r>
      <w:r>
        <w:rPr>
          <w:rFonts w:ascii="Calibri" w:hAnsi="Calibri"/>
        </w:rPr>
        <w:t>.</w:t>
      </w:r>
    </w:p>
    <w:p>
      <w:pPr>
        <w:pStyle w:val="ListNumber"/>
      </w:pPr>
      <w:r>
        <w:rPr>
          <w:rFonts w:ascii="Calibri" w:hAnsi="Calibri"/>
        </w:rPr>
        <w:t>Fetch remote metadata read-only and show whether local HEAD is ahead, behind or diverged. Do not reset.</w:t>
      </w:r>
    </w:p>
    <w:p>
      <w:pPr>
        <w:pStyle w:val="ListNumber"/>
      </w:pPr>
      <w:r>
        <w:rPr>
          <w:rFonts w:ascii="Calibri" w:hAnsi="Calibri"/>
        </w:rPr>
        <w:t xml:space="preserve">Read </w:t>
      </w:r>
      <w:r>
        <w:rPr>
          <w:rFonts w:ascii="Consolas" w:hAnsi="Consolas"/>
          <w:color w:val="1F4D78"/>
          <w:sz w:val="19"/>
        </w:rPr>
        <w:t>AGENTS.md</w:t>
      </w:r>
      <w:r>
        <w:rPr>
          <w:rFonts w:ascii="Calibri" w:hAnsi="Calibri"/>
        </w:rPr>
        <w:t xml:space="preserve">, </w:t>
      </w:r>
      <w:r>
        <w:rPr>
          <w:rFonts w:ascii="Consolas" w:hAnsi="Consolas"/>
          <w:color w:val="1F4D78"/>
          <w:sz w:val="19"/>
        </w:rPr>
        <w:t>CLAUDE.md</w:t>
      </w:r>
      <w:r>
        <w:rPr>
          <w:rFonts w:ascii="Calibri" w:hAnsi="Calibri"/>
        </w:rPr>
        <w:t>, package scripts, release manifests, active launch documents and relevant runbooks in full.</w:t>
      </w:r>
    </w:p>
    <w:p>
      <w:pPr>
        <w:pStyle w:val="ListNumber"/>
      </w:pPr>
      <w:r>
        <w:rPr>
          <w:rFonts w:ascii="Calibri" w:hAnsi="Calibri"/>
        </w:rPr>
        <w:t>Compare current HEAD to the audit anchor. Classify changes as product code, tests, configuration, migrations, active documentation, or historical documentation.</w:t>
      </w:r>
    </w:p>
    <w:p>
      <w:pPr>
        <w:pStyle w:val="ListNumber"/>
      </w:pPr>
      <w:r>
        <w:rPr>
          <w:rFonts w:ascii="Calibri" w:hAnsi="Calibri"/>
        </w:rPr>
        <w:t>Re-check every finding named in the later prompts against current code. If already correctly fixed, do not redo it; prove it with file references and tests.</w:t>
      </w:r>
    </w:p>
    <w:p>
      <w:pPr>
        <w:pStyle w:val="ListNumber"/>
      </w:pPr>
      <w:r>
        <w:rPr>
          <w:rFonts w:ascii="Calibri" w:hAnsi="Calibri"/>
        </w:rPr>
        <w:t>Produce a concise baseline report with: confirmed open findings, already-closed findings, new conflicts, commands available, commands requiring external environment, and files likely to change.</w:t>
      </w:r>
    </w:p>
    <w:p>
      <w:pPr>
        <w:pStyle w:val="ListNumber"/>
      </w:pPr>
      <w:r>
        <w:rPr>
          <w:rFonts w:ascii="Calibri" w:hAnsi="Calibri"/>
        </w:rPr>
        <w:t>Stop after the report. Make no edits in this prompt.</w:t>
      </w:r>
    </w:p>
    <w:p>
      <w:pPr>
        <w:pStyle w:val="Heading2"/>
      </w:pPr>
      <w:r>
        <w:t>Required output</w:t>
      </w:r>
    </w:p>
    <w:p>
      <w:pPr>
        <w:pStyle w:val="ListBullet"/>
      </w:pPr>
      <w:r>
        <w:rPr>
          <w:rFonts w:ascii="Calibri" w:hAnsi="Calibri"/>
        </w:rPr>
        <w:t>Exact current HEAD and clean/dirty status.</w:t>
      </w:r>
    </w:p>
    <w:p>
      <w:pPr>
        <w:pStyle w:val="ListBullet"/>
      </w:pPr>
      <w:r>
        <w:rPr>
          <w:rFonts w:ascii="Calibri" w:hAnsi="Calibri"/>
        </w:rPr>
        <w:t xml:space="preserve">A finding matrix: </w:t>
      </w:r>
      <w:r>
        <w:rPr>
          <w:rFonts w:ascii="Consolas" w:hAnsi="Consolas"/>
          <w:color w:val="1F4D78"/>
          <w:sz w:val="19"/>
        </w:rPr>
        <w:t>finding | current truth | evidence | required next prompt</w:t>
      </w:r>
      <w:r>
        <w:rPr>
          <w:rFonts w:ascii="Calibri" w:hAnsi="Calibri"/>
        </w:rPr>
        <w:t>.</w:t>
      </w:r>
    </w:p>
    <w:p>
      <w:pPr>
        <w:pStyle w:val="ListBullet"/>
      </w:pPr>
      <w:r>
        <w:rPr>
          <w:rFonts w:ascii="Calibri" w:hAnsi="Calibri"/>
        </w:rPr>
        <w:t>Explicit list of operations that remain owner-only.</w:t>
      </w:r>
    </w:p>
    <w:p>
      <w:pPr>
        <w:pStyle w:val="ListBullet"/>
      </w:pPr>
      <w:r>
        <w:rPr>
          <w:rFonts w:ascii="Calibri" w:hAnsi="Calibri"/>
        </w:rPr>
        <w:t>A statement that no files, external systems or production resources were changed.</w:t>
      </w:r>
    </w:p>
    <w:p>
      <w:pPr>
        <w:pageBreakBefore/>
        <w:spacing w:before="0" w:after="80"/>
      </w:pPr>
      <w:r>
        <w:rPr>
          <w:rFonts w:ascii="Calibri" w:hAnsi="Calibri"/>
          <w:b/>
          <w:color w:val="2E74B5"/>
          <w:sz w:val="20"/>
        </w:rPr>
        <w:t>SC-01</w:t>
      </w:r>
    </w:p>
    <w:p>
      <w:pPr>
        <w:keepNext/>
        <w:spacing w:after="240"/>
      </w:pPr>
      <w:r>
        <w:rPr>
          <w:rFonts w:ascii="Calibri" w:hAnsi="Calibri"/>
          <w:b/>
          <w:color w:val="0B2545"/>
          <w:sz w:val="42"/>
        </w:rPr>
        <w:t>Scalvya — make every active release document tell one current truth</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Repository</w:t>
      </w:r>
    </w:p>
    <w:p>
      <w:r>
        <w:rPr>
          <w:rFonts w:ascii="Calibri" w:hAnsi="Calibri"/>
        </w:rPr>
        <w:t xml:space="preserve">Work only in </w:t>
      </w:r>
      <w:r>
        <w:rPr>
          <w:rFonts w:ascii="Consolas" w:hAnsi="Consolas"/>
          <w:color w:val="1F4D78"/>
          <w:sz w:val="19"/>
        </w:rPr>
        <w:t>primocera/LaunchBloom</w:t>
      </w:r>
      <w:r>
        <w:rPr>
          <w:rFonts w:ascii="Calibri" w:hAnsi="Calibri"/>
        </w:rPr>
        <w:t>. Customer-facing name is Scalvya. Retired names may appear only in explicitly labelled history or migration context.</w:t>
      </w:r>
    </w:p>
    <w:p>
      <w:pPr>
        <w:pStyle w:val="Heading2"/>
      </w:pPr>
      <w:r>
        <w:t>Problem to solve</w:t>
      </w:r>
    </w:p>
    <w:p>
      <w:r>
        <w:rPr>
          <w:rFonts w:ascii="Calibri" w:hAnsi="Calibri"/>
        </w:rPr>
        <w:t xml:space="preserve">The machine-readable launch state is pinned to candidate </w:t>
      </w:r>
      <w:r>
        <w:rPr>
          <w:rFonts w:ascii="Consolas" w:hAnsi="Consolas"/>
          <w:color w:val="1F4D78"/>
          <w:sz w:val="19"/>
        </w:rPr>
        <w:t>81993ff...</w:t>
      </w:r>
      <w:r>
        <w:rPr>
          <w:rFonts w:ascii="Calibri" w:hAnsi="Calibri"/>
        </w:rPr>
        <w:t xml:space="preserve"> and computes </w:t>
      </w:r>
      <w:r>
        <w:rPr>
          <w:rFonts w:ascii="Consolas" w:hAnsi="Consolas"/>
          <w:color w:val="1F4D78"/>
          <w:sz w:val="19"/>
        </w:rPr>
        <w:t>capped_beta: GO</w:t>
      </w:r>
      <w:r>
        <w:rPr>
          <w:rFonts w:ascii="Calibri" w:hAnsi="Calibri"/>
        </w:rPr>
        <w:t xml:space="preserve"> plus </w:t>
      </w:r>
      <w:r>
        <w:rPr>
          <w:rFonts w:ascii="Consolas" w:hAnsi="Consolas"/>
          <w:color w:val="1F4D78"/>
          <w:sz w:val="19"/>
        </w:rPr>
        <w:t>public_paid: CONDITIONAL GO</w:t>
      </w:r>
      <w:r>
        <w:rPr>
          <w:rFonts w:ascii="Calibri" w:hAnsi="Calibri"/>
        </w:rPr>
        <w:t xml:space="preserve">. However, </w:t>
      </w:r>
      <w:r>
        <w:rPr>
          <w:rFonts w:ascii="Consolas" w:hAnsi="Consolas"/>
          <w:color w:val="1F4D78"/>
          <w:sz w:val="19"/>
        </w:rPr>
        <w:t>docs/OWNER_HANDOFF_V14.md</w:t>
      </w:r>
      <w:r>
        <w:rPr>
          <w:rFonts w:ascii="Calibri" w:hAnsi="Calibri"/>
        </w:rPr>
        <w:t xml:space="preserve"> still contains active-looking instructions saying the manifest is pinned to v13 </w:t>
      </w:r>
      <w:r>
        <w:rPr>
          <w:rFonts w:ascii="Consolas" w:hAnsi="Consolas"/>
          <w:color w:val="1F4D78"/>
          <w:sz w:val="19"/>
        </w:rPr>
        <w:t>5523187</w:t>
      </w:r>
      <w:r>
        <w:rPr>
          <w:rFonts w:ascii="Calibri" w:hAnsi="Calibri"/>
        </w:rPr>
        <w:t xml:space="preserve">, public paid is </w:t>
      </w:r>
      <w:r>
        <w:rPr>
          <w:rFonts w:ascii="Consolas" w:hAnsi="Consolas"/>
          <w:color w:val="1F4D78"/>
          <w:sz w:val="19"/>
        </w:rPr>
        <w:t>NO-GO</w:t>
      </w:r>
      <w:r>
        <w:rPr>
          <w:rFonts w:ascii="Calibri" w:hAnsi="Calibri"/>
        </w:rPr>
        <w:t xml:space="preserve">, and the router risk is not accepted. A human can therefore read two contradictory current launch truths even though </w:t>
      </w:r>
      <w:r>
        <w:rPr>
          <w:rFonts w:ascii="Consolas" w:hAnsi="Consolas"/>
          <w:color w:val="1F4D78"/>
          <w:sz w:val="19"/>
        </w:rPr>
        <w:t>launch:verify</w:t>
      </w:r>
      <w:r>
        <w:rPr>
          <w:rFonts w:ascii="Calibri" w:hAnsi="Calibri"/>
        </w:rPr>
        <w:t xml:space="preserve"> passes.</w:t>
      </w:r>
    </w:p>
    <w:p>
      <w:pPr>
        <w:pStyle w:val="Heading2"/>
      </w:pPr>
      <w:r>
        <w:t>Required investigation</w:t>
      </w:r>
    </w:p>
    <w:p>
      <w:pPr>
        <w:pStyle w:val="ListBullet"/>
      </w:pPr>
      <w:r>
        <w:rPr>
          <w:rFonts w:ascii="Calibri" w:hAnsi="Calibri"/>
        </w:rPr>
        <w:t xml:space="preserve">Read </w:t>
      </w:r>
      <w:r>
        <w:rPr>
          <w:rFonts w:ascii="Consolas" w:hAnsi="Consolas"/>
          <w:color w:val="1F4D78"/>
          <w:sz w:val="19"/>
        </w:rPr>
        <w:t>docs/launch/launch-state.json</w:t>
      </w:r>
      <w:r>
        <w:rPr>
          <w:rFonts w:ascii="Calibri" w:hAnsi="Calibri"/>
        </w:rPr>
        <w:t xml:space="preserve">, </w:t>
      </w:r>
      <w:r>
        <w:rPr>
          <w:rFonts w:ascii="Consolas" w:hAnsi="Consolas"/>
          <w:color w:val="1F4D78"/>
          <w:sz w:val="19"/>
        </w:rPr>
        <w:t>docs/LAUNCH_STATE.md</w:t>
      </w:r>
      <w:r>
        <w:rPr>
          <w:rFonts w:ascii="Calibri" w:hAnsi="Calibri"/>
        </w:rPr>
        <w:t xml:space="preserve">, </w:t>
      </w:r>
      <w:r>
        <w:rPr>
          <w:rFonts w:ascii="Consolas" w:hAnsi="Consolas"/>
          <w:color w:val="1F4D78"/>
          <w:sz w:val="19"/>
        </w:rPr>
        <w:t>docs/OWNER_HANDOFF_V14.md</w:t>
      </w:r>
      <w:r>
        <w:rPr>
          <w:rFonts w:ascii="Calibri" w:hAnsi="Calibri"/>
        </w:rPr>
        <w:t xml:space="preserve">, every current go/no-go or handoff document, and </w:t>
      </w:r>
      <w:r>
        <w:rPr>
          <w:rFonts w:ascii="Consolas" w:hAnsi="Consolas"/>
          <w:color w:val="1F4D78"/>
          <w:sz w:val="19"/>
        </w:rPr>
        <w:t>backend/lib/launch-state.js</w:t>
      </w:r>
      <w:r>
        <w:rPr>
          <w:rFonts w:ascii="Calibri" w:hAnsi="Calibri"/>
        </w:rPr>
        <w:t>.</w:t>
      </w:r>
    </w:p>
    <w:p>
      <w:pPr>
        <w:pStyle w:val="ListBullet"/>
      </w:pPr>
      <w:r>
        <w:rPr>
          <w:rFonts w:ascii="Calibri" w:hAnsi="Calibri"/>
        </w:rPr>
        <w:t>Determine which document is canonical, which files are generated views, and which are historical evidence.</w:t>
      </w:r>
    </w:p>
    <w:p>
      <w:pPr>
        <w:pStyle w:val="ListBullet"/>
      </w:pPr>
      <w:r>
        <w:rPr>
          <w:rFonts w:ascii="Calibri" w:hAnsi="Calibri"/>
        </w:rPr>
        <w:t xml:space="preserve">Search all active docs for candidate SHAs, bundle hashes, test counts, verdict labels, blocker statuses, matrix sizes and phrases such as </w:t>
      </w:r>
      <w:r>
        <w:rPr>
          <w:rFonts w:ascii="Consolas" w:hAnsi="Consolas"/>
          <w:color w:val="1F4D78"/>
          <w:sz w:val="19"/>
        </w:rPr>
        <w:t>still pinned</w:t>
      </w:r>
      <w:r>
        <w:rPr>
          <w:rFonts w:ascii="Calibri" w:hAnsi="Calibri"/>
        </w:rPr>
        <w:t xml:space="preserve">, </w:t>
      </w:r>
      <w:r>
        <w:rPr>
          <w:rFonts w:ascii="Consolas" w:hAnsi="Consolas"/>
          <w:color w:val="1F4D78"/>
          <w:sz w:val="19"/>
        </w:rPr>
        <w:t>NO-GO</w:t>
      </w:r>
      <w:r>
        <w:rPr>
          <w:rFonts w:ascii="Calibri" w:hAnsi="Calibri"/>
        </w:rPr>
        <w:t xml:space="preserve">, </w:t>
      </w:r>
      <w:r>
        <w:rPr>
          <w:rFonts w:ascii="Consolas" w:hAnsi="Consolas"/>
          <w:color w:val="1F4D78"/>
          <w:sz w:val="19"/>
        </w:rPr>
        <w:t>CONDITIONAL GO</w:t>
      </w:r>
      <w:r>
        <w:rPr>
          <w:rFonts w:ascii="Calibri" w:hAnsi="Calibri"/>
        </w:rPr>
        <w:t xml:space="preserve">, </w:t>
      </w:r>
      <w:r>
        <w:rPr>
          <w:rFonts w:ascii="Consolas" w:hAnsi="Consolas"/>
          <w:color w:val="1F4D78"/>
          <w:sz w:val="19"/>
        </w:rPr>
        <w:t>accepted</w:t>
      </w:r>
      <w:r>
        <w:rPr>
          <w:rFonts w:ascii="Calibri" w:hAnsi="Calibri"/>
        </w:rPr>
        <w:t xml:space="preserve">, </w:t>
      </w:r>
      <w:r>
        <w:rPr>
          <w:rFonts w:ascii="Consolas" w:hAnsi="Consolas"/>
          <w:color w:val="1F4D78"/>
          <w:sz w:val="19"/>
        </w:rPr>
        <w:t>not run</w:t>
      </w:r>
      <w:r>
        <w:rPr>
          <w:rFonts w:ascii="Calibri" w:hAnsi="Calibri"/>
        </w:rPr>
        <w:t xml:space="preserve"> and </w:t>
      </w:r>
      <w:r>
        <w:rPr>
          <w:rFonts w:ascii="Consolas" w:hAnsi="Consolas"/>
          <w:color w:val="1F4D78"/>
          <w:sz w:val="19"/>
        </w:rPr>
        <w:t>skipped</w:t>
      </w:r>
      <w:r>
        <w:rPr>
          <w:rFonts w:ascii="Calibri" w:hAnsi="Calibri"/>
        </w:rPr>
        <w:t>.</w:t>
      </w:r>
    </w:p>
    <w:p>
      <w:pPr>
        <w:pStyle w:val="ListBullet"/>
      </w:pPr>
      <w:r>
        <w:rPr>
          <w:rFonts w:ascii="Calibri" w:hAnsi="Calibri"/>
        </w:rPr>
        <w:t>Do not treat a file as historical merely because its contents are stale. It must carry an explicit superseded banner and point to the current source of truth.</w:t>
      </w:r>
    </w:p>
    <w:p>
      <w:pPr>
        <w:pStyle w:val="Heading2"/>
      </w:pPr>
      <w:r>
        <w:t>Implementation requirements</w:t>
      </w:r>
    </w:p>
    <w:p>
      <w:pPr>
        <w:pStyle w:val="ListNumber"/>
      </w:pPr>
      <w:r>
        <w:rPr>
          <w:rFonts w:ascii="Calibri" w:hAnsi="Calibri"/>
        </w:rPr>
        <w:t>Update the current owner handoff so its candidate, bundle, checks, accepted risks and verdicts match the machine-readable launch state exactly; or, if a newer handoff is created, add an unmistakable superseded banner to the old one and link the new canonical record.</w:t>
      </w:r>
    </w:p>
    <w:p>
      <w:pPr>
        <w:pStyle w:val="ListNumber"/>
      </w:pPr>
      <w:r>
        <w:rPr>
          <w:rFonts w:ascii="Calibri" w:hAnsi="Calibri"/>
        </w:rPr>
        <w:t>Remove procedural sections that describe already-completed candidate re-pinning as a future task. Preserve useful owner-only deployment and rollback instructions after reconciling them with current truth.</w:t>
      </w:r>
    </w:p>
    <w:p>
      <w:pPr>
        <w:pStyle w:val="ListNumber"/>
      </w:pPr>
      <w:r>
        <w:rPr>
          <w:rFonts w:ascii="Calibri" w:hAnsi="Calibri"/>
        </w:rPr>
        <w:t xml:space="preserve">Normalize the live-money matrix terminology. The repository must not simultaneously call it a nine-transition matrix and say </w:t>
      </w:r>
      <w:r>
        <w:rPr>
          <w:rFonts w:ascii="Consolas" w:hAnsi="Consolas"/>
          <w:color w:val="1F4D78"/>
          <w:sz w:val="19"/>
        </w:rPr>
        <w:t>step 1 of 7</w:t>
      </w:r>
      <w:r>
        <w:rPr>
          <w:rFonts w:ascii="Calibri" w:hAnsi="Calibri"/>
        </w:rPr>
        <w:t>. Derive the canonical transition list from the current runbook and state machine, then use one exact count everywhere.</w:t>
      </w:r>
    </w:p>
    <w:p>
      <w:pPr>
        <w:pStyle w:val="ListNumber"/>
      </w:pPr>
      <w:r>
        <w:rPr>
          <w:rFonts w:ascii="Calibri" w:hAnsi="Calibri"/>
        </w:rPr>
        <w:t xml:space="preserve">Ensure public paid remains visibly </w:t>
      </w:r>
      <w:r>
        <w:rPr>
          <w:rFonts w:ascii="Consolas" w:hAnsi="Consolas"/>
          <w:color w:val="1F4D78"/>
          <w:sz w:val="19"/>
        </w:rPr>
        <w:t>CONDITIONAL GO</w:t>
      </w:r>
      <w:r>
        <w:rPr>
          <w:rFonts w:ascii="Calibri" w:hAnsi="Calibri"/>
        </w:rPr>
        <w:t xml:space="preserve">, never plain </w:t>
      </w:r>
      <w:r>
        <w:rPr>
          <w:rFonts w:ascii="Consolas" w:hAnsi="Consolas"/>
          <w:color w:val="1F4D78"/>
          <w:sz w:val="19"/>
        </w:rPr>
        <w:t>GO</w:t>
      </w:r>
      <w:r>
        <w:rPr>
          <w:rFonts w:ascii="Calibri" w:hAnsi="Calibri"/>
        </w:rPr>
        <w:t>, while any accepted risk is still unsatisfied.</w:t>
      </w:r>
    </w:p>
    <w:p>
      <w:pPr>
        <w:pStyle w:val="ListNumber"/>
      </w:pPr>
      <w:r>
        <w:rPr>
          <w:rFonts w:ascii="Calibri" w:hAnsi="Calibri"/>
        </w:rPr>
        <w:t>Extend release-integrity tests beyond JSON prose. Add a deterministic test or script that inspects the allowlisted active handoff/rendered documents and fails on:</w:t>
      </w:r>
    </w:p>
    <w:p>
      <w:r>
        <w:rPr>
          <w:rFonts w:ascii="Calibri" w:hAnsi="Calibri"/>
        </w:rPr>
        <w:t xml:space="preserve">   - a non-historical candidate SHA different from </w:t>
      </w:r>
      <w:r>
        <w:rPr>
          <w:rFonts w:ascii="Consolas" w:hAnsi="Consolas"/>
          <w:color w:val="1F4D78"/>
          <w:sz w:val="19"/>
        </w:rPr>
        <w:t>candidate.sha</w:t>
      </w:r>
      <w:r>
        <w:rPr>
          <w:rFonts w:ascii="Calibri" w:hAnsi="Calibri"/>
        </w:rPr>
        <w:t>;</w:t>
      </w:r>
    </w:p>
    <w:p>
      <w:r>
        <w:rPr>
          <w:rFonts w:ascii="Calibri" w:hAnsi="Calibri"/>
        </w:rPr>
        <w:t xml:space="preserve">   - a current verdict different from the computed verdict;</w:t>
      </w:r>
    </w:p>
    <w:p>
      <w:r>
        <w:rPr>
          <w:rFonts w:ascii="Calibri" w:hAnsi="Calibri"/>
        </w:rPr>
        <w:t xml:space="preserve">   - a blocker described as open in one active document and closed/accepted in another;</w:t>
      </w:r>
    </w:p>
    <w:p>
      <w:r>
        <w:rPr>
          <w:rFonts w:ascii="Calibri" w:hAnsi="Calibri"/>
        </w:rPr>
        <w:t xml:space="preserve">   - a current bundle hash different from the candidate bundle;</w:t>
      </w:r>
    </w:p>
    <w:p>
      <w:r>
        <w:rPr>
          <w:rFonts w:ascii="Calibri" w:hAnsi="Calibri"/>
        </w:rPr>
        <w:t xml:space="preserve">   - inconsistent transition counts.</w:t>
      </w:r>
    </w:p>
    <w:p>
      <w:pPr>
        <w:pStyle w:val="ListNumber"/>
      </w:pPr>
      <w:r>
        <w:rPr>
          <w:rFonts w:ascii="Calibri" w:hAnsi="Calibri"/>
        </w:rPr>
        <w:t>Keep historical evidence readable. The scanner must allow old SHAs only inside explicitly labelled historical/superseded sections.</w:t>
      </w:r>
    </w:p>
    <w:p>
      <w:pPr>
        <w:pStyle w:val="ListNumber"/>
      </w:pPr>
      <w:r>
        <w:rPr>
          <w:rFonts w:ascii="Calibri" w:hAnsi="Calibri"/>
        </w:rPr>
        <w:t xml:space="preserve">Regenerate </w:t>
      </w:r>
      <w:r>
        <w:rPr>
          <w:rFonts w:ascii="Consolas" w:hAnsi="Consolas"/>
          <w:color w:val="1F4D78"/>
          <w:sz w:val="19"/>
        </w:rPr>
        <w:t>docs/LAUNCH_STATE.md</w:t>
      </w:r>
      <w:r>
        <w:rPr>
          <w:rFonts w:ascii="Calibri" w:hAnsi="Calibri"/>
        </w:rPr>
        <w:t xml:space="preserve"> through the existing render command instead of hand-editing generated output.</w:t>
      </w:r>
    </w:p>
    <w:p>
      <w:pPr>
        <w:pStyle w:val="Heading2"/>
      </w:pPr>
      <w:r>
        <w:t>Tests and commands</w:t>
      </w:r>
    </w:p>
    <w:p>
      <w:r>
        <w:rPr>
          <w:rFonts w:ascii="Calibri" w:hAnsi="Calibri"/>
        </w:rPr>
        <w:t>Run at minimum:</w:t>
      </w:r>
    </w:p>
    <w:p>
      <w:pPr>
        <w:pStyle w:val="CodeBlock"/>
      </w:pPr>
      <w:r>
        <w:t>npm run lint</w:t>
        <w:br/>
        <w:t>npm test -- --test-name-pattern="launch|content contract"</w:t>
        <w:br/>
        <w:t>npm run launch:verify</w:t>
        <w:br/>
        <w:t>npm run launch:drift</w:t>
        <w:br/>
        <w:t>npm run launch:render</w:t>
        <w:br/>
        <w:t>npm run launch:verify</w:t>
        <w:br/>
        <w:t>git diff --check</w:t>
      </w:r>
    </w:p>
    <w:p>
      <w:r>
        <w:rPr>
          <w:rFonts w:ascii="Calibri" w:hAnsi="Calibri"/>
        </w:rPr>
        <w:t>If the test runner does not accept the filter syntax, use the repository's exact supported equivalent and report it.</w:t>
      </w:r>
    </w:p>
    <w:p>
      <w:pPr>
        <w:pStyle w:val="Heading2"/>
      </w:pPr>
      <w:r>
        <w:t>Acceptance criteria</w:t>
      </w:r>
    </w:p>
    <w:p>
      <w:pPr>
        <w:pStyle w:val="ListBullet"/>
      </w:pPr>
      <w:r>
        <w:rPr>
          <w:rFonts w:ascii="Calibri" w:hAnsi="Calibri"/>
        </w:rPr>
        <w:t>There is one unmistakable active launch truth.</w:t>
      </w:r>
    </w:p>
    <w:p>
      <w:pPr>
        <w:pStyle w:val="ListBullet"/>
      </w:pPr>
      <w:r>
        <w:rPr>
          <w:rFonts w:ascii="Calibri" w:hAnsi="Calibri"/>
        </w:rPr>
        <w:t>No active owner document claims the v14 candidate is still v13.</w:t>
      </w:r>
    </w:p>
    <w:p>
      <w:pPr>
        <w:pStyle w:val="ListBullet"/>
      </w:pPr>
      <w:r>
        <w:rPr>
          <w:rFonts w:ascii="Consolas" w:hAnsi="Consolas"/>
          <w:color w:val="1F4D78"/>
          <w:sz w:val="19"/>
        </w:rPr>
        <w:t>capped_beta</w:t>
      </w:r>
      <w:r>
        <w:rPr>
          <w:rFonts w:ascii="Calibri" w:hAnsi="Calibri"/>
        </w:rPr>
        <w:t xml:space="preserve"> and </w:t>
      </w:r>
      <w:r>
        <w:rPr>
          <w:rFonts w:ascii="Consolas" w:hAnsi="Consolas"/>
          <w:color w:val="1F4D78"/>
          <w:sz w:val="19"/>
        </w:rPr>
        <w:t>public_paid</w:t>
      </w:r>
      <w:r>
        <w:rPr>
          <w:rFonts w:ascii="Calibri" w:hAnsi="Calibri"/>
        </w:rPr>
        <w:t xml:space="preserve"> wording exactly matches computed state.</w:t>
      </w:r>
    </w:p>
    <w:p>
      <w:pPr>
        <w:pStyle w:val="ListBullet"/>
      </w:pPr>
      <w:r>
        <w:rPr>
          <w:rFonts w:ascii="Calibri" w:hAnsi="Calibri"/>
        </w:rPr>
        <w:t>Accepted risks remain accepted, not silently converted to satisfied.</w:t>
      </w:r>
    </w:p>
    <w:p>
      <w:pPr>
        <w:pStyle w:val="ListBullet"/>
      </w:pPr>
      <w:r>
        <w:rPr>
          <w:rFonts w:ascii="Calibri" w:hAnsi="Calibri"/>
        </w:rPr>
        <w:t>A regression test fails when the stale handoff contradiction is reintroduced.</w:t>
      </w:r>
    </w:p>
    <w:p>
      <w:pPr>
        <w:pStyle w:val="ListBullet"/>
      </w:pPr>
      <w:r>
        <w:rPr>
          <w:rFonts w:ascii="Calibri" w:hAnsi="Calibri"/>
        </w:rPr>
        <w:t>No production observation or owner action is invented.</w:t>
      </w:r>
    </w:p>
    <w:p>
      <w:pPr>
        <w:pStyle w:val="Heading2"/>
      </w:pPr>
      <w:r>
        <w:t>Final response</w:t>
      </w:r>
    </w:p>
    <w:p>
      <w:r>
        <w:rPr>
          <w:rFonts w:ascii="Calibri" w:hAnsi="Calibri"/>
        </w:rPr>
        <w:t>List changed files, the contradictions removed, tests with exact counts, remaining accepted risks, and the exact command that regenerates the human-readable launch state. Do not deploy or push.</w:t>
      </w:r>
    </w:p>
    <w:p>
      <w:pPr>
        <w:pageBreakBefore/>
        <w:spacing w:before="0" w:after="80"/>
      </w:pPr>
      <w:r>
        <w:rPr>
          <w:rFonts w:ascii="Calibri" w:hAnsi="Calibri"/>
          <w:b/>
          <w:color w:val="2E74B5"/>
          <w:sz w:val="20"/>
        </w:rPr>
        <w:t>SC-02</w:t>
      </w:r>
    </w:p>
    <w:p>
      <w:pPr>
        <w:keepNext/>
        <w:spacing w:after="240"/>
      </w:pPr>
      <w:r>
        <w:rPr>
          <w:rFonts w:ascii="Calibri" w:hAnsi="Calibri"/>
          <w:b/>
          <w:color w:val="0B2545"/>
          <w:sz w:val="42"/>
        </w:rPr>
        <w:t>Scalvya — idempotent Stripe customer linking and orphan recovery</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Repository and scope</w:t>
      </w:r>
    </w:p>
    <w:p>
      <w:r>
        <w:rPr>
          <w:rFonts w:ascii="Calibri" w:hAnsi="Calibri"/>
        </w:rPr>
        <w:t xml:space="preserve">Work only in </w:t>
      </w:r>
      <w:r>
        <w:rPr>
          <w:rFonts w:ascii="Consolas" w:hAnsi="Consolas"/>
          <w:color w:val="1F4D78"/>
          <w:sz w:val="19"/>
        </w:rPr>
        <w:t>primocera/LaunchBloom</w:t>
      </w:r>
      <w:r>
        <w:rPr>
          <w:rFonts w:ascii="Calibri" w:hAnsi="Calibri"/>
        </w:rPr>
        <w:t xml:space="preserve">. Focus on the checkout path around </w:t>
      </w:r>
      <w:r>
        <w:rPr>
          <w:rFonts w:ascii="Consolas" w:hAnsi="Consolas"/>
          <w:color w:val="1F4D78"/>
          <w:sz w:val="19"/>
        </w:rPr>
        <w:t>backend/routes/payments.js</w:t>
      </w:r>
      <w:r>
        <w:rPr>
          <w:rFonts w:ascii="Calibri" w:hAnsi="Calibri"/>
        </w:rPr>
        <w:t>, customer/entitlement helpers, Stripe wrapper, tests and billing operations documentation.</w:t>
      </w:r>
    </w:p>
    <w:p>
      <w:pPr>
        <w:pStyle w:val="Heading2"/>
      </w:pPr>
      <w:r>
        <w:t>Problem to solve</w:t>
      </w:r>
    </w:p>
    <w:p>
      <w:r>
        <w:rPr>
          <w:rFonts w:ascii="Calibri" w:hAnsi="Calibri"/>
        </w:rPr>
        <w:t xml:space="preserve">Checkout now fails closed when the Supabase customer read or link write fails. That prevents a checkout session from opening, but </w:t>
      </w:r>
      <w:r>
        <w:rPr>
          <w:rFonts w:ascii="Consolas" w:hAnsi="Consolas"/>
          <w:color w:val="1F4D78"/>
          <w:sz w:val="19"/>
        </w:rPr>
        <w:t>stripe.customers.create()</w:t>
      </w:r>
      <w:r>
        <w:rPr>
          <w:rFonts w:ascii="Calibri" w:hAnsi="Calibri"/>
        </w:rPr>
        <w:t xml:space="preserve"> is still called without a stable idempotency key. If the database upsert fails, an unlinked Stripe customer remains; a retry can create another because Stripe does not deduplicate Customer objects by email. The existing test proves one failed attempt, not retry safety.</w:t>
      </w:r>
    </w:p>
    <w:p>
      <w:pPr>
        <w:pStyle w:val="Heading2"/>
      </w:pPr>
      <w:r>
        <w:t>Required design properties</w:t>
      </w:r>
    </w:p>
    <w:p>
      <w:pPr>
        <w:pStyle w:val="ListBullet"/>
      </w:pPr>
      <w:r>
        <w:rPr>
          <w:rFonts w:ascii="Calibri" w:hAnsi="Calibri"/>
        </w:rPr>
        <w:t>A verified database absence is different from an unavailable read.</w:t>
      </w:r>
    </w:p>
    <w:p>
      <w:pPr>
        <w:pStyle w:val="ListBullet"/>
      </w:pPr>
      <w:r>
        <w:rPr>
          <w:rFonts w:ascii="Calibri" w:hAnsi="Calibri"/>
        </w:rPr>
        <w:t>All gating reads occur before any Stripe mutation.</w:t>
      </w:r>
    </w:p>
    <w:p>
      <w:pPr>
        <w:pStyle w:val="ListBullet"/>
      </w:pPr>
      <w:r>
        <w:rPr>
          <w:rFonts w:ascii="Calibri" w:hAnsi="Calibri"/>
        </w:rPr>
        <w:t>Customer creation is idempotent for the same authenticated Scalvya user.</w:t>
      </w:r>
    </w:p>
    <w:p>
      <w:pPr>
        <w:pStyle w:val="ListBullet"/>
      </w:pPr>
      <w:r>
        <w:rPr>
          <w:rFonts w:ascii="Calibri" w:hAnsi="Calibri"/>
        </w:rPr>
        <w:t>A checkout session is never created until the Stripe customer link is durably stored and re-read or otherwise authoritatively verified.</w:t>
      </w:r>
    </w:p>
    <w:p>
      <w:pPr>
        <w:pStyle w:val="ListBullet"/>
      </w:pPr>
      <w:r>
        <w:rPr>
          <w:rFonts w:ascii="Calibri" w:hAnsi="Calibri"/>
        </w:rPr>
        <w:t>Retry after an ambiguous or failed link write reuses the same customer whenever safely possible.</w:t>
      </w:r>
    </w:p>
    <w:p>
      <w:pPr>
        <w:pStyle w:val="ListBullet"/>
      </w:pPr>
      <w:r>
        <w:rPr>
          <w:rFonts w:ascii="Calibri" w:hAnsi="Calibri"/>
        </w:rPr>
        <w:t>Multiple matching Stripe customers produce an explicit reconciliation-required failure, never an arbitrary selection.</w:t>
      </w:r>
    </w:p>
    <w:p>
      <w:pPr>
        <w:pStyle w:val="ListBullet"/>
      </w:pPr>
      <w:r>
        <w:rPr>
          <w:rFonts w:ascii="Calibri" w:hAnsi="Calibri"/>
        </w:rPr>
        <w:t>Identity uses stable internal user ID plus app namespace. Do not use raw email in an idempotency key or log.</w:t>
      </w:r>
    </w:p>
    <w:p>
      <w:pPr>
        <w:pStyle w:val="ListBullet"/>
      </w:pPr>
      <w:r>
        <w:rPr>
          <w:rFonts w:ascii="Calibri" w:hAnsi="Calibri"/>
        </w:rPr>
        <w:t>Do not automatically delete a Stripe customer after an ambiguous write; deletion is unsafe without proving that no subscription/session references it.</w:t>
      </w:r>
    </w:p>
    <w:p>
      <w:pPr>
        <w:pStyle w:val="Heading2"/>
      </w:pPr>
      <w:r>
        <w:t>Implementation requirements</w:t>
      </w:r>
    </w:p>
    <w:p>
      <w:pPr>
        <w:pStyle w:val="ListNumber"/>
      </w:pPr>
      <w:r>
        <w:rPr>
          <w:rFonts w:ascii="Calibri" w:hAnsi="Calibri"/>
        </w:rPr>
        <w:t xml:space="preserve">Read current authentication identity semantics and prove whether </w:t>
      </w:r>
      <w:r>
        <w:rPr>
          <w:rFonts w:ascii="Consolas" w:hAnsi="Consolas"/>
          <w:color w:val="1F4D78"/>
          <w:sz w:val="19"/>
        </w:rPr>
        <w:t>req.userId</w:t>
      </w:r>
      <w:r>
        <w:rPr>
          <w:rFonts w:ascii="Calibri" w:hAnsi="Calibri"/>
        </w:rPr>
        <w:t xml:space="preserve"> is stable and always available. If it is unavailable, fail closed before customer creation rather than falling back to an unhashed email identifier.</w:t>
      </w:r>
    </w:p>
    <w:p>
      <w:pPr>
        <w:pStyle w:val="ListNumber"/>
      </w:pPr>
      <w:r>
        <w:rPr>
          <w:rFonts w:ascii="Calibri" w:hAnsi="Calibri"/>
        </w:rPr>
        <w:t>Add a namespaced Stripe idempotency key for customer creation, passed through the Stripe SDK request-options argument. It must be deterministic for the authenticated user and app, contain no PII, and remain unchanged across retries that should converge.</w:t>
      </w:r>
    </w:p>
    <w:p>
      <w:pPr>
        <w:pStyle w:val="ListNumber"/>
      </w:pPr>
      <w:r>
        <w:rPr>
          <w:rFonts w:ascii="Calibri" w:hAnsi="Calibri"/>
        </w:rPr>
        <w:t>Before creating a new Customer after a verified database no-row, implement a read-only recovery lookup for an existing Scalvya-owned Stripe customer using the app metadata and stable user identifier. Use exact app ownership metadata; never adopt another product's customer from the shared Stripe account.</w:t>
      </w:r>
    </w:p>
    <w:p>
      <w:pPr>
        <w:pStyle w:val="ListNumber"/>
      </w:pPr>
      <w:r>
        <w:rPr>
          <w:rFonts w:ascii="Calibri" w:hAnsi="Calibri"/>
        </w:rPr>
        <w:t>Define outcomes for zero, one and multiple recoverable candidates:</w:t>
      </w:r>
    </w:p>
    <w:p>
      <w:r>
        <w:rPr>
          <w:rFonts w:ascii="Calibri" w:hAnsi="Calibri"/>
        </w:rPr>
        <w:t xml:space="preserve">   - zero: create idempotently;</w:t>
      </w:r>
    </w:p>
    <w:p>
      <w:r>
        <w:rPr>
          <w:rFonts w:ascii="Calibri" w:hAnsi="Calibri"/>
        </w:rPr>
        <w:t xml:space="preserve">   - one: verify it is live/not deleted, persist it, then continue;</w:t>
      </w:r>
    </w:p>
    <w:p>
      <w:r>
        <w:rPr>
          <w:rFonts w:ascii="Calibri" w:hAnsi="Calibri"/>
        </w:rPr>
        <w:t xml:space="preserve">   - multiple: fail closed with a stable internal code and emit a redacted reconciliation signal.</w:t>
      </w:r>
    </w:p>
    <w:p>
      <w:pPr>
        <w:pStyle w:val="ListNumber"/>
      </w:pPr>
      <w:r>
        <w:rPr>
          <w:rFonts w:ascii="Calibri" w:hAnsi="Calibri"/>
        </w:rPr>
        <w:t>After upsert, verify the stored row refers to the expected Stripe customer. Handle unique/conflict races explicitly. Never open checkout if the row points elsewhere.</w:t>
      </w:r>
    </w:p>
    <w:p>
      <w:pPr>
        <w:pStyle w:val="ListNumber"/>
      </w:pPr>
      <w:r>
        <w:rPr>
          <w:rFonts w:ascii="Calibri" w:hAnsi="Calibri"/>
        </w:rPr>
        <w:t xml:space="preserve">Preserve the existing safe customer-facing </w:t>
      </w:r>
      <w:r>
        <w:rPr>
          <w:rFonts w:ascii="Consolas" w:hAnsi="Consolas"/>
          <w:color w:val="1F4D78"/>
          <w:sz w:val="19"/>
        </w:rPr>
        <w:t>503</w:t>
      </w:r>
      <w:r>
        <w:rPr>
          <w:rFonts w:ascii="Calibri" w:hAnsi="Calibri"/>
        </w:rPr>
        <w:t xml:space="preserve"> shape. Provider details stay server-side and redacted.</w:t>
      </w:r>
    </w:p>
    <w:p>
      <w:pPr>
        <w:pStyle w:val="ListNumber"/>
      </w:pPr>
      <w:r>
        <w:rPr>
          <w:rFonts w:ascii="Calibri" w:hAnsi="Calibri"/>
        </w:rPr>
        <w:t>Add an operator reconciliation helper or documented read-only procedure that can find Scalvya orphan customers by metadata without printing emails.</w:t>
      </w:r>
    </w:p>
    <w:p>
      <w:pPr>
        <w:pStyle w:val="ListNumber"/>
      </w:pPr>
      <w:r>
        <w:rPr>
          <w:rFonts w:ascii="Calibri" w:hAnsi="Calibri"/>
        </w:rPr>
        <w:t>Correct comments claiming Stripe email dedupe will reuse a customer; that claim is false.</w:t>
      </w:r>
    </w:p>
    <w:p>
      <w:pPr>
        <w:pStyle w:val="Heading2"/>
      </w:pPr>
      <w:r>
        <w:t>Required regression tests</w:t>
      </w:r>
    </w:p>
    <w:p>
      <w:pPr>
        <w:pStyle w:val="ListBullet"/>
      </w:pPr>
      <w:r>
        <w:rPr>
          <w:rFonts w:ascii="Calibri" w:hAnsi="Calibri"/>
        </w:rPr>
        <w:t>Customer table read error: zero Stripe calls.</w:t>
      </w:r>
    </w:p>
    <w:p>
      <w:pPr>
        <w:pStyle w:val="ListBullet"/>
      </w:pPr>
      <w:r>
        <w:rPr>
          <w:rFonts w:ascii="Calibri" w:hAnsi="Calibri"/>
        </w:rPr>
        <w:t>Verified no customer: exactly one customer creation and one checkout session after a durable link.</w:t>
      </w:r>
    </w:p>
    <w:p>
      <w:pPr>
        <w:pStyle w:val="ListBullet"/>
      </w:pPr>
      <w:r>
        <w:rPr>
          <w:rFonts w:ascii="Calibri" w:hAnsi="Calibri"/>
        </w:rPr>
        <w:t xml:space="preserve">Link upsert fails: zero checkout sessions and safe </w:t>
      </w:r>
      <w:r>
        <w:rPr>
          <w:rFonts w:ascii="Consolas" w:hAnsi="Consolas"/>
          <w:color w:val="1F4D78"/>
          <w:sz w:val="19"/>
        </w:rPr>
        <w:t>503</w:t>
      </w:r>
      <w:r>
        <w:rPr>
          <w:rFonts w:ascii="Calibri" w:hAnsi="Calibri"/>
        </w:rPr>
        <w:t>.</w:t>
      </w:r>
    </w:p>
    <w:p>
      <w:pPr>
        <w:pStyle w:val="ListBullet"/>
      </w:pPr>
      <w:r>
        <w:rPr>
          <w:rFonts w:ascii="Calibri" w:hAnsi="Calibri"/>
        </w:rPr>
        <w:t>Immediate retry after the failed upsert: same Stripe customer ID reused; no second Customer object.</w:t>
      </w:r>
    </w:p>
    <w:p>
      <w:pPr>
        <w:pStyle w:val="ListBullet"/>
      </w:pPr>
      <w:r>
        <w:rPr>
          <w:rFonts w:ascii="Calibri" w:hAnsi="Calibri"/>
        </w:rPr>
        <w:t>Concurrent duplicate requests: one logical customer and no duplicate subscription session.</w:t>
      </w:r>
    </w:p>
    <w:p>
      <w:pPr>
        <w:pStyle w:val="ListBullet"/>
      </w:pPr>
      <w:r>
        <w:rPr>
          <w:rFonts w:ascii="Calibri" w:hAnsi="Calibri"/>
        </w:rPr>
        <w:t>Existing valid linked customer: no create call.</w:t>
      </w:r>
    </w:p>
    <w:p>
      <w:pPr>
        <w:pStyle w:val="ListBullet"/>
      </w:pPr>
      <w:r>
        <w:rPr>
          <w:rFonts w:ascii="Calibri" w:hAnsi="Calibri"/>
        </w:rPr>
        <w:t>Stale/deleted linked customer: deterministic recovery without exposing PII.</w:t>
      </w:r>
    </w:p>
    <w:p>
      <w:pPr>
        <w:pStyle w:val="ListBullet"/>
      </w:pPr>
      <w:r>
        <w:rPr>
          <w:rFonts w:ascii="Calibri" w:hAnsi="Calibri"/>
        </w:rPr>
        <w:t>Multiple recovery candidates: reconciliation-required failure, zero checkout sessions.</w:t>
      </w:r>
    </w:p>
    <w:p>
      <w:pPr>
        <w:pStyle w:val="ListBullet"/>
      </w:pPr>
      <w:r>
        <w:rPr>
          <w:rFonts w:ascii="Calibri" w:hAnsi="Calibri"/>
        </w:rPr>
        <w:t>Foreign-product customer with same email/user-like metadata: never adopted.</w:t>
      </w:r>
    </w:p>
    <w:p>
      <w:pPr>
        <w:pStyle w:val="ListBullet"/>
      </w:pPr>
      <w:r>
        <w:rPr>
          <w:rFonts w:ascii="Calibri" w:hAnsi="Calibri"/>
        </w:rPr>
        <w:t>Logs contain neither the full email nor secret/provider payloads.</w:t>
      </w:r>
    </w:p>
    <w:p>
      <w:pPr>
        <w:pStyle w:val="Heading2"/>
      </w:pPr>
      <w:r>
        <w:t>Commands</w:t>
      </w:r>
    </w:p>
    <w:p>
      <w:pPr>
        <w:pStyle w:val="CodeBlock"/>
      </w:pPr>
      <w:r>
        <w:t>npm run lint</w:t>
        <w:br/>
        <w:t>node --test backend/tests/billing-fail-closed-checkout.test.js</w:t>
        <w:br/>
        <w:t>node --test backend/tests/billing-privacy.test.js</w:t>
        <w:br/>
        <w:t>node --test backend/tests/payments.test.js</w:t>
        <w:br/>
        <w:t>node --test backend/tests/customers.test.js</w:t>
        <w:br/>
        <w:t>npm test</w:t>
        <w:br/>
        <w:t>git diff --check</w:t>
      </w:r>
    </w:p>
    <w:p>
      <w:pPr>
        <w:pStyle w:val="Heading2"/>
      </w:pPr>
      <w:r>
        <w:t>Acceptance criteria</w:t>
      </w:r>
    </w:p>
    <w:p>
      <w:r>
        <w:rPr>
          <w:rFonts w:ascii="Calibri" w:hAnsi="Calibri"/>
        </w:rPr>
        <w:t>The retry test must fail against the old implementation and pass after the fix. Do not claim that idempotency is solved only because the first failed attempt creates no Checkout Session. Prove that repeated and concurrent attempts do not multiply Stripe customers or subscriptions.</w:t>
      </w:r>
    </w:p>
    <w:p>
      <w:pPr>
        <w:pStyle w:val="Heading2"/>
      </w:pPr>
      <w:r>
        <w:t>Final response</w:t>
      </w:r>
    </w:p>
    <w:p>
      <w:r>
        <w:rPr>
          <w:rFonts w:ascii="Calibri" w:hAnsi="Calibri"/>
        </w:rPr>
        <w:t>Explain the identity key, recovery algorithm, race handling, safe error behavior, exact tests and any residual limitation such as Stripe idempotency retention. Do not use live Stripe and do not deploy.</w:t>
      </w:r>
    </w:p>
    <w:p>
      <w:pPr>
        <w:pageBreakBefore/>
        <w:spacing w:before="0" w:after="80"/>
      </w:pPr>
      <w:r>
        <w:rPr>
          <w:rFonts w:ascii="Calibri" w:hAnsi="Calibri"/>
          <w:b/>
          <w:color w:val="2E74B5"/>
          <w:sz w:val="20"/>
        </w:rPr>
        <w:t>SC-03</w:t>
      </w:r>
    </w:p>
    <w:p>
      <w:pPr>
        <w:keepNext/>
        <w:spacing w:after="240"/>
      </w:pPr>
      <w:r>
        <w:rPr>
          <w:rFonts w:ascii="Calibri" w:hAnsi="Calibri"/>
          <w:b/>
          <w:color w:val="0B2545"/>
          <w:sz w:val="42"/>
        </w:rPr>
        <w:t>Scalvya — authenticated browser matrix that cannot silently skip</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Goal</w:t>
      </w:r>
    </w:p>
    <w:p>
      <w:r>
        <w:rPr>
          <w:rFonts w:ascii="Calibri" w:hAnsi="Calibri"/>
        </w:rPr>
        <w:t>Turn the existing authenticated E2E harness into release-grade evidence without ever pointing it at production. A missing test environment must remain a visible blocker.</w:t>
      </w:r>
    </w:p>
    <w:p>
      <w:pPr>
        <w:pStyle w:val="Heading2"/>
      </w:pPr>
      <w:r>
        <w:t>Inspect first</w:t>
      </w:r>
    </w:p>
    <w:p>
      <w:pPr>
        <w:pStyle w:val="ListBullet"/>
      </w:pPr>
      <w:r>
        <w:rPr>
          <w:rFonts w:ascii="Consolas" w:hAnsi="Consolas"/>
          <w:color w:val="1F4D78"/>
          <w:sz w:val="19"/>
        </w:rPr>
        <w:t>playwright.config.js</w:t>
      </w:r>
      <w:r>
        <w:rPr>
          <w:rFonts w:ascii="Calibri" w:hAnsi="Calibri"/>
        </w:rPr>
        <w:t xml:space="preserve">, </w:t>
      </w:r>
      <w:r>
        <w:rPr>
          <w:rFonts w:ascii="Consolas" w:hAnsi="Consolas"/>
          <w:color w:val="1F4D78"/>
          <w:sz w:val="19"/>
        </w:rPr>
        <w:t>scripts/e2e-auth.mjs</w:t>
      </w:r>
      <w:r>
        <w:rPr>
          <w:rFonts w:ascii="Calibri" w:hAnsi="Calibri"/>
        </w:rPr>
        <w:t xml:space="preserve">, </w:t>
      </w:r>
      <w:r>
        <w:rPr>
          <w:rFonts w:ascii="Consolas" w:hAnsi="Consolas"/>
          <w:color w:val="1F4D78"/>
          <w:sz w:val="19"/>
        </w:rPr>
        <w:t>e2e/authenticated/**</w:t>
      </w:r>
      <w:r>
        <w:rPr>
          <w:rFonts w:ascii="Calibri" w:hAnsi="Calibri"/>
        </w:rPr>
        <w:t xml:space="preserve">, </w:t>
      </w:r>
      <w:r>
        <w:rPr>
          <w:rFonts w:ascii="Consolas" w:hAnsi="Consolas"/>
          <w:color w:val="1F4D78"/>
          <w:sz w:val="19"/>
        </w:rPr>
        <w:t>docs/RUNBOOK_AUTH_E2E.md</w:t>
      </w:r>
      <w:r>
        <w:rPr>
          <w:rFonts w:ascii="Calibri" w:hAnsi="Calibri"/>
        </w:rPr>
        <w:t>, seed routes/migrations, CI workflows and launch-state check definitions.</w:t>
      </w:r>
    </w:p>
    <w:p>
      <w:pPr>
        <w:pStyle w:val="ListBullet"/>
      </w:pPr>
      <w:r>
        <w:rPr>
          <w:rFonts w:ascii="Calibri" w:hAnsi="Calibri"/>
        </w:rPr>
        <w:t>Confirm how the harness recognises a disposable Supabase target, how the marker works, and whether Stripe/Resend/Anthropic are blanked.</w:t>
      </w:r>
    </w:p>
    <w:p>
      <w:pPr>
        <w:pStyle w:val="ListBullet"/>
      </w:pPr>
      <w:r>
        <w:rPr>
          <w:rFonts w:ascii="Calibri" w:hAnsi="Calibri"/>
        </w:rPr>
        <w:t>List every authenticated project and test. Identify gaps in mobile, keyboard, cross-account isolation, trial eligibility, prior-trial behavior and failure states.</w:t>
      </w:r>
    </w:p>
    <w:p>
      <w:pPr>
        <w:pStyle w:val="Heading2"/>
      </w:pPr>
      <w:r>
        <w:t>Safety contract</w:t>
      </w:r>
    </w:p>
    <w:p>
      <w:pPr>
        <w:pStyle w:val="ListBullet"/>
      </w:pPr>
      <w:r>
        <w:rPr>
          <w:rFonts w:ascii="Calibri" w:hAnsi="Calibri"/>
        </w:rPr>
        <w:t>Production, unknown and unmarked targets must be refused before seeding or browser startup.</w:t>
      </w:r>
    </w:p>
    <w:p>
      <w:pPr>
        <w:pStyle w:val="ListBullet"/>
      </w:pPr>
      <w:r>
        <w:rPr>
          <w:rFonts w:ascii="Calibri" w:hAnsi="Calibri"/>
        </w:rPr>
        <w:t>The runner must verify host allowlist/denylist, explicit E2E marker, non-production environment class and safe credential mode.</w:t>
      </w:r>
    </w:p>
    <w:p>
      <w:pPr>
        <w:pStyle w:val="ListBullet"/>
      </w:pPr>
      <w:r>
        <w:rPr>
          <w:rFonts w:ascii="Calibri" w:hAnsi="Calibri"/>
        </w:rPr>
        <w:t>Never use live Stripe keys. Checkout tests must use Stripe test mode or a deterministic non-money seam.</w:t>
      </w:r>
    </w:p>
    <w:p>
      <w:pPr>
        <w:pStyle w:val="ListBullet"/>
      </w:pPr>
      <w:r>
        <w:rPr>
          <w:rFonts w:ascii="Calibri" w:hAnsi="Calibri"/>
        </w:rPr>
        <w:t>Never send email or call a paid AI provider.</w:t>
      </w:r>
    </w:p>
    <w:p>
      <w:pPr>
        <w:pStyle w:val="ListBullet"/>
      </w:pPr>
      <w:r>
        <w:rPr>
          <w:rFonts w:ascii="Calibri" w:hAnsi="Calibri"/>
        </w:rPr>
        <w:t>Test identities must be synthetic; no real customer data may enter traces, screenshots or logs.</w:t>
      </w:r>
    </w:p>
    <w:p>
      <w:pPr>
        <w:pStyle w:val="Heading2"/>
      </w:pPr>
      <w:r>
        <w:t>Required work</w:t>
      </w:r>
    </w:p>
    <w:p>
      <w:pPr>
        <w:pStyle w:val="ListNumber"/>
      </w:pPr>
      <w:r>
        <w:rPr>
          <w:rFonts w:ascii="Calibri" w:hAnsi="Calibri"/>
        </w:rPr>
        <w:t xml:space="preserve">Make the runner return non-zero with a clear </w:t>
      </w:r>
      <w:r>
        <w:rPr>
          <w:rFonts w:ascii="Consolas" w:hAnsi="Consolas"/>
          <w:color w:val="1F4D78"/>
          <w:sz w:val="19"/>
        </w:rPr>
        <w:t>BLOCKED: authenticated matrix not executed</w:t>
      </w:r>
      <w:r>
        <w:rPr>
          <w:rFonts w:ascii="Calibri" w:hAnsi="Calibri"/>
        </w:rPr>
        <w:t xml:space="preserve"> message when required environment is absent. Do not let a release workflow show an </w:t>
      </w:r>
      <w:r>
        <w:rPr>
          <w:rFonts w:ascii="Consolas" w:hAnsi="Consolas"/>
          <w:color w:val="1F4D78"/>
          <w:sz w:val="19"/>
        </w:rPr>
        <w:t>Authenticated E2E</w:t>
      </w:r>
      <w:r>
        <w:rPr>
          <w:rFonts w:ascii="Calibri" w:hAnsi="Calibri"/>
        </w:rPr>
        <w:t xml:space="preserve"> success when setup and tests were skipped.</w:t>
      </w:r>
    </w:p>
    <w:p>
      <w:pPr>
        <w:pStyle w:val="ListNumber"/>
      </w:pPr>
      <w:r>
        <w:rPr>
          <w:rFonts w:ascii="Calibri" w:hAnsi="Calibri"/>
        </w:rPr>
        <w:t>Separate ordinary CI from release evidence:</w:t>
      </w:r>
    </w:p>
    <w:p>
      <w:r>
        <w:rPr>
          <w:rFonts w:ascii="Calibri" w:hAnsi="Calibri"/>
        </w:rPr>
        <w:t xml:space="preserve">   - ordinary CI may run a clearly named preflight and report environment unavailable;</w:t>
      </w:r>
    </w:p>
    <w:p>
      <w:r>
        <w:rPr>
          <w:rFonts w:ascii="Calibri" w:hAnsi="Calibri"/>
        </w:rPr>
        <w:t xml:space="preserve">   - the release-candidate gate must fail until the actual matrix has run at the candidate SHA and produced artifacts.</w:t>
      </w:r>
    </w:p>
    <w:p>
      <w:pPr>
        <w:pStyle w:val="ListNumber"/>
      </w:pPr>
      <w:r>
        <w:rPr>
          <w:rFonts w:ascii="Calibri" w:hAnsi="Calibri"/>
        </w:rPr>
        <w:t>Add/verify journeys for signup/login, profile and brief, first generation/trial boundary, prior-trial no-second-trial path, plan/entitlement label, review/export, billing portal/cancel seam, mobile layout, keyboard-only navigation and two-account isolation.</w:t>
      </w:r>
    </w:p>
    <w:p>
      <w:pPr>
        <w:pStyle w:val="ListNumber"/>
      </w:pPr>
      <w:r>
        <w:rPr>
          <w:rFonts w:ascii="Calibri" w:hAnsi="Calibri"/>
        </w:rPr>
        <w:t xml:space="preserve">Add at least one controlled billing-read failure journey proving the UI shows a safe temporary-unavailable state and never </w:t>
      </w:r>
      <w:r>
        <w:rPr>
          <w:rFonts w:ascii="Consolas" w:hAnsi="Consolas"/>
          <w:color w:val="1F4D78"/>
          <w:sz w:val="19"/>
        </w:rPr>
        <w:t>Free</w:t>
      </w:r>
      <w:r>
        <w:rPr>
          <w:rFonts w:ascii="Calibri" w:hAnsi="Calibri"/>
        </w:rPr>
        <w:t xml:space="preserve"> or a second-trial CTA.</w:t>
      </w:r>
    </w:p>
    <w:p>
      <w:pPr>
        <w:pStyle w:val="ListNumber"/>
      </w:pPr>
      <w:r>
        <w:rPr>
          <w:rFonts w:ascii="Calibri" w:hAnsi="Calibri"/>
        </w:rPr>
        <w:t>Ensure traces/screenshots are retained only on failure and redact synthetic secrets/tokens.</w:t>
      </w:r>
    </w:p>
    <w:p>
      <w:pPr>
        <w:pStyle w:val="ListNumber"/>
      </w:pPr>
      <w:r>
        <w:rPr>
          <w:rFonts w:ascii="Calibri" w:hAnsi="Calibri"/>
        </w:rPr>
        <w:t>Produce a machine-readable result artifact containing candidate SHA, environment class, projects executed, passed/failed/skipped counts and artifact paths. It must contain no secret values.</w:t>
      </w:r>
    </w:p>
    <w:p>
      <w:pPr>
        <w:pStyle w:val="ListNumber"/>
      </w:pPr>
      <w:r>
        <w:rPr>
          <w:rFonts w:ascii="Calibri" w:hAnsi="Calibri"/>
        </w:rPr>
        <w:t>Wire the artifact into launch-state evidence only after an actual pass. Do not update status during this prompt if the environment is unavailable.</w:t>
      </w:r>
    </w:p>
    <w:p>
      <w:pPr>
        <w:pStyle w:val="Heading2"/>
      </w:pPr>
      <w:r>
        <w:t>Validation</w:t>
      </w:r>
    </w:p>
    <w:p>
      <w:r>
        <w:rPr>
          <w:rFonts w:ascii="Calibri" w:hAnsi="Calibri"/>
        </w:rPr>
        <w:t>Run all unit/guard tests that require no external environment. If a marked non-production environment is available, run:</w:t>
      </w:r>
    </w:p>
    <w:p>
      <w:pPr>
        <w:pStyle w:val="CodeBlock"/>
      </w:pPr>
      <w:r>
        <w:t>npm run test:e2e:auth</w:t>
      </w:r>
    </w:p>
    <w:p>
      <w:r>
        <w:rPr>
          <w:rFonts w:ascii="Calibri" w:hAnsi="Calibri"/>
        </w:rPr>
        <w:t>Otherwise prove refusal paths for missing config, production host, missing marker, live Stripe key and foreign project.</w:t>
      </w:r>
    </w:p>
    <w:p>
      <w:pPr>
        <w:pStyle w:val="Heading2"/>
      </w:pPr>
      <w:r>
        <w:t>Acceptance criteria</w:t>
      </w:r>
    </w:p>
    <w:p>
      <w:pPr>
        <w:pStyle w:val="ListBullet"/>
      </w:pPr>
      <w:r>
        <w:rPr>
          <w:rFonts w:ascii="Calibri" w:hAnsi="Calibri"/>
        </w:rPr>
        <w:t>No green release check can be produced with zero authenticated tests executed.</w:t>
      </w:r>
    </w:p>
    <w:p>
      <w:pPr>
        <w:pStyle w:val="ListBullet"/>
      </w:pPr>
      <w:r>
        <w:rPr>
          <w:rFonts w:ascii="Calibri" w:hAnsi="Calibri"/>
        </w:rPr>
        <w:t>A production target is rejected deterministically.</w:t>
      </w:r>
    </w:p>
    <w:p>
      <w:pPr>
        <w:pStyle w:val="ListBullet"/>
      </w:pPr>
      <w:r>
        <w:rPr>
          <w:rFonts w:ascii="Calibri" w:hAnsi="Calibri"/>
        </w:rPr>
        <w:t>The result is pinned to exact HEAD.</w:t>
      </w:r>
    </w:p>
    <w:p>
      <w:pPr>
        <w:pStyle w:val="ListBullet"/>
      </w:pPr>
      <w:r>
        <w:rPr>
          <w:rFonts w:ascii="Calibri" w:hAnsi="Calibri"/>
        </w:rPr>
        <w:t>Cross-account and billing failure paths are included.</w:t>
      </w:r>
    </w:p>
    <w:p>
      <w:pPr>
        <w:pStyle w:val="ListBullet"/>
      </w:pPr>
      <w:r>
        <w:rPr>
          <w:rFonts w:ascii="Calibri" w:hAnsi="Calibri"/>
        </w:rPr>
        <w:t>Missing environment remains an explicit launch blocker.</w:t>
      </w:r>
    </w:p>
    <w:p>
      <w:pPr>
        <w:pStyle w:val="Heading2"/>
      </w:pPr>
      <w:r>
        <w:t>Output</w:t>
      </w:r>
    </w:p>
    <w:p>
      <w:r>
        <w:rPr>
          <w:rFonts w:ascii="Calibri" w:hAnsi="Calibri"/>
        </w:rPr>
        <w:t xml:space="preserve">Report what executed versus what was only statically validated. Use </w:t>
      </w:r>
      <w:r>
        <w:rPr>
          <w:rFonts w:ascii="Consolas" w:hAnsi="Consolas"/>
          <w:color w:val="1F4D78"/>
          <w:sz w:val="19"/>
        </w:rPr>
        <w:t>PASS</w:t>
      </w:r>
      <w:r>
        <w:rPr>
          <w:rFonts w:ascii="Calibri" w:hAnsi="Calibri"/>
        </w:rPr>
        <w:t xml:space="preserve">, </w:t>
      </w:r>
      <w:r>
        <w:rPr>
          <w:rFonts w:ascii="Consolas" w:hAnsi="Consolas"/>
          <w:color w:val="1F4D78"/>
          <w:sz w:val="19"/>
        </w:rPr>
        <w:t>FAIL</w:t>
      </w:r>
      <w:r>
        <w:rPr>
          <w:rFonts w:ascii="Calibri" w:hAnsi="Calibri"/>
        </w:rPr>
        <w:t xml:space="preserve">, </w:t>
      </w:r>
      <w:r>
        <w:rPr>
          <w:rFonts w:ascii="Consolas" w:hAnsi="Consolas"/>
          <w:color w:val="1F4D78"/>
          <w:sz w:val="19"/>
        </w:rPr>
        <w:t>BLOCKED</w:t>
      </w:r>
      <w:r>
        <w:rPr>
          <w:rFonts w:ascii="Calibri" w:hAnsi="Calibri"/>
        </w:rPr>
        <w:t xml:space="preserve"> and </w:t>
      </w:r>
      <w:r>
        <w:rPr>
          <w:rFonts w:ascii="Consolas" w:hAnsi="Consolas"/>
          <w:color w:val="1F4D78"/>
          <w:sz w:val="19"/>
        </w:rPr>
        <w:t>NOT RUN</w:t>
      </w:r>
      <w:r>
        <w:rPr>
          <w:rFonts w:ascii="Calibri" w:hAnsi="Calibri"/>
        </w:rPr>
        <w:t xml:space="preserve"> precisely. Do not create cloud infrastructure or mutate external systems.</w:t>
      </w:r>
    </w:p>
    <w:p>
      <w:pPr>
        <w:pageBreakBefore/>
        <w:spacing w:before="0" w:after="80"/>
      </w:pPr>
      <w:r>
        <w:rPr>
          <w:rFonts w:ascii="Calibri" w:hAnsi="Calibri"/>
          <w:b/>
          <w:color w:val="2E74B5"/>
          <w:sz w:val="20"/>
        </w:rPr>
        <w:t>SC-04</w:t>
      </w:r>
    </w:p>
    <w:p>
      <w:pPr>
        <w:keepNext/>
        <w:spacing w:after="240"/>
      </w:pPr>
      <w:r>
        <w:rPr>
          <w:rFonts w:ascii="Calibri" w:hAnsi="Calibri"/>
          <w:b/>
          <w:color w:val="0B2545"/>
          <w:sz w:val="42"/>
        </w:rPr>
        <w:t>Scalvya — canonical live-billing rehearsal and evidence schema</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Goal</w:t>
      </w:r>
    </w:p>
    <w:p>
      <w:r>
        <w:rPr>
          <w:rFonts w:ascii="Calibri" w:hAnsi="Calibri"/>
        </w:rPr>
        <w:t>Repair the live-money rehearsal specification so an owner can execute one exact, safe sequence and attach truthful evidence. Claude Code must prepare and validate the runbook only; it must never run a live charge, refund, webhook replay or production mutation.</w:t>
      </w:r>
    </w:p>
    <w:p>
      <w:pPr>
        <w:pStyle w:val="Heading2"/>
      </w:pPr>
      <w:r>
        <w:t>Required investigation</w:t>
      </w:r>
    </w:p>
    <w:p>
      <w:pPr>
        <w:pStyle w:val="ListBullet"/>
      </w:pPr>
      <w:r>
        <w:rPr>
          <w:rFonts w:ascii="Calibri" w:hAnsi="Calibri"/>
        </w:rPr>
        <w:t>Read the current transaction rehearsal, webhook state machine, entitlement resolver, webhook ordering tests, readiness endpoint and every active release document that names the rehearsal.</w:t>
      </w:r>
    </w:p>
    <w:p>
      <w:pPr>
        <w:pStyle w:val="ListBullet"/>
      </w:pPr>
      <w:r>
        <w:rPr>
          <w:rFonts w:ascii="Calibri" w:hAnsi="Calibri"/>
        </w:rPr>
        <w:t>Derive the actual state transitions that matter: checkout/trial, charge, cancel-at-period-end, reactivate, payment failure, recovery, late/out-of-order event, refund and any final cleanup. Do not assume the existing step count is correct.</w:t>
      </w:r>
    </w:p>
    <w:p>
      <w:pPr>
        <w:pStyle w:val="ListBullet"/>
      </w:pPr>
      <w:r>
        <w:rPr>
          <w:rFonts w:ascii="Calibri" w:hAnsi="Calibri"/>
        </w:rPr>
        <w:t>Identify which transitions can be tested in Stripe test mode and which require owner-observed production evidence.</w:t>
      </w:r>
    </w:p>
    <w:p>
      <w:pPr>
        <w:pStyle w:val="Heading2"/>
      </w:pPr>
      <w:r>
        <w:t>Required changes</w:t>
      </w:r>
    </w:p>
    <w:p>
      <w:pPr>
        <w:pStyle w:val="ListNumber"/>
      </w:pPr>
      <w:r>
        <w:rPr>
          <w:rFonts w:ascii="Calibri" w:hAnsi="Calibri"/>
        </w:rPr>
        <w:t>Establish one canonical transition matrix with stable row IDs. Use the same number and names in the runbook, launch-state, handoff and tests.</w:t>
      </w:r>
    </w:p>
    <w:p>
      <w:pPr>
        <w:pStyle w:val="ListNumber"/>
      </w:pPr>
      <w:r>
        <w:rPr>
          <w:rFonts w:ascii="Calibri" w:hAnsi="Calibri"/>
        </w:rPr>
        <w:t>For each row specify precondition, owner action, expected Stripe state, expected database state, expected app entitlement, expected email/analytics side effect, evidence fields and stop condition.</w:t>
      </w:r>
    </w:p>
    <w:p>
      <w:pPr>
        <w:pStyle w:val="ListNumber"/>
      </w:pPr>
      <w:r>
        <w:rPr>
          <w:rFonts w:ascii="Calibri" w:hAnsi="Calibri"/>
        </w:rPr>
        <w:t>Use opaque IDs and timestamps only. Explicitly ban emails, card data, screenshots with plan content, webhook secrets and customer text.</w:t>
      </w:r>
    </w:p>
    <w:p>
      <w:pPr>
        <w:pStyle w:val="ListNumber"/>
      </w:pPr>
      <w:r>
        <w:rPr>
          <w:rFonts w:ascii="Calibri" w:hAnsi="Calibri"/>
        </w:rPr>
        <w:t xml:space="preserve">Add a small JSON schema/validator for a completed rehearsal record. It must reject missing rows, contradictory outcomes, reused evidence, a candidate mismatch and </w:t>
      </w:r>
      <w:r>
        <w:rPr>
          <w:rFonts w:ascii="Consolas" w:hAnsi="Consolas"/>
          <w:color w:val="1F4D78"/>
          <w:sz w:val="19"/>
        </w:rPr>
        <w:t>passed</w:t>
      </w:r>
      <w:r>
        <w:rPr>
          <w:rFonts w:ascii="Calibri" w:hAnsi="Calibri"/>
        </w:rPr>
        <w:t xml:space="preserve"> rows without observation.</w:t>
      </w:r>
    </w:p>
    <w:p>
      <w:pPr>
        <w:pStyle w:val="ListNumber"/>
      </w:pPr>
      <w:r>
        <w:rPr>
          <w:rFonts w:ascii="Calibri" w:hAnsi="Calibri"/>
        </w:rPr>
        <w:t xml:space="preserve">Distinguish </w:t>
      </w:r>
      <w:r>
        <w:rPr>
          <w:rFonts w:ascii="Consolas" w:hAnsi="Consolas"/>
          <w:color w:val="1F4D78"/>
          <w:sz w:val="19"/>
        </w:rPr>
        <w:t>test_mode_rehearsed</w:t>
      </w:r>
      <w:r>
        <w:rPr>
          <w:rFonts w:ascii="Calibri" w:hAnsi="Calibri"/>
        </w:rPr>
        <w:t xml:space="preserve">, </w:t>
      </w:r>
      <w:r>
        <w:rPr>
          <w:rFonts w:ascii="Consolas" w:hAnsi="Consolas"/>
          <w:color w:val="1F4D78"/>
          <w:sz w:val="19"/>
        </w:rPr>
        <w:t>live_rehearsed</w:t>
      </w:r>
      <w:r>
        <w:rPr>
          <w:rFonts w:ascii="Calibri" w:hAnsi="Calibri"/>
        </w:rPr>
        <w:t xml:space="preserve">, </w:t>
      </w:r>
      <w:r>
        <w:rPr>
          <w:rFonts w:ascii="Consolas" w:hAnsi="Consolas"/>
          <w:color w:val="1F4D78"/>
          <w:sz w:val="19"/>
        </w:rPr>
        <w:t>not_run</w:t>
      </w:r>
      <w:r>
        <w:rPr>
          <w:rFonts w:ascii="Calibri" w:hAnsi="Calibri"/>
        </w:rPr>
        <w:t xml:space="preserve">, </w:t>
      </w:r>
      <w:r>
        <w:rPr>
          <w:rFonts w:ascii="Consolas" w:hAnsi="Consolas"/>
          <w:color w:val="1F4D78"/>
          <w:sz w:val="19"/>
        </w:rPr>
        <w:t>blocked</w:t>
      </w:r>
      <w:r>
        <w:rPr>
          <w:rFonts w:ascii="Calibri" w:hAnsi="Calibri"/>
        </w:rPr>
        <w:t xml:space="preserve"> and </w:t>
      </w:r>
      <w:r>
        <w:rPr>
          <w:rFonts w:ascii="Consolas" w:hAnsi="Consolas"/>
          <w:color w:val="1F4D78"/>
          <w:sz w:val="19"/>
        </w:rPr>
        <w:t>failed</w:t>
      </w:r>
      <w:r>
        <w:rPr>
          <w:rFonts w:ascii="Calibri" w:hAnsi="Calibri"/>
        </w:rPr>
        <w:t>. Test-mode proof must never satisfy a live-required row.</w:t>
      </w:r>
    </w:p>
    <w:p>
      <w:pPr>
        <w:pStyle w:val="ListNumber"/>
      </w:pPr>
      <w:r>
        <w:rPr>
          <w:rFonts w:ascii="Calibri" w:hAnsi="Calibri"/>
        </w:rPr>
        <w:t>Add rollback/cleanup instructions and require refund verification when money moved.</w:t>
      </w:r>
    </w:p>
    <w:p>
      <w:pPr>
        <w:pStyle w:val="ListNumber"/>
      </w:pPr>
      <w:r>
        <w:rPr>
          <w:rFonts w:ascii="Calibri" w:hAnsi="Calibri"/>
        </w:rPr>
        <w:t xml:space="preserve">Keep accepted risk visible until every public-paid-required row is observed. A partial rehearsal may support </w:t>
      </w:r>
      <w:r>
        <w:rPr>
          <w:rFonts w:ascii="Consolas" w:hAnsi="Consolas"/>
          <w:color w:val="1F4D78"/>
          <w:sz w:val="19"/>
        </w:rPr>
        <w:t>CONDITIONAL GO</w:t>
      </w:r>
      <w:r>
        <w:rPr>
          <w:rFonts w:ascii="Calibri" w:hAnsi="Calibri"/>
        </w:rPr>
        <w:t xml:space="preserve">, never clean </w:t>
      </w:r>
      <w:r>
        <w:rPr>
          <w:rFonts w:ascii="Consolas" w:hAnsi="Consolas"/>
          <w:color w:val="1F4D78"/>
          <w:sz w:val="19"/>
        </w:rPr>
        <w:t>GO</w:t>
      </w:r>
      <w:r>
        <w:rPr>
          <w:rFonts w:ascii="Calibri" w:hAnsi="Calibri"/>
        </w:rPr>
        <w:t>.</w:t>
      </w:r>
    </w:p>
    <w:p>
      <w:pPr>
        <w:pStyle w:val="ListNumber"/>
      </w:pPr>
      <w:r>
        <w:rPr>
          <w:rFonts w:ascii="Calibri" w:hAnsi="Calibri"/>
        </w:rPr>
        <w:t>Add deterministic unit tests for the schema and for stale/out-of-order billing events, but do not relabel them as live evidence.</w:t>
      </w:r>
    </w:p>
    <w:p>
      <w:pPr>
        <w:pStyle w:val="Heading2"/>
      </w:pPr>
      <w:r>
        <w:t>Commands</w:t>
      </w:r>
    </w:p>
    <w:p>
      <w:r>
        <w:rPr>
          <w:rFonts w:ascii="Calibri" w:hAnsi="Calibri"/>
        </w:rPr>
        <w:t>Run relevant webhook, entitlement, launch-state and document-integrity tests plus full lint/test. Do not run owner steps.</w:t>
      </w:r>
    </w:p>
    <w:p>
      <w:pPr>
        <w:pStyle w:val="Heading2"/>
      </w:pPr>
      <w:r>
        <w:t>Acceptance criteria</w:t>
      </w:r>
    </w:p>
    <w:p>
      <w:pPr>
        <w:pStyle w:val="ListBullet"/>
      </w:pPr>
      <w:r>
        <w:rPr>
          <w:rFonts w:ascii="Calibri" w:hAnsi="Calibri"/>
        </w:rPr>
        <w:t>Every active document uses the same transition count and IDs.</w:t>
      </w:r>
    </w:p>
    <w:p>
      <w:pPr>
        <w:pStyle w:val="ListBullet"/>
      </w:pPr>
      <w:r>
        <w:rPr>
          <w:rFonts w:ascii="Calibri" w:hAnsi="Calibri"/>
        </w:rPr>
        <w:t>The validator refuses partial or stale evidence.</w:t>
      </w:r>
    </w:p>
    <w:p>
      <w:pPr>
        <w:pStyle w:val="ListBullet"/>
      </w:pPr>
      <w:r>
        <w:rPr>
          <w:rFonts w:ascii="Calibri" w:hAnsi="Calibri"/>
        </w:rPr>
        <w:t>Test evidence and live evidence cannot be confused.</w:t>
      </w:r>
    </w:p>
    <w:p>
      <w:pPr>
        <w:pStyle w:val="ListBullet"/>
      </w:pPr>
      <w:r>
        <w:rPr>
          <w:rFonts w:ascii="Calibri" w:hAnsi="Calibri"/>
        </w:rPr>
        <w:t>Owner instructions include explicit stop/rollback/refund conditions.</w:t>
      </w:r>
    </w:p>
    <w:p>
      <w:pPr>
        <w:pStyle w:val="ListBullet"/>
      </w:pPr>
      <w:r>
        <w:rPr>
          <w:rFonts w:ascii="Calibri" w:hAnsi="Calibri"/>
        </w:rPr>
        <w:t>No production system is touched.</w:t>
      </w:r>
    </w:p>
    <w:p>
      <w:pPr>
        <w:pStyle w:val="Heading2"/>
      </w:pPr>
      <w:r>
        <w:t>Final output</w:t>
      </w:r>
    </w:p>
    <w:p>
      <w:r>
        <w:rPr>
          <w:rFonts w:ascii="Calibri" w:hAnsi="Calibri"/>
        </w:rPr>
        <w:t xml:space="preserve">Return the canonical matrix, changed files, validation tests, owner-only command checklist and unchanged blocker status. State clearly: </w:t>
      </w:r>
      <w:r>
        <w:rPr>
          <w:rFonts w:ascii="Consolas" w:hAnsi="Consolas"/>
          <w:color w:val="1F4D78"/>
          <w:sz w:val="19"/>
        </w:rPr>
        <w:t>LIVE REHEARSAL NOT EXECUTED BY CLAUDE CODE</w:t>
      </w:r>
      <w:r>
        <w:rPr>
          <w:rFonts w:ascii="Calibri" w:hAnsi="Calibri"/>
        </w:rPr>
        <w:t>.</w:t>
      </w:r>
    </w:p>
    <w:p>
      <w:pPr>
        <w:pageBreakBefore/>
        <w:spacing w:before="0" w:after="80"/>
      </w:pPr>
      <w:r>
        <w:rPr>
          <w:rFonts w:ascii="Calibri" w:hAnsi="Calibri"/>
          <w:b/>
          <w:color w:val="2E74B5"/>
          <w:sz w:val="20"/>
        </w:rPr>
        <w:t>SC-05</w:t>
      </w:r>
    </w:p>
    <w:p>
      <w:pPr>
        <w:keepNext/>
        <w:spacing w:after="240"/>
      </w:pPr>
      <w:r>
        <w:rPr>
          <w:rFonts w:ascii="Calibri" w:hAnsi="Calibri"/>
          <w:b/>
          <w:color w:val="0B2545"/>
          <w:sz w:val="42"/>
        </w:rPr>
        <w:t>Scalvya — make the accepted React Router advisory continuously enforceable</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Goal</w:t>
      </w:r>
    </w:p>
    <w:p>
      <w:r>
        <w:rPr>
          <w:rFonts w:ascii="Calibri" w:hAnsi="Calibri"/>
        </w:rPr>
        <w:t>Keep the accepted React Router RSC advisory risk honest and bounded. Do not perform a breaking framework migration in this prompt.</w:t>
      </w:r>
    </w:p>
    <w:p>
      <w:pPr>
        <w:pStyle w:val="Heading2"/>
      </w:pPr>
      <w:r>
        <w:t>Current risk</w:t>
      </w:r>
    </w:p>
    <w:p>
      <w:r>
        <w:rPr>
          <w:rFonts w:ascii="Consolas" w:hAnsi="Consolas"/>
          <w:color w:val="1F4D78"/>
          <w:sz w:val="19"/>
        </w:rPr>
        <w:t>npm audit --omit=dev</w:t>
      </w:r>
      <w:r>
        <w:rPr>
          <w:rFonts w:ascii="Calibri" w:hAnsi="Calibri"/>
        </w:rPr>
        <w:t xml:space="preserve"> reports the React Router advisory affecting RSC mode. The current app is a pure client SPA using </w:t>
      </w:r>
      <w:r>
        <w:rPr>
          <w:rFonts w:ascii="Consolas" w:hAnsi="Consolas"/>
          <w:color w:val="1F4D78"/>
          <w:sz w:val="19"/>
        </w:rPr>
        <w:t>react-router-dom</w:t>
      </w:r>
      <w:r>
        <w:rPr>
          <w:rFonts w:ascii="Calibri" w:hAnsi="Calibri"/>
        </w:rPr>
        <w:t xml:space="preserve"> and a declarative </w:t>
      </w:r>
      <w:r>
        <w:rPr>
          <w:rFonts w:ascii="Consolas" w:hAnsi="Consolas"/>
          <w:color w:val="1F4D78"/>
          <w:sz w:val="19"/>
        </w:rPr>
        <w:t>BrowserRouter</w:t>
      </w:r>
      <w:r>
        <w:rPr>
          <w:rFonts w:ascii="Calibri" w:hAnsi="Calibri"/>
        </w:rPr>
        <w:t>, so the vulnerable RSC path is documented as unreachable. This is an accepted risk, not a closed vulnerability.</w:t>
      </w:r>
    </w:p>
    <w:p>
      <w:pPr>
        <w:pStyle w:val="Heading2"/>
      </w:pPr>
      <w:r>
        <w:t>Required work</w:t>
      </w:r>
    </w:p>
    <w:p>
      <w:pPr>
        <w:pStyle w:val="ListNumber"/>
      </w:pPr>
      <w:r>
        <w:rPr>
          <w:rFonts w:ascii="Calibri" w:hAnsi="Calibri"/>
        </w:rPr>
        <w:t>Re-run the production dependency audit and record exact package versions/ranges without editing the lockfile merely to chase an unavailable fix.</w:t>
      </w:r>
    </w:p>
    <w:p>
      <w:pPr>
        <w:pStyle w:val="ListNumber"/>
      </w:pPr>
      <w:r>
        <w:rPr>
          <w:rFonts w:ascii="Calibri" w:hAnsi="Calibri"/>
        </w:rPr>
        <w:t>Add a deterministic reachability guard that fails if the app introduces RSC/SSR/server-router indicators, including server router imports, RSC Vite plugins, server entry points or static-handler/action patterns relevant to the advisory.</w:t>
      </w:r>
    </w:p>
    <w:p>
      <w:pPr>
        <w:pStyle w:val="ListNumber"/>
      </w:pPr>
      <w:r>
        <w:rPr>
          <w:rFonts w:ascii="Calibri" w:hAnsi="Calibri"/>
        </w:rPr>
        <w:t>Ensure the guard scans configuration and source, not comments alone, and has positive/negative fixtures proving it can catch a deliberately introduced forbidden indicator.</w:t>
      </w:r>
    </w:p>
    <w:p>
      <w:pPr>
        <w:pStyle w:val="ListNumber"/>
      </w:pPr>
      <w:r>
        <w:rPr>
          <w:rFonts w:ascii="Calibri" w:hAnsi="Calibri"/>
        </w:rPr>
        <w:t>Add the guard to CI/release checks.</w:t>
      </w:r>
    </w:p>
    <w:p>
      <w:pPr>
        <w:pStyle w:val="ListNumber"/>
      </w:pPr>
      <w:r>
        <w:rPr>
          <w:rFonts w:ascii="Calibri" w:hAnsi="Calibri"/>
        </w:rPr>
        <w:t xml:space="preserve">Keep the blocker status </w:t>
      </w:r>
      <w:r>
        <w:rPr>
          <w:rFonts w:ascii="Consolas" w:hAnsi="Consolas"/>
          <w:color w:val="1F4D78"/>
          <w:sz w:val="19"/>
        </w:rPr>
        <w:t>accepted</w:t>
      </w:r>
      <w:r>
        <w:rPr>
          <w:rFonts w:ascii="Calibri" w:hAnsi="Calibri"/>
        </w:rPr>
        <w:t xml:space="preserve">; include named owner, date, affected track, rationale, revisit trigger and expiry/review date. Do not change it to </w:t>
      </w:r>
      <w:r>
        <w:rPr>
          <w:rFonts w:ascii="Consolas" w:hAnsi="Consolas"/>
          <w:color w:val="1F4D78"/>
          <w:sz w:val="19"/>
        </w:rPr>
        <w:t>closed</w:t>
      </w:r>
      <w:r>
        <w:rPr>
          <w:rFonts w:ascii="Calibri" w:hAnsi="Calibri"/>
        </w:rPr>
        <w:t xml:space="preserve"> because the vulnerable package remains installed.</w:t>
      </w:r>
    </w:p>
    <w:p>
      <w:pPr>
        <w:pStyle w:val="ListNumber"/>
      </w:pPr>
      <w:r>
        <w:rPr>
          <w:rFonts w:ascii="Calibri" w:hAnsi="Calibri"/>
        </w:rPr>
        <w:t>Document two future resolution paths: a safe patched 7.x release if one appears, or a separately scoped React Router 8/React 19/Vite migration with its own regression plan.</w:t>
      </w:r>
    </w:p>
    <w:p>
      <w:pPr>
        <w:pStyle w:val="ListNumber"/>
      </w:pPr>
      <w:r>
        <w:rPr>
          <w:rFonts w:ascii="Calibri" w:hAnsi="Calibri"/>
        </w:rPr>
        <w:t>Make release verification fail if the accepted-risk metadata is missing, expired without review, or if reachability changes.</w:t>
      </w:r>
    </w:p>
    <w:p>
      <w:pPr>
        <w:pStyle w:val="Heading2"/>
      </w:pPr>
      <w:r>
        <w:t>Validation</w:t>
      </w:r>
    </w:p>
    <w:p>
      <w:pPr>
        <w:pStyle w:val="CodeBlock"/>
      </w:pPr>
      <w:r>
        <w:t>npm audit --omit=dev</w:t>
        <w:br/>
        <w:t>npm run lint</w:t>
        <w:br/>
        <w:t>npm test -- --test-name-pattern="router|launch-state"</w:t>
        <w:br/>
        <w:t>npm run launch:verify</w:t>
      </w:r>
    </w:p>
    <w:p>
      <w:r>
        <w:rPr>
          <w:rFonts w:ascii="Calibri" w:hAnsi="Calibri"/>
        </w:rPr>
        <w:t>The audit may remain non-zero because the risk is accepted. Report it truthfully.</w:t>
      </w:r>
    </w:p>
    <w:p>
      <w:pPr>
        <w:pStyle w:val="Heading2"/>
      </w:pPr>
      <w:r>
        <w:t>Acceptance criteria</w:t>
      </w:r>
    </w:p>
    <w:p>
      <w:pPr>
        <w:pStyle w:val="ListBullet"/>
      </w:pPr>
      <w:r>
        <w:rPr>
          <w:rFonts w:ascii="Calibri" w:hAnsi="Calibri"/>
        </w:rPr>
        <w:t>Advisory stays visible.</w:t>
      </w:r>
    </w:p>
    <w:p>
      <w:pPr>
        <w:pStyle w:val="ListBullet"/>
      </w:pPr>
      <w:r>
        <w:rPr>
          <w:rFonts w:ascii="Calibri" w:hAnsi="Calibri"/>
        </w:rPr>
        <w:t>Current no-RSC claim is mechanically protected.</w:t>
      </w:r>
    </w:p>
    <w:p>
      <w:pPr>
        <w:pStyle w:val="ListBullet"/>
      </w:pPr>
      <w:r>
        <w:rPr>
          <w:rFonts w:ascii="Calibri" w:hAnsi="Calibri"/>
        </w:rPr>
        <w:t>Introducing an RSC/SSR signal fails the guard.</w:t>
      </w:r>
    </w:p>
    <w:p>
      <w:pPr>
        <w:pStyle w:val="ListBullet"/>
      </w:pPr>
      <w:r>
        <w:rPr>
          <w:rFonts w:ascii="Calibri" w:hAnsi="Calibri"/>
        </w:rPr>
        <w:t>The accepted risk cannot silently become permanent or be reported as fixed.</w:t>
      </w:r>
    </w:p>
    <w:p>
      <w:pPr>
        <w:pageBreakBefore/>
        <w:spacing w:before="0" w:after="80"/>
      </w:pPr>
      <w:r>
        <w:rPr>
          <w:rFonts w:ascii="Calibri" w:hAnsi="Calibri"/>
          <w:b/>
          <w:color w:val="2E74B5"/>
          <w:sz w:val="20"/>
        </w:rPr>
        <w:t>SC-06</w:t>
      </w:r>
    </w:p>
    <w:p>
      <w:pPr>
        <w:keepNext/>
        <w:spacing w:after="240"/>
      </w:pPr>
      <w:r>
        <w:rPr>
          <w:rFonts w:ascii="Calibri" w:hAnsi="Calibri"/>
          <w:b/>
          <w:color w:val="0B2545"/>
          <w:sz w:val="42"/>
        </w:rPr>
        <w:t>Scalvya — cut the final candidate and produce a truthful launch verdict</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Prerequisites</w:t>
      </w:r>
    </w:p>
    <w:p>
      <w:r>
        <w:rPr>
          <w:rFonts w:ascii="Calibri" w:hAnsi="Calibri"/>
        </w:rPr>
        <w:t>Run only after SC-01 through SC-05 are complete. Worktree must be clean except for the intended release-candidate changes. Do not deploy or perform owner-only operations.</w:t>
      </w:r>
    </w:p>
    <w:p>
      <w:pPr>
        <w:pStyle w:val="Heading2"/>
      </w:pPr>
      <w:r>
        <w:t>Candidate procedure</w:t>
      </w:r>
    </w:p>
    <w:p>
      <w:pPr>
        <w:pStyle w:val="ListNumber"/>
      </w:pPr>
      <w:r>
        <w:rPr>
          <w:rFonts w:ascii="Calibri" w:hAnsi="Calibri"/>
        </w:rPr>
        <w:t>Print exact HEAD, branch, diff from previous candidate and changed file classification.</w:t>
      </w:r>
    </w:p>
    <w:p>
      <w:pPr>
        <w:pStyle w:val="ListNumber"/>
      </w:pPr>
      <w:r>
        <w:rPr>
          <w:rFonts w:ascii="Calibri" w:hAnsi="Calibri"/>
        </w:rPr>
        <w:t>Freeze the new candidate at the final code commit. Documentation-only commits after the freeze must be explicitly classified.</w:t>
      </w:r>
    </w:p>
    <w:p>
      <w:pPr>
        <w:pStyle w:val="ListNumber"/>
      </w:pPr>
      <w:r>
        <w:rPr>
          <w:rFonts w:ascii="Calibri" w:hAnsi="Calibri"/>
        </w:rPr>
        <w:t>Run from a fresh dependency install:</w:t>
      </w:r>
    </w:p>
    <w:p>
      <w:pPr>
        <w:pStyle w:val="CodeBlock"/>
      </w:pPr>
      <w:r>
        <w:t>npm ci</w:t>
        <w:br/>
        <w:t>npm run lint</w:t>
        <w:br/>
        <w:t>npm test</w:t>
        <w:br/>
        <w:t>npm run build:app</w:t>
        <w:br/>
        <w:t>npm run check:app-fresh</w:t>
        <w:br/>
        <w:t>npm run test:export</w:t>
        <w:br/>
        <w:t>npm run test:e2e</w:t>
        <w:br/>
        <w:t>npm audit --omit=dev</w:t>
        <w:br/>
        <w:t>npm run launch:verify</w:t>
        <w:br/>
        <w:t>npm run launch:drift</w:t>
        <w:br/>
        <w:t>npm run launch:gate</w:t>
      </w:r>
    </w:p>
    <w:p>
      <w:pPr>
        <w:pStyle w:val="ListNumber"/>
      </w:pPr>
      <w:r>
        <w:rPr>
          <w:rFonts w:ascii="Calibri" w:hAnsi="Calibri"/>
        </w:rPr>
        <w:t xml:space="preserve">Public Playwright must actually launch Chromium. A missing executable is </w:t>
      </w:r>
      <w:r>
        <w:rPr>
          <w:rFonts w:ascii="Consolas" w:hAnsi="Consolas"/>
          <w:color w:val="1F4D78"/>
          <w:sz w:val="19"/>
        </w:rPr>
        <w:t>BLOCKED</w:t>
      </w:r>
      <w:r>
        <w:rPr>
          <w:rFonts w:ascii="Calibri" w:hAnsi="Calibri"/>
        </w:rPr>
        <w:t>, not 48 product failures and not a pass. Install only local test tooling if authorised; do not alter production dependencies for the audit environment.</w:t>
      </w:r>
    </w:p>
    <w:p>
      <w:pPr>
        <w:pStyle w:val="ListNumber"/>
      </w:pPr>
      <w:r>
        <w:rPr>
          <w:rFonts w:ascii="Calibri" w:hAnsi="Calibri"/>
        </w:rPr>
        <w:t xml:space="preserve">Authenticated E2E requires the marked non-production environment. If unavailable, keep it </w:t>
      </w:r>
      <w:r>
        <w:rPr>
          <w:rFonts w:ascii="Consolas" w:hAnsi="Consolas"/>
          <w:color w:val="1F4D78"/>
          <w:sz w:val="19"/>
        </w:rPr>
        <w:t>not_run/blocked</w:t>
      </w:r>
      <w:r>
        <w:rPr>
          <w:rFonts w:ascii="Calibri" w:hAnsi="Calibri"/>
        </w:rPr>
        <w:t>.</w:t>
      </w:r>
    </w:p>
    <w:p>
      <w:pPr>
        <w:pStyle w:val="ListNumber"/>
      </w:pPr>
      <w:r>
        <w:rPr>
          <w:rFonts w:ascii="Calibri" w:hAnsi="Calibri"/>
        </w:rPr>
        <w:t>Re-run every check whose code, dependency, config, migration or served bundle changed. Carry forward evidence only for byte-identical inputs and document the exact diff proving identity.</w:t>
      </w:r>
    </w:p>
    <w:p>
      <w:pPr>
        <w:pStyle w:val="ListNumber"/>
      </w:pPr>
      <w:r>
        <w:rPr>
          <w:rFonts w:ascii="Calibri" w:hAnsi="Calibri"/>
        </w:rPr>
        <w:t>Update the machine-readable launch state with actual counts, exact SHA and evidence paths. Regenerate human-readable views. Never hand-edit the verdict.</w:t>
      </w:r>
    </w:p>
    <w:p>
      <w:pPr>
        <w:pStyle w:val="ListNumber"/>
      </w:pPr>
      <w:r>
        <w:rPr>
          <w:rFonts w:ascii="Calibri" w:hAnsi="Calibri"/>
        </w:rPr>
        <w:t>Reconcile all active handoffs against the computed result.</w:t>
      </w:r>
    </w:p>
    <w:p>
      <w:pPr>
        <w:pStyle w:val="Heading2"/>
      </w:pPr>
      <w:r>
        <w:t>Verdict policy</w:t>
      </w:r>
    </w:p>
    <w:p>
      <w:pPr>
        <w:pStyle w:val="ListBullet"/>
      </w:pPr>
      <w:r>
        <w:rPr>
          <w:rFonts w:ascii="Consolas" w:hAnsi="Consolas"/>
          <w:color w:val="1F4D78"/>
          <w:sz w:val="19"/>
        </w:rPr>
        <w:t>capped_beta: GO</w:t>
      </w:r>
      <w:r>
        <w:rPr>
          <w:rFonts w:ascii="Calibri" w:hAnsi="Calibri"/>
        </w:rPr>
        <w:t xml:space="preserve"> only when every beta-required gate is satisfied without relying on an unrecorded risk.</w:t>
      </w:r>
    </w:p>
    <w:p>
      <w:pPr>
        <w:pStyle w:val="ListBullet"/>
      </w:pPr>
      <w:r>
        <w:rPr>
          <w:rFonts w:ascii="Consolas" w:hAnsi="Consolas"/>
          <w:color w:val="1F4D78"/>
          <w:sz w:val="19"/>
        </w:rPr>
        <w:t>public_paid: CONDITIONAL GO</w:t>
      </w:r>
      <w:r>
        <w:rPr>
          <w:rFonts w:ascii="Calibri" w:hAnsi="Calibri"/>
        </w:rPr>
        <w:t xml:space="preserve"> while authenticated E2E, live billing rehearsal or accepted dependency risk remains unsatisfied.</w:t>
      </w:r>
    </w:p>
    <w:p>
      <w:pPr>
        <w:pStyle w:val="ListBullet"/>
      </w:pPr>
      <w:r>
        <w:rPr>
          <w:rFonts w:ascii="Consolas" w:hAnsi="Consolas"/>
          <w:color w:val="1F4D78"/>
          <w:sz w:val="19"/>
        </w:rPr>
        <w:t>public_paid: GO</w:t>
      </w:r>
      <w:r>
        <w:rPr>
          <w:rFonts w:ascii="Calibri" w:hAnsi="Calibri"/>
        </w:rPr>
        <w:t xml:space="preserve"> only when all public-paid-required evidence is genuinely complete and no accepted risk remains.</w:t>
      </w:r>
    </w:p>
    <w:p>
      <w:pPr>
        <w:pStyle w:val="Heading2"/>
      </w:pPr>
      <w:r>
        <w:t>Final deliverables</w:t>
      </w:r>
    </w:p>
    <w:p>
      <w:pPr>
        <w:pStyle w:val="ListBullet"/>
      </w:pPr>
      <w:r>
        <w:rPr>
          <w:rFonts w:ascii="Calibri" w:hAnsi="Calibri"/>
        </w:rPr>
        <w:t>Candidate SHA and rollback SHA.</w:t>
      </w:r>
    </w:p>
    <w:p>
      <w:pPr>
        <w:pStyle w:val="ListBullet"/>
      </w:pPr>
      <w:r>
        <w:rPr>
          <w:rFonts w:ascii="Calibri" w:hAnsi="Calibri"/>
        </w:rPr>
        <w:t>Command/result table with counts and artifact references.</w:t>
      </w:r>
    </w:p>
    <w:p>
      <w:pPr>
        <w:pStyle w:val="ListBullet"/>
      </w:pPr>
      <w:r>
        <w:rPr>
          <w:rFonts w:ascii="Calibri" w:hAnsi="Calibri"/>
        </w:rPr>
        <w:t>Open, accepted and closed blocker lists.</w:t>
      </w:r>
    </w:p>
    <w:p>
      <w:pPr>
        <w:pStyle w:val="ListBullet"/>
      </w:pPr>
      <w:r>
        <w:rPr>
          <w:rFonts w:ascii="Calibri" w:hAnsi="Calibri"/>
        </w:rPr>
        <w:t>Separate verdicts for capped beta and unrestricted public paid.</w:t>
      </w:r>
    </w:p>
    <w:p>
      <w:pPr>
        <w:pStyle w:val="ListBullet"/>
      </w:pPr>
      <w:r>
        <w:rPr>
          <w:rFonts w:ascii="Calibri" w:hAnsi="Calibri"/>
        </w:rPr>
        <w:t>Owner-only pre-deploy, post-deploy, 72-hour monitoring and rollback checklist.</w:t>
      </w:r>
    </w:p>
    <w:p>
      <w:pPr>
        <w:pStyle w:val="ListBullet"/>
      </w:pPr>
      <w:r>
        <w:rPr>
          <w:rFonts w:ascii="Calibri" w:hAnsi="Calibri"/>
        </w:rPr>
        <w:t>Explicit statement that no deployment or live mutation was performed.</w:t>
      </w:r>
    </w:p>
    <w:p>
      <w:pPr>
        <w:pageBreakBefore/>
        <w:spacing w:before="0" w:after="80"/>
      </w:pPr>
      <w:r>
        <w:rPr>
          <w:rFonts w:ascii="Calibri" w:hAnsi="Calibri"/>
          <w:b/>
          <w:color w:val="2E74B5"/>
          <w:sz w:val="20"/>
        </w:rPr>
        <w:t>XAPP-01</w:t>
      </w:r>
    </w:p>
    <w:p>
      <w:pPr>
        <w:keepNext/>
        <w:spacing w:after="240"/>
      </w:pPr>
      <w:r>
        <w:rPr>
          <w:rFonts w:ascii="Calibri" w:hAnsi="Calibri"/>
          <w:b/>
          <w:color w:val="0B2545"/>
          <w:sz w:val="42"/>
        </w:rPr>
        <w:t>Cross-app — verify shared Stripe isolation without mixing product identity</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Scope</w:t>
      </w:r>
    </w:p>
    <w:p>
      <w:r>
        <w:rPr>
          <w:rFonts w:ascii="Calibri" w:hAnsi="Calibri"/>
        </w:rPr>
        <w:t>Audit both repositories separately, then compare only their explicit Stripe ownership contracts. Do not copy env values or code between apps.</w:t>
      </w:r>
    </w:p>
    <w:p>
      <w:pPr>
        <w:pStyle w:val="Heading2"/>
      </w:pPr>
      <w:r>
        <w:t>Goal</w:t>
      </w:r>
    </w:p>
    <w:p>
      <w:r>
        <w:rPr>
          <w:rFonts w:ascii="Calibri" w:hAnsi="Calibri"/>
        </w:rPr>
        <w:t>Prove that a Scalvya customer/product/price/webhook cannot be adopted, charged, emailed or counted by Mellowa, and vice versa, including new orphan-recovery logic.</w:t>
      </w:r>
    </w:p>
    <w:p>
      <w:pPr>
        <w:pStyle w:val="Heading2"/>
      </w:pPr>
      <w:r>
        <w:t>Required checks</w:t>
      </w:r>
    </w:p>
    <w:p>
      <w:pPr>
        <w:pStyle w:val="ListBullet"/>
      </w:pPr>
      <w:r>
        <w:rPr>
          <w:rFonts w:ascii="Calibri" w:hAnsi="Calibri"/>
        </w:rPr>
        <w:t>Unique app namespace in Stripe Customer, Checkout Session and Subscription metadata.</w:t>
      </w:r>
    </w:p>
    <w:p>
      <w:pPr>
        <w:pStyle w:val="ListBullet"/>
      </w:pPr>
      <w:r>
        <w:rPr>
          <w:rFonts w:ascii="Calibri" w:hAnsi="Calibri"/>
        </w:rPr>
        <w:t>Product ownership checks on every configured price.</w:t>
      </w:r>
    </w:p>
    <w:p>
      <w:pPr>
        <w:pStyle w:val="ListBullet"/>
      </w:pPr>
      <w:r>
        <w:rPr>
          <w:rFonts w:ascii="Calibri" w:hAnsi="Calibri"/>
        </w:rPr>
        <w:t>Webhook foreign-event acknowledgement without state mutation, email or analytics attribution.</w:t>
      </w:r>
    </w:p>
    <w:p>
      <w:pPr>
        <w:pStyle w:val="ListBullet"/>
      </w:pPr>
      <w:r>
        <w:rPr>
          <w:rFonts w:ascii="Calibri" w:hAnsi="Calibri"/>
        </w:rPr>
        <w:t>Reconciliation never adopts foreign customers/subscriptions.</w:t>
      </w:r>
    </w:p>
    <w:p>
      <w:pPr>
        <w:pStyle w:val="ListBullet"/>
      </w:pPr>
      <w:r>
        <w:rPr>
          <w:rFonts w:ascii="Calibri" w:hAnsi="Calibri"/>
        </w:rPr>
        <w:t>Idempotency keys include app namespace and stable user identity, not email.</w:t>
      </w:r>
    </w:p>
    <w:p>
      <w:pPr>
        <w:pStyle w:val="ListBullet"/>
      </w:pPr>
      <w:r>
        <w:rPr>
          <w:rFonts w:ascii="Calibri" w:hAnsi="Calibri"/>
        </w:rPr>
        <w:t>Logs expose opaque IDs only.</w:t>
      </w:r>
    </w:p>
    <w:p>
      <w:pPr>
        <w:pStyle w:val="ListBullet"/>
      </w:pPr>
      <w:r>
        <w:rPr>
          <w:rFonts w:ascii="Calibri" w:hAnsi="Calibri"/>
        </w:rPr>
        <w:t>Test fixtures use clearly synthetic identities and distinct app metadata.</w:t>
      </w:r>
    </w:p>
    <w:p>
      <w:pPr>
        <w:pStyle w:val="Heading2"/>
      </w:pPr>
      <w:r>
        <w:t>Required tests</w:t>
      </w:r>
    </w:p>
    <w:p>
      <w:r>
        <w:rPr>
          <w:rFonts w:ascii="Calibri" w:hAnsi="Calibri"/>
        </w:rPr>
        <w:t>Add symmetrical negative tests in each repository for same email, same-looking user ID, foreign product, foreign price, missing app metadata, deleted customer and multiple candidate recovery. A shared Stripe account is not permission to infer ownership from email.</w:t>
      </w:r>
    </w:p>
    <w:p>
      <w:pPr>
        <w:pStyle w:val="Heading2"/>
      </w:pPr>
      <w:r>
        <w:t>Output</w:t>
      </w:r>
    </w:p>
    <w:p>
      <w:r>
        <w:rPr>
          <w:rFonts w:ascii="Calibri" w:hAnsi="Calibri"/>
        </w:rPr>
        <w:t>Produce a two-app isolation matrix with code references and test names. Report gaps per repository. Do not use live Stripe or expose configuration values.</w:t>
      </w:r>
    </w:p>
    <w:p>
      <w:pPr>
        <w:pageBreakBefore/>
        <w:spacing w:before="0" w:after="80"/>
      </w:pPr>
      <w:r>
        <w:rPr>
          <w:rFonts w:ascii="Calibri" w:hAnsi="Calibri"/>
          <w:b/>
          <w:color w:val="2E74B5"/>
          <w:sz w:val="20"/>
        </w:rPr>
        <w:t>XAPP-02</w:t>
      </w:r>
    </w:p>
    <w:p>
      <w:pPr>
        <w:keepNext/>
        <w:spacing w:after="240"/>
      </w:pPr>
      <w:r>
        <w:rPr>
          <w:rFonts w:ascii="Calibri" w:hAnsi="Calibri"/>
          <w:b/>
          <w:color w:val="0B2545"/>
          <w:sz w:val="42"/>
        </w:rPr>
        <w:t>Final launch authorization packet and value-proof plan</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before="40" w:after="40"/>
            </w:pPr>
            <w:r>
              <w:rPr>
                <w:rFonts w:ascii="Calibri" w:hAnsi="Calibri"/>
                <w:b/>
                <w:color w:val="0B2545"/>
              </w:rPr>
              <w:t xml:space="preserve">Paste into Claude Code: </w:t>
            </w:r>
            <w:r>
              <w:rPr>
                <w:rFonts w:ascii="Calibri" w:hAnsi="Calibri"/>
                <w:color w:val="0B2545"/>
              </w:rPr>
              <w:t>Use this entire prompt in the named repository. Claude must inspect the current implementation before editing and must stop at any external/live action boundary.</w:t>
            </w:r>
          </w:p>
        </w:tc>
      </w:tr>
    </w:tbl>
    <w:p>
      <w:pPr>
        <w:spacing w:after="0"/>
      </w:pPr>
    </w:p>
    <w:p>
      <w:pPr>
        <w:pStyle w:val="Heading2"/>
      </w:pPr>
      <w:r>
        <w:t>Goal</w:t>
      </w:r>
    </w:p>
    <w:p>
      <w:r>
        <w:rPr>
          <w:rFonts w:ascii="Calibri" w:hAnsi="Calibri"/>
        </w:rPr>
        <w:t>After all repository prompts are complete, produce one concise decision packet that separates code quality, release evidence and market value. Do not deploy.</w:t>
      </w:r>
    </w:p>
    <w:p>
      <w:pPr>
        <w:pStyle w:val="Heading2"/>
      </w:pPr>
      <w:r>
        <w:t>Required sections</w:t>
      </w:r>
    </w:p>
    <w:p>
      <w:pPr>
        <w:pStyle w:val="ListNumber"/>
      </w:pPr>
      <w:r>
        <w:rPr>
          <w:rFonts w:ascii="Calibri" w:hAnsi="Calibri"/>
        </w:rPr>
        <w:t>Exact current HEAD and frozen candidate for each app.</w:t>
      </w:r>
    </w:p>
    <w:p>
      <w:pPr>
        <w:pStyle w:val="ListNumber"/>
      </w:pPr>
      <w:r>
        <w:rPr>
          <w:rFonts w:ascii="Calibri" w:hAnsi="Calibri"/>
        </w:rPr>
        <w:t>Automated gate results with counts and evidence.</w:t>
      </w:r>
    </w:p>
    <w:p>
      <w:pPr>
        <w:pStyle w:val="ListNumber"/>
      </w:pPr>
      <w:r>
        <w:rPr>
          <w:rFonts w:ascii="Calibri" w:hAnsi="Calibri"/>
        </w:rPr>
        <w:t xml:space="preserve">Owner/live evidence with </w:t>
      </w:r>
      <w:r>
        <w:rPr>
          <w:rFonts w:ascii="Consolas" w:hAnsi="Consolas"/>
          <w:color w:val="1F4D78"/>
          <w:sz w:val="19"/>
        </w:rPr>
        <w:t>observed</w:t>
      </w:r>
      <w:r>
        <w:rPr>
          <w:rFonts w:ascii="Calibri" w:hAnsi="Calibri"/>
        </w:rPr>
        <w:t xml:space="preserve">, </w:t>
      </w:r>
      <w:r>
        <w:rPr>
          <w:rFonts w:ascii="Consolas" w:hAnsi="Consolas"/>
          <w:color w:val="1F4D78"/>
          <w:sz w:val="19"/>
        </w:rPr>
        <w:t>not_run</w:t>
      </w:r>
      <w:r>
        <w:rPr>
          <w:rFonts w:ascii="Calibri" w:hAnsi="Calibri"/>
        </w:rPr>
        <w:t xml:space="preserve">, </w:t>
      </w:r>
      <w:r>
        <w:rPr>
          <w:rFonts w:ascii="Consolas" w:hAnsi="Consolas"/>
          <w:color w:val="1F4D78"/>
          <w:sz w:val="19"/>
        </w:rPr>
        <w:t>blocked</w:t>
      </w:r>
      <w:r>
        <w:rPr>
          <w:rFonts w:ascii="Calibri" w:hAnsi="Calibri"/>
        </w:rPr>
        <w:t xml:space="preserve"> or </w:t>
      </w:r>
      <w:r>
        <w:rPr>
          <w:rFonts w:ascii="Consolas" w:hAnsi="Consolas"/>
          <w:color w:val="1F4D78"/>
          <w:sz w:val="19"/>
        </w:rPr>
        <w:t>failed</w:t>
      </w:r>
      <w:r>
        <w:rPr>
          <w:rFonts w:ascii="Calibri" w:hAnsi="Calibri"/>
        </w:rPr>
        <w:t xml:space="preserve"> status.</w:t>
      </w:r>
    </w:p>
    <w:p>
      <w:pPr>
        <w:pStyle w:val="ListNumber"/>
      </w:pPr>
      <w:r>
        <w:rPr>
          <w:rFonts w:ascii="Calibri" w:hAnsi="Calibri"/>
        </w:rPr>
        <w:t>Open, accepted and closed blockers.</w:t>
      </w:r>
    </w:p>
    <w:p>
      <w:pPr>
        <w:pStyle w:val="ListNumber"/>
      </w:pPr>
      <w:r>
        <w:rPr>
          <w:rFonts w:ascii="Calibri" w:hAnsi="Calibri"/>
        </w:rPr>
        <w:t>Separate verdicts for:</w:t>
      </w:r>
    </w:p>
    <w:p>
      <w:r>
        <w:rPr>
          <w:rFonts w:ascii="Calibri" w:hAnsi="Calibri"/>
        </w:rPr>
        <w:t xml:space="preserve">   - Scalvya capped beta;</w:t>
      </w:r>
    </w:p>
    <w:p>
      <w:r>
        <w:rPr>
          <w:rFonts w:ascii="Calibri" w:hAnsi="Calibri"/>
        </w:rPr>
        <w:t xml:space="preserve">   - Scalvya unrestricted public paid;</w:t>
      </w:r>
    </w:p>
    <w:p>
      <w:r>
        <w:rPr>
          <w:rFonts w:ascii="Calibri" w:hAnsi="Calibri"/>
        </w:rPr>
        <w:t xml:space="preserve">   - Mellowa capped beta;</w:t>
      </w:r>
    </w:p>
    <w:p>
      <w:r>
        <w:rPr>
          <w:rFonts w:ascii="Calibri" w:hAnsi="Calibri"/>
        </w:rPr>
        <w:t xml:space="preserve">   - Mellowa unrestricted public paid.</w:t>
      </w:r>
    </w:p>
    <w:p>
      <w:pPr>
        <w:pStyle w:val="ListNumber"/>
      </w:pPr>
      <w:r>
        <w:rPr>
          <w:rFonts w:ascii="Calibri" w:hAnsi="Calibri"/>
        </w:rPr>
        <w:t>72-hour monitoring and rollback triggers.</w:t>
      </w:r>
    </w:p>
    <w:p>
      <w:pPr>
        <w:pStyle w:val="ListNumber"/>
      </w:pPr>
      <w:r>
        <w:rPr>
          <w:rFonts w:ascii="Calibri" w:hAnsi="Calibri"/>
        </w:rPr>
        <w:t>A four-week value-proof scorecard that does not use vanity metrics.</w:t>
      </w:r>
    </w:p>
    <w:p>
      <w:pPr>
        <w:pStyle w:val="Heading2"/>
      </w:pPr>
      <w:r>
        <w:t>Value metrics</w:t>
      </w:r>
    </w:p>
    <w:p>
      <w:r>
        <w:rPr>
          <w:rFonts w:ascii="Calibri" w:hAnsi="Calibri"/>
        </w:rPr>
        <w:t>For Scalvya measure privacy-safe aggregates for: profile-to-approved-brief activation, first reviewed asset, export/handoff, second campaign started, repeated weekly use, generation failure, refund and cancellation reason categories.</w:t>
      </w:r>
    </w:p>
    <w:p>
      <w:r>
        <w:rPr>
          <w:rFonts w:ascii="Calibri" w:hAnsi="Calibri"/>
        </w:rPr>
        <w:t>For Mellowa measure: sample completion, next-day and next-week return, Adjust usage, Undo usage, completed-item preservation, weekly reflection, trial-to-paid, 30-day retention, refund and cancellation reason categories. Never use sensitive mood, health, allergy, journal or plan content as a growth metric.</w:t>
      </w:r>
    </w:p>
    <w:p>
      <w:pPr>
        <w:pStyle w:val="Heading2"/>
      </w:pPr>
      <w:r>
        <w:t>Decision rules</w:t>
      </w:r>
    </w:p>
    <w:p>
      <w:pPr>
        <w:pStyle w:val="ListBullet"/>
      </w:pPr>
      <w:r>
        <w:rPr>
          <w:rFonts w:ascii="Calibri" w:hAnsi="Calibri"/>
        </w:rPr>
        <w:t>A green build is not proof people will pay.</w:t>
      </w:r>
    </w:p>
    <w:p>
      <w:pPr>
        <w:pStyle w:val="ListBullet"/>
      </w:pPr>
      <w:r>
        <w:rPr>
          <w:rFonts w:ascii="Calibri" w:hAnsi="Calibri"/>
        </w:rPr>
        <w:t>A beta verdict does not authorize unrestricted public paid launch.</w:t>
      </w:r>
    </w:p>
    <w:p>
      <w:pPr>
        <w:pStyle w:val="ListBullet"/>
      </w:pPr>
      <w:r>
        <w:rPr>
          <w:rFonts w:ascii="Calibri" w:hAnsi="Calibri"/>
        </w:rPr>
        <w:t xml:space="preserve">Accepted risk produces </w:t>
      </w:r>
      <w:r>
        <w:rPr>
          <w:rFonts w:ascii="Consolas" w:hAnsi="Consolas"/>
          <w:color w:val="1F4D78"/>
          <w:sz w:val="19"/>
        </w:rPr>
        <w:t>CONDITIONAL GO</w:t>
      </w:r>
      <w:r>
        <w:rPr>
          <w:rFonts w:ascii="Calibri" w:hAnsi="Calibri"/>
        </w:rPr>
        <w:t xml:space="preserve">, never clean </w:t>
      </w:r>
      <w:r>
        <w:rPr>
          <w:rFonts w:ascii="Consolas" w:hAnsi="Consolas"/>
          <w:color w:val="1F4D78"/>
          <w:sz w:val="19"/>
        </w:rPr>
        <w:t>GO</w:t>
      </w:r>
      <w:r>
        <w:rPr>
          <w:rFonts w:ascii="Calibri" w:hAnsi="Calibri"/>
        </w:rPr>
        <w:t>.</w:t>
      </w:r>
    </w:p>
    <w:p>
      <w:pPr>
        <w:pStyle w:val="ListBullet"/>
      </w:pPr>
      <w:r>
        <w:rPr>
          <w:rFonts w:ascii="Calibri" w:hAnsi="Calibri"/>
        </w:rPr>
        <w:t>Missing external evidence remains visible.</w:t>
      </w:r>
    </w:p>
    <w:p>
      <w:pPr>
        <w:pStyle w:val="ListBullet"/>
      </w:pPr>
      <w:r>
        <w:rPr>
          <w:rFonts w:ascii="Calibri" w:hAnsi="Calibri"/>
        </w:rPr>
        <w:t>Thresholds without cohort evidence must be labelled hypotheses.</w:t>
      </w:r>
    </w:p>
    <w:p>
      <w:pPr>
        <w:pStyle w:val="Heading2"/>
      </w:pPr>
      <w:r>
        <w:t>Final output</w:t>
      </w:r>
    </w:p>
    <w:p>
      <w:r>
        <w:rPr>
          <w:rFonts w:ascii="Calibri" w:hAnsi="Calibri"/>
        </w:rPr>
        <w:t xml:space="preserve">Return the packet, the exact remaining owner actions in order, and one recommendation per app: </w:t>
      </w:r>
      <w:r>
        <w:rPr>
          <w:rFonts w:ascii="Consolas" w:hAnsi="Consolas"/>
          <w:color w:val="1F4D78"/>
          <w:sz w:val="19"/>
        </w:rPr>
        <w:t>CONTINUE CAPPED BETA</w:t>
      </w:r>
      <w:r>
        <w:rPr>
          <w:rFonts w:ascii="Calibri" w:hAnsi="Calibri"/>
        </w:rPr>
        <w:t xml:space="preserve">, </w:t>
      </w:r>
      <w:r>
        <w:rPr>
          <w:rFonts w:ascii="Consolas" w:hAnsi="Consolas"/>
          <w:color w:val="1F4D78"/>
          <w:sz w:val="19"/>
        </w:rPr>
        <w:t>PAUSE</w:t>
      </w:r>
      <w:r>
        <w:rPr>
          <w:rFonts w:ascii="Calibri" w:hAnsi="Calibri"/>
        </w:rPr>
        <w:t xml:space="preserve">, </w:t>
      </w:r>
      <w:r>
        <w:rPr>
          <w:rFonts w:ascii="Consolas" w:hAnsi="Consolas"/>
          <w:color w:val="1F4D78"/>
          <w:sz w:val="19"/>
        </w:rPr>
        <w:t>READY TO PLAN PUBLIC PAID</w:t>
      </w:r>
      <w:r>
        <w:rPr>
          <w:rFonts w:ascii="Calibri" w:hAnsi="Calibri"/>
        </w:rPr>
        <w:t xml:space="preserve">, or </w:t>
      </w:r>
      <w:r>
        <w:rPr>
          <w:rFonts w:ascii="Consolas" w:hAnsi="Consolas"/>
          <w:color w:val="1F4D78"/>
          <w:sz w:val="19"/>
        </w:rPr>
        <w:t>PUBLIC PAID GO</w:t>
      </w:r>
      <w:r>
        <w:rPr>
          <w:rFonts w:ascii="Calibri" w:hAnsi="Calibri"/>
        </w:rPr>
        <w:t>. Do not push, deploy, migrate or mutate live services.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370"/>
        <w:sz w:val="17"/>
      </w:rPr>
      <w:t xml:space="preserve">Scalvya + Mellowa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370"/>
        <w:sz w:val="17"/>
      </w:rPr>
      <w:t>FINAL LAUNCH CLOSURE  |  CLAUDE CODE PROMPT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259"/>
      <w:shd w:fill="F4F6F9"/>
    </w:pPr>
    <w:rPr>
      <w:rFonts w:ascii="Consolas" w:hAnsi="Consolas"/>
      <w:color w:val="0B2545"/>
      <w:sz w:val="18"/>
    </w:rPr>
  </w:style>
  <w:style w:type="paragraph" w:customStyle="1" w:styleId="PromptNote">
    <w:name w:val="Prompt Note"/>
    <w:pPr>
      <w:spacing w:after="140"/>
      <w:ind w:left="288" w:right="144"/>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Scalvya + Mellowa Final Launch Closure Claude Code Prompts</dc:title>
  <dc:subject>Detailed implementation and release-readiness prompts</dc:subject>
  <dc:creator>OpenAI</dc:creator>
  <cp:keywords>Scalvya, Mellowa, Claude Code, launch, billing, release evidence</cp:keywords>
  <dc:description>generated by python-docx</dc:description>
  <cp:lastModifiedBy/>
  <cp:revision>1</cp:revision>
  <dcterms:created xsi:type="dcterms:W3CDTF">2013-12-23T23:15:00Z</dcterms:created>
  <dcterms:modified xsi:type="dcterms:W3CDTF">2013-12-23T23:15:00Z</dcterms:modified>
  <cp:category/>
</cp:coreProperties>
</file>