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jc w:val="center"/>
      </w:pPr>
      <w:r>
        <w:rPr>
          <w:rFonts w:ascii="Calibri" w:hAnsi="Calibri"/>
          <w:b/>
          <w:color w:val="3E7D73"/>
          <w:sz w:val="22"/>
        </w:rPr>
        <w:t>LAUNCH HARDENING</w:t>
      </w:r>
    </w:p>
    <w:p>
      <w:pPr>
        <w:spacing w:after="140"/>
        <w:jc w:val="center"/>
      </w:pPr>
      <w:r>
        <w:rPr>
          <w:rFonts w:ascii="Calibri" w:hAnsi="Calibri"/>
          <w:b/>
          <w:color w:val="1F3A5F"/>
          <w:sz w:val="60"/>
        </w:rPr>
        <w:t>Scalvya + Mellowa</w:t>
      </w:r>
    </w:p>
    <w:p>
      <w:pPr>
        <w:spacing w:after="360"/>
        <w:jc w:val="center"/>
      </w:pPr>
      <w:r>
        <w:rPr>
          <w:rFonts w:ascii="Calibri" w:hAnsi="Calibri"/>
          <w:i/>
          <w:color w:val="667085"/>
          <w:sz w:val="28"/>
        </w:rPr>
        <w:t>18 exact Claude Code prompts to raise every remaining launch score</w:t>
      </w:r>
    </w:p>
    <w:p>
      <w:pPr>
        <w:spacing w:before="80" w:after="160" w:line="288" w:lineRule="auto"/>
        <w:ind w:left="173" w:right="115"/>
        <w:shd w:fill="E8F2EF"/>
        <w:pBdr>
          <w:left w:val="single" w:sz="18" w:space="6" w:color="3E7D73"/>
        </w:pBdr>
      </w:pPr>
      <w:r>
        <w:rPr>
          <w:rFonts w:ascii="Calibri" w:hAnsi="Calibri"/>
          <w:b/>
          <w:color w:val="3E7D73"/>
          <w:sz w:val="21"/>
        </w:rPr>
        <w:t xml:space="preserve">Izdaja: </w:t>
      </w:r>
      <w:r>
        <w:rPr>
          <w:rFonts w:ascii="Calibri" w:hAnsi="Calibri"/>
          <w:color w:val="1F2937"/>
          <w:sz w:val="21"/>
        </w:rPr>
        <w:t>26. julij 2026 · temelji na ponovnem pregledu trenutnega maina in live uporabniške izkušnje obeh aplikacij · v11 zapira preverjene vrzeli in ne ponavlja že izvedenega v10 scopea.</w:t>
      </w:r>
    </w:p>
    <w:p>
      <w:r>
        <w:br w:type="page"/>
      </w:r>
    </w:p>
    <w:p>
      <w:pPr>
        <w:pStyle w:val="Heading1"/>
      </w:pPr>
      <w:r>
        <w:t>Kako uporabljati ta paket</w:t>
      </w:r>
    </w:p>
    <w:p>
      <w:pPr>
        <w:numPr>
          <w:ilvl w:val="0"/>
          <w:numId w:val="10"/>
        </w:numPr>
        <w:spacing w:after="80" w:line="300" w:lineRule="auto"/>
        <w:ind w:left="540" w:hanging="271"/>
      </w:pPr>
      <w:r>
        <w:rPr>
          <w:rFonts w:ascii="Calibri" w:hAnsi="Calibri"/>
          <w:color w:val="1F2937"/>
          <w:sz w:val="21"/>
        </w:rPr>
        <w:t>Za vsak repo začni s promptom 00. Ta ponovno vzpostavi resnico na dejanskem trenutnem HEAD-u in prepreči, da bi stari RC ali Vercel badge veljal kot dokaz za nove commite.</w:t>
      </w:r>
    </w:p>
    <w:p>
      <w:pPr>
        <w:numPr>
          <w:ilvl w:val="0"/>
          <w:numId w:val="10"/>
        </w:numPr>
        <w:spacing w:after="80" w:line="300" w:lineRule="auto"/>
        <w:ind w:left="540" w:hanging="271"/>
      </w:pPr>
      <w:r>
        <w:rPr>
          <w:rFonts w:ascii="Calibri" w:hAnsi="Calibri"/>
          <w:color w:val="1F2937"/>
          <w:sz w:val="21"/>
        </w:rPr>
        <w:t>Nadaljuj strogo po vrstnem redu. En prompt je en reviewable vertical slice in praviloma en nameren commit. Claude mora najprej preveriti obstoječe stanje; kar je že pravilno, naj samo dokaže, ne gradi znova.</w:t>
      </w:r>
    </w:p>
    <w:p>
      <w:pPr>
        <w:numPr>
          <w:ilvl w:val="0"/>
          <w:numId w:val="10"/>
        </w:numPr>
        <w:spacing w:after="80" w:line="300" w:lineRule="auto"/>
        <w:ind w:left="540" w:hanging="271"/>
      </w:pPr>
      <w:r>
        <w:rPr>
          <w:rFonts w:ascii="Calibri" w:hAnsi="Calibri"/>
          <w:color w:val="1F2937"/>
          <w:sz w:val="21"/>
        </w:rPr>
        <w:t>Prompte 01–07 izvajaj kot launch hardening. Ne dodajaj novih produktnih kategorij, integracij ali širokih frameworkov. Vsaka sprememba mora zapreti konkretno ugotovljeno UX-, vsebinsko-, operativno-, varnostno- ali evidence vrzel.</w:t>
      </w:r>
    </w:p>
    <w:p>
      <w:pPr>
        <w:numPr>
          <w:ilvl w:val="0"/>
          <w:numId w:val="10"/>
        </w:numPr>
        <w:spacing w:after="80" w:line="300" w:lineRule="auto"/>
        <w:ind w:left="540" w:hanging="271"/>
      </w:pPr>
      <w:r>
        <w:rPr>
          <w:rFonts w:ascii="Calibri" w:hAnsi="Calibri"/>
          <w:color w:val="1F2937"/>
          <w:sz w:val="21"/>
        </w:rPr>
        <w:t>Prompt 08 izvedi zadnji. Med finalnim RC gateom se ne dodaja funkcij; vsak dodaten commit ustvari nov kandidat in zahteva ponovitev prizadetih dokazov.</w:t>
      </w:r>
    </w:p>
    <w:p>
      <w:pPr>
        <w:numPr>
          <w:ilvl w:val="0"/>
          <w:numId w:val="10"/>
        </w:numPr>
        <w:spacing w:after="80" w:line="300" w:lineRule="auto"/>
        <w:ind w:left="540" w:hanging="271"/>
      </w:pPr>
      <w:r>
        <w:rPr>
          <w:rFonts w:ascii="Calibri" w:hAnsi="Calibri"/>
          <w:color w:val="1F2937"/>
          <w:sz w:val="21"/>
        </w:rPr>
        <w:t>Claude Code ne sme spreminjati live Stripe, Supabase, Vercel, Resend, DNS, cron, ključev ali produkcijskih backupov. Pripravi owner-run korake in pusti stanje odprto, dokler človek ne doda anonimiziranega dokaza.</w:t>
      </w:r>
    </w:p>
    <w:p>
      <w:pPr>
        <w:numPr>
          <w:ilvl w:val="0"/>
          <w:numId w:val="10"/>
        </w:numPr>
        <w:spacing w:after="80" w:line="300" w:lineRule="auto"/>
        <w:ind w:left="540" w:hanging="271"/>
      </w:pPr>
      <w:r>
        <w:rPr>
          <w:rFonts w:ascii="Calibri" w:hAnsi="Calibri"/>
          <w:color w:val="1F2937"/>
          <w:sz w:val="21"/>
        </w:rPr>
        <w:t>Scalvye in Mellowe ne izvajaj v istem git runu. Vsaka ima svoj contract, tveganja, migracije, teste in ločen GO/NO-GO.</w:t>
      </w:r>
    </w:p>
    <w:p>
      <w:pPr>
        <w:pStyle w:val="Heading2"/>
      </w:pPr>
      <w:r>
        <w:rPr>
          <w:rFonts w:ascii="Calibri" w:hAnsi="Calibri"/>
          <w:b/>
          <w:color w:val="1F3A5F"/>
          <w:sz w:val="26"/>
        </w:rPr>
        <w:t>Priporočeno zaporedje</w:t>
      </w:r>
    </w:p>
    <w:tbl>
      <w:tblPr>
        <w:tblStyle w:val="TableGrid"/>
        <w:tblW w:type="dxa" w:w="9360"/>
        <w:tblLayout w:type="fixed"/>
        <w:tblLook w:firstColumn="1" w:firstRow="1" w:lastColumn="0" w:lastRow="0" w:noHBand="0" w:noVBand="1" w:val="04A0"/>
        <w:tblInd w:w="120" w:type="dxa"/>
      </w:tblPr>
      <w:tblGrid>
        <w:gridCol w:w="1250"/>
        <w:gridCol w:w="2050"/>
        <w:gridCol w:w="2050"/>
        <w:gridCol w:w="4010"/>
      </w:tblGrid>
      <w:tr>
        <w:trPr>
          <w:cantSplit/>
          <w:tblHeader w:val="true"/>
        </w:trPr>
        <w:tc>
          <w:tcPr>
            <w:tcW w:type="dxa" w:w="1250"/>
            <w:tcMar>
              <w:top w:w="80" w:type="dxa"/>
              <w:start w:w="120" w:type="dxa"/>
              <w:bottom w:w="80" w:type="dxa"/>
              <w:end w:w="120" w:type="dxa"/>
            </w:tcMar>
            <w:vAlign w:val="center"/>
            <w:shd w:fill="E8EEF5"/>
          </w:tcPr>
          <w:p>
            <w:pPr>
              <w:spacing w:after="0"/>
            </w:pPr>
            <w:r>
              <w:rPr>
                <w:rFonts w:ascii="Calibri" w:hAnsi="Calibri"/>
                <w:b/>
                <w:color w:val="1F3A5F"/>
                <w:sz w:val="18"/>
              </w:rPr>
              <w:t>Faza</w:t>
            </w:r>
          </w:p>
        </w:tc>
        <w:tc>
          <w:tcPr>
            <w:tcW w:type="dxa" w:w="2050"/>
            <w:tcMar>
              <w:top w:w="80" w:type="dxa"/>
              <w:start w:w="120" w:type="dxa"/>
              <w:bottom w:w="80" w:type="dxa"/>
              <w:end w:w="120" w:type="dxa"/>
            </w:tcMar>
            <w:vAlign w:val="center"/>
            <w:shd w:fill="E8EEF5"/>
          </w:tcPr>
          <w:p>
            <w:pPr>
              <w:spacing w:after="0"/>
            </w:pPr>
            <w:r>
              <w:rPr>
                <w:rFonts w:ascii="Calibri" w:hAnsi="Calibri"/>
                <w:b/>
                <w:color w:val="1F3A5F"/>
                <w:sz w:val="18"/>
              </w:rPr>
              <w:t>Scalvya</w:t>
            </w:r>
          </w:p>
        </w:tc>
        <w:tc>
          <w:tcPr>
            <w:tcW w:type="dxa" w:w="2050"/>
            <w:tcMar>
              <w:top w:w="80" w:type="dxa"/>
              <w:start w:w="120" w:type="dxa"/>
              <w:bottom w:w="80" w:type="dxa"/>
              <w:end w:w="120" w:type="dxa"/>
            </w:tcMar>
            <w:vAlign w:val="center"/>
            <w:shd w:fill="E8EEF5"/>
          </w:tcPr>
          <w:p>
            <w:pPr>
              <w:spacing w:after="0"/>
            </w:pPr>
            <w:r>
              <w:rPr>
                <w:rFonts w:ascii="Calibri" w:hAnsi="Calibri"/>
                <w:b/>
                <w:color w:val="1F3A5F"/>
                <w:sz w:val="18"/>
              </w:rPr>
              <w:t>Mellowa</w:t>
            </w:r>
          </w:p>
        </w:tc>
        <w:tc>
          <w:tcPr>
            <w:tcW w:type="dxa" w:w="4010"/>
            <w:tcMar>
              <w:top w:w="80" w:type="dxa"/>
              <w:start w:w="120" w:type="dxa"/>
              <w:bottom w:w="80" w:type="dxa"/>
              <w:end w:w="120" w:type="dxa"/>
            </w:tcMar>
            <w:vAlign w:val="center"/>
            <w:shd w:fill="E8EEF5"/>
          </w:tcPr>
          <w:p>
            <w:pPr>
              <w:spacing w:after="0"/>
            </w:pPr>
            <w:r>
              <w:rPr>
                <w:rFonts w:ascii="Calibri" w:hAnsi="Calibri"/>
                <w:b/>
                <w:color w:val="1F3A5F"/>
                <w:sz w:val="18"/>
              </w:rPr>
              <w:t>Gate</w:t>
            </w:r>
          </w:p>
        </w:tc>
      </w:tr>
      <w:tr>
        <w:trPr>
          <w:cantSplit/>
        </w:trPr>
        <w:tc>
          <w:tcPr>
            <w:tcW w:type="dxa" w:w="1250"/>
            <w:tcMar>
              <w:top w:w="80" w:type="dxa"/>
              <w:start w:w="120" w:type="dxa"/>
              <w:bottom w:w="80" w:type="dxa"/>
              <w:end w:w="120" w:type="dxa"/>
            </w:tcMar>
            <w:vAlign w:val="center"/>
          </w:tcPr>
          <w:p>
            <w:pPr>
              <w:spacing w:after="0" w:line="259" w:lineRule="auto"/>
            </w:pPr>
            <w:r>
              <w:rPr>
                <w:rFonts w:ascii="Calibri" w:hAnsi="Calibri"/>
                <w:b/>
                <w:color w:val="1F2937"/>
                <w:sz w:val="17"/>
              </w:rPr>
              <w:t>0 · Truth</w:t>
            </w:r>
          </w:p>
        </w:tc>
        <w:tc>
          <w:tcPr>
            <w:tcW w:type="dxa" w:w="2050"/>
            <w:tcMar>
              <w:top w:w="80" w:type="dxa"/>
              <w:start w:w="120" w:type="dxa"/>
              <w:bottom w:w="80" w:type="dxa"/>
              <w:end w:w="120" w:type="dxa"/>
            </w:tcMar>
            <w:vAlign w:val="center"/>
          </w:tcPr>
          <w:p>
            <w:pPr>
              <w:spacing w:after="0" w:line="259" w:lineRule="auto"/>
            </w:pPr>
            <w:r>
              <w:rPr>
                <w:rFonts w:ascii="Calibri" w:hAnsi="Calibri"/>
                <w:b w:val="0"/>
                <w:color w:val="1F2937"/>
                <w:sz w:val="17"/>
              </w:rPr>
              <w:t>SC-V11-00</w:t>
            </w:r>
          </w:p>
        </w:tc>
        <w:tc>
          <w:tcPr>
            <w:tcW w:type="dxa" w:w="2050"/>
            <w:tcMar>
              <w:top w:w="80" w:type="dxa"/>
              <w:start w:w="120" w:type="dxa"/>
              <w:bottom w:w="80" w:type="dxa"/>
              <w:end w:w="120" w:type="dxa"/>
            </w:tcMar>
            <w:vAlign w:val="center"/>
          </w:tcPr>
          <w:p>
            <w:pPr>
              <w:spacing w:after="0" w:line="259" w:lineRule="auto"/>
            </w:pPr>
            <w:r>
              <w:rPr>
                <w:rFonts w:ascii="Calibri" w:hAnsi="Calibri"/>
                <w:b w:val="0"/>
                <w:color w:val="1F2937"/>
                <w:sz w:val="17"/>
              </w:rPr>
              <w:t>MW-V11-00</w:t>
            </w:r>
          </w:p>
        </w:tc>
        <w:tc>
          <w:tcPr>
            <w:tcW w:type="dxa" w:w="4010"/>
            <w:tcMar>
              <w:top w:w="80" w:type="dxa"/>
              <w:start w:w="120" w:type="dxa"/>
              <w:bottom w:w="80" w:type="dxa"/>
              <w:end w:w="120" w:type="dxa"/>
            </w:tcMar>
            <w:vAlign w:val="center"/>
          </w:tcPr>
          <w:p>
            <w:pPr>
              <w:spacing w:after="0" w:line="259" w:lineRule="auto"/>
            </w:pPr>
            <w:r>
              <w:rPr>
                <w:rFonts w:ascii="Calibri" w:hAnsi="Calibri"/>
                <w:b w:val="0"/>
                <w:color w:val="1F2937"/>
                <w:sz w:val="17"/>
              </w:rPr>
              <w:t>One current-head source of truth</w:t>
            </w:r>
          </w:p>
        </w:tc>
      </w:tr>
      <w:tr>
        <w:trPr>
          <w:cantSplit/>
        </w:trPr>
        <w:tc>
          <w:tcPr>
            <w:tcW w:type="dxa" w:w="1250"/>
            <w:tcMar>
              <w:top w:w="80" w:type="dxa"/>
              <w:start w:w="120" w:type="dxa"/>
              <w:bottom w:w="80" w:type="dxa"/>
              <w:end w:w="120" w:type="dxa"/>
            </w:tcMar>
            <w:vAlign w:val="center"/>
          </w:tcPr>
          <w:p>
            <w:pPr>
              <w:spacing w:after="0" w:line="259" w:lineRule="auto"/>
            </w:pPr>
            <w:r>
              <w:rPr>
                <w:rFonts w:ascii="Calibri" w:hAnsi="Calibri"/>
                <w:b/>
                <w:color w:val="1F2937"/>
                <w:sz w:val="17"/>
              </w:rPr>
              <w:t>1 · Public UX</w:t>
            </w:r>
          </w:p>
        </w:tc>
        <w:tc>
          <w:tcPr>
            <w:tcW w:type="dxa" w:w="2050"/>
            <w:tcMar>
              <w:top w:w="80" w:type="dxa"/>
              <w:start w:w="120" w:type="dxa"/>
              <w:bottom w:w="80" w:type="dxa"/>
              <w:end w:w="120" w:type="dxa"/>
            </w:tcMar>
            <w:vAlign w:val="center"/>
          </w:tcPr>
          <w:p>
            <w:pPr>
              <w:spacing w:after="0" w:line="259" w:lineRule="auto"/>
            </w:pPr>
            <w:r>
              <w:rPr>
                <w:rFonts w:ascii="Calibri" w:hAnsi="Calibri"/>
                <w:b w:val="0"/>
                <w:color w:val="1F2937"/>
                <w:sz w:val="17"/>
              </w:rPr>
              <w:t>SC-V11-01 → 02</w:t>
            </w:r>
          </w:p>
        </w:tc>
        <w:tc>
          <w:tcPr>
            <w:tcW w:type="dxa" w:w="2050"/>
            <w:tcMar>
              <w:top w:w="80" w:type="dxa"/>
              <w:start w:w="120" w:type="dxa"/>
              <w:bottom w:w="80" w:type="dxa"/>
              <w:end w:w="120" w:type="dxa"/>
            </w:tcMar>
            <w:vAlign w:val="center"/>
          </w:tcPr>
          <w:p>
            <w:pPr>
              <w:spacing w:after="0" w:line="259" w:lineRule="auto"/>
            </w:pPr>
            <w:r>
              <w:rPr>
                <w:rFonts w:ascii="Calibri" w:hAnsi="Calibri"/>
                <w:b w:val="0"/>
                <w:color w:val="1F2937"/>
                <w:sz w:val="17"/>
              </w:rPr>
              <w:t>MW-V11-01 → 03</w:t>
            </w:r>
          </w:p>
        </w:tc>
        <w:tc>
          <w:tcPr>
            <w:tcW w:type="dxa" w:w="4010"/>
            <w:tcMar>
              <w:top w:w="80" w:type="dxa"/>
              <w:start w:w="120" w:type="dxa"/>
              <w:bottom w:w="80" w:type="dxa"/>
              <w:end w:w="120" w:type="dxa"/>
            </w:tcMar>
            <w:vAlign w:val="center"/>
          </w:tcPr>
          <w:p>
            <w:pPr>
              <w:spacing w:after="0" w:line="259" w:lineRule="auto"/>
            </w:pPr>
            <w:r>
              <w:rPr>
                <w:rFonts w:ascii="Calibri" w:hAnsi="Calibri"/>
                <w:b w:val="0"/>
                <w:color w:val="1F2937"/>
                <w:sz w:val="17"/>
              </w:rPr>
              <w:t>Conversion, copy, a11y and proof</w:t>
            </w:r>
          </w:p>
        </w:tc>
      </w:tr>
      <w:tr>
        <w:trPr>
          <w:cantSplit/>
        </w:trPr>
        <w:tc>
          <w:tcPr>
            <w:tcW w:type="dxa" w:w="1250"/>
            <w:tcMar>
              <w:top w:w="80" w:type="dxa"/>
              <w:start w:w="120" w:type="dxa"/>
              <w:bottom w:w="80" w:type="dxa"/>
              <w:end w:w="120" w:type="dxa"/>
            </w:tcMar>
            <w:vAlign w:val="center"/>
          </w:tcPr>
          <w:p>
            <w:pPr>
              <w:spacing w:after="0" w:line="259" w:lineRule="auto"/>
            </w:pPr>
            <w:r>
              <w:rPr>
                <w:rFonts w:ascii="Calibri" w:hAnsi="Calibri"/>
                <w:b/>
                <w:color w:val="1F2937"/>
                <w:sz w:val="17"/>
              </w:rPr>
              <w:t>2 · Product proof</w:t>
            </w:r>
          </w:p>
        </w:tc>
        <w:tc>
          <w:tcPr>
            <w:tcW w:type="dxa" w:w="2050"/>
            <w:tcMar>
              <w:top w:w="80" w:type="dxa"/>
              <w:start w:w="120" w:type="dxa"/>
              <w:bottom w:w="80" w:type="dxa"/>
              <w:end w:w="120" w:type="dxa"/>
            </w:tcMar>
            <w:vAlign w:val="center"/>
          </w:tcPr>
          <w:p>
            <w:pPr>
              <w:spacing w:after="0" w:line="259" w:lineRule="auto"/>
            </w:pPr>
            <w:r>
              <w:rPr>
                <w:rFonts w:ascii="Calibri" w:hAnsi="Calibri"/>
                <w:b w:val="0"/>
                <w:color w:val="1F2937"/>
                <w:sz w:val="17"/>
              </w:rPr>
              <w:t>SC-V11-03 → 05</w:t>
            </w:r>
          </w:p>
        </w:tc>
        <w:tc>
          <w:tcPr>
            <w:tcW w:type="dxa" w:w="2050"/>
            <w:tcMar>
              <w:top w:w="80" w:type="dxa"/>
              <w:start w:w="120" w:type="dxa"/>
              <w:bottom w:w="80" w:type="dxa"/>
              <w:end w:w="120" w:type="dxa"/>
            </w:tcMar>
            <w:vAlign w:val="center"/>
          </w:tcPr>
          <w:p>
            <w:pPr>
              <w:spacing w:after="0" w:line="259" w:lineRule="auto"/>
            </w:pPr>
            <w:r>
              <w:rPr>
                <w:rFonts w:ascii="Calibri" w:hAnsi="Calibri"/>
                <w:b w:val="0"/>
                <w:color w:val="1F2937"/>
                <w:sz w:val="17"/>
              </w:rPr>
              <w:t>MW-V11-04 → 05</w:t>
            </w:r>
          </w:p>
        </w:tc>
        <w:tc>
          <w:tcPr>
            <w:tcW w:type="dxa" w:w="4010"/>
            <w:tcMar>
              <w:top w:w="80" w:type="dxa"/>
              <w:start w:w="120" w:type="dxa"/>
              <w:bottom w:w="80" w:type="dxa"/>
              <w:end w:w="120" w:type="dxa"/>
            </w:tcMar>
            <w:vAlign w:val="center"/>
          </w:tcPr>
          <w:p>
            <w:pPr>
              <w:spacing w:after="0" w:line="259" w:lineRule="auto"/>
            </w:pPr>
            <w:r>
              <w:rPr>
                <w:rFonts w:ascii="Calibri" w:hAnsi="Calibri"/>
                <w:b w:val="0"/>
                <w:color w:val="1F2937"/>
                <w:sz w:val="17"/>
              </w:rPr>
              <w:t>Auth journeys, premium UX, artifacts/performance</w:t>
            </w:r>
          </w:p>
        </w:tc>
      </w:tr>
      <w:tr>
        <w:trPr>
          <w:cantSplit/>
        </w:trPr>
        <w:tc>
          <w:tcPr>
            <w:tcW w:type="dxa" w:w="1250"/>
            <w:tcMar>
              <w:top w:w="80" w:type="dxa"/>
              <w:start w:w="120" w:type="dxa"/>
              <w:bottom w:w="80" w:type="dxa"/>
              <w:end w:w="120" w:type="dxa"/>
            </w:tcMar>
            <w:vAlign w:val="center"/>
          </w:tcPr>
          <w:p>
            <w:pPr>
              <w:spacing w:after="0" w:line="259" w:lineRule="auto"/>
            </w:pPr>
            <w:r>
              <w:rPr>
                <w:rFonts w:ascii="Calibri" w:hAnsi="Calibri"/>
                <w:b/>
                <w:color w:val="1F2937"/>
                <w:sz w:val="17"/>
              </w:rPr>
              <w:t>3 · Live + value</w:t>
            </w:r>
          </w:p>
        </w:tc>
        <w:tc>
          <w:tcPr>
            <w:tcW w:type="dxa" w:w="2050"/>
            <w:tcMar>
              <w:top w:w="80" w:type="dxa"/>
              <w:start w:w="120" w:type="dxa"/>
              <w:bottom w:w="80" w:type="dxa"/>
              <w:end w:w="120" w:type="dxa"/>
            </w:tcMar>
            <w:vAlign w:val="center"/>
          </w:tcPr>
          <w:p>
            <w:pPr>
              <w:spacing w:after="0" w:line="259" w:lineRule="auto"/>
            </w:pPr>
            <w:r>
              <w:rPr>
                <w:rFonts w:ascii="Calibri" w:hAnsi="Calibri"/>
                <w:b w:val="0"/>
                <w:color w:val="1F2937"/>
                <w:sz w:val="17"/>
              </w:rPr>
              <w:t>SC-V11-06 → 07</w:t>
            </w:r>
          </w:p>
        </w:tc>
        <w:tc>
          <w:tcPr>
            <w:tcW w:type="dxa" w:w="2050"/>
            <w:tcMar>
              <w:top w:w="80" w:type="dxa"/>
              <w:start w:w="120" w:type="dxa"/>
              <w:bottom w:w="80" w:type="dxa"/>
              <w:end w:w="120" w:type="dxa"/>
            </w:tcMar>
            <w:vAlign w:val="center"/>
          </w:tcPr>
          <w:p>
            <w:pPr>
              <w:spacing w:after="0" w:line="259" w:lineRule="auto"/>
            </w:pPr>
            <w:r>
              <w:rPr>
                <w:rFonts w:ascii="Calibri" w:hAnsi="Calibri"/>
                <w:b w:val="0"/>
                <w:color w:val="1F2937"/>
                <w:sz w:val="17"/>
              </w:rPr>
              <w:t>MW-V11-06 → 07</w:t>
            </w:r>
          </w:p>
        </w:tc>
        <w:tc>
          <w:tcPr>
            <w:tcW w:type="dxa" w:w="4010"/>
            <w:tcMar>
              <w:top w:w="80" w:type="dxa"/>
              <w:start w:w="120" w:type="dxa"/>
              <w:bottom w:w="80" w:type="dxa"/>
              <w:end w:w="120" w:type="dxa"/>
            </w:tcMar>
            <w:vAlign w:val="center"/>
          </w:tcPr>
          <w:p>
            <w:pPr>
              <w:spacing w:after="0" w:line="259" w:lineRule="auto"/>
            </w:pPr>
            <w:r>
              <w:rPr>
                <w:rFonts w:ascii="Calibri" w:hAnsi="Calibri"/>
                <w:b w:val="0"/>
                <w:color w:val="1F2937"/>
                <w:sz w:val="17"/>
              </w:rPr>
              <w:t>Money/ops evidence and capped beta</w:t>
            </w:r>
          </w:p>
        </w:tc>
      </w:tr>
      <w:tr>
        <w:trPr>
          <w:cantSplit/>
        </w:trPr>
        <w:tc>
          <w:tcPr>
            <w:tcW w:type="dxa" w:w="1250"/>
            <w:tcMar>
              <w:top w:w="80" w:type="dxa"/>
              <w:start w:w="120" w:type="dxa"/>
              <w:bottom w:w="80" w:type="dxa"/>
              <w:end w:w="120" w:type="dxa"/>
            </w:tcMar>
            <w:vAlign w:val="center"/>
          </w:tcPr>
          <w:p>
            <w:pPr>
              <w:spacing w:after="0" w:line="259" w:lineRule="auto"/>
            </w:pPr>
            <w:r>
              <w:rPr>
                <w:rFonts w:ascii="Calibri" w:hAnsi="Calibri"/>
                <w:b/>
                <w:color w:val="1F2937"/>
                <w:sz w:val="17"/>
              </w:rPr>
              <w:t>4 · Release</w:t>
            </w:r>
          </w:p>
        </w:tc>
        <w:tc>
          <w:tcPr>
            <w:tcW w:type="dxa" w:w="2050"/>
            <w:tcMar>
              <w:top w:w="80" w:type="dxa"/>
              <w:start w:w="120" w:type="dxa"/>
              <w:bottom w:w="80" w:type="dxa"/>
              <w:end w:w="120" w:type="dxa"/>
            </w:tcMar>
            <w:vAlign w:val="center"/>
          </w:tcPr>
          <w:p>
            <w:pPr>
              <w:spacing w:after="0" w:line="259" w:lineRule="auto"/>
            </w:pPr>
            <w:r>
              <w:rPr>
                <w:rFonts w:ascii="Calibri" w:hAnsi="Calibri"/>
                <w:b w:val="0"/>
                <w:color w:val="1F2937"/>
                <w:sz w:val="17"/>
              </w:rPr>
              <w:t>SC-V11-08</w:t>
            </w:r>
          </w:p>
        </w:tc>
        <w:tc>
          <w:tcPr>
            <w:tcW w:type="dxa" w:w="2050"/>
            <w:tcMar>
              <w:top w:w="80" w:type="dxa"/>
              <w:start w:w="120" w:type="dxa"/>
              <w:bottom w:w="80" w:type="dxa"/>
              <w:end w:w="120" w:type="dxa"/>
            </w:tcMar>
            <w:vAlign w:val="center"/>
          </w:tcPr>
          <w:p>
            <w:pPr>
              <w:spacing w:after="0" w:line="259" w:lineRule="auto"/>
            </w:pPr>
            <w:r>
              <w:rPr>
                <w:rFonts w:ascii="Calibri" w:hAnsi="Calibri"/>
                <w:b w:val="0"/>
                <w:color w:val="1F2937"/>
                <w:sz w:val="17"/>
              </w:rPr>
              <w:t>MW-V11-08</w:t>
            </w:r>
          </w:p>
        </w:tc>
        <w:tc>
          <w:tcPr>
            <w:tcW w:type="dxa" w:w="4010"/>
            <w:tcMar>
              <w:top w:w="80" w:type="dxa"/>
              <w:start w:w="120" w:type="dxa"/>
              <w:bottom w:w="80" w:type="dxa"/>
              <w:end w:w="120" w:type="dxa"/>
            </w:tcMar>
            <w:vAlign w:val="center"/>
          </w:tcPr>
          <w:p>
            <w:pPr>
              <w:spacing w:after="0" w:line="259" w:lineRule="auto"/>
            </w:pPr>
            <w:r>
              <w:rPr>
                <w:rFonts w:ascii="Calibri" w:hAnsi="Calibri"/>
                <w:b w:val="0"/>
                <w:color w:val="1F2937"/>
                <w:sz w:val="17"/>
              </w:rPr>
              <w:t>Frozen RC; separate beta/public verdict</w:t>
            </w:r>
          </w:p>
        </w:tc>
      </w:tr>
    </w:tbl>
    <w:p>
      <w:pPr>
        <w:pStyle w:val="Heading2"/>
      </w:pPr>
      <w:r>
        <w:rPr>
          <w:rFonts w:ascii="Calibri" w:hAnsi="Calibri"/>
          <w:b/>
          <w:color w:val="2E74B5"/>
          <w:sz w:val="26"/>
        </w:rPr>
        <w:t>Scalvya — prompt map</w:t>
      </w:r>
    </w:p>
    <w:tbl>
      <w:tblPr>
        <w:tblStyle w:val="TableGrid"/>
        <w:tblW w:type="dxa" w:w="9360"/>
        <w:tblLayout w:type="fixed"/>
        <w:tblLook w:firstColumn="1" w:firstRow="1" w:lastColumn="0" w:lastRow="0" w:noHBand="0" w:noVBand="1" w:val="04A0"/>
        <w:tblInd w:w="120" w:type="dxa"/>
      </w:tblPr>
      <w:tblGrid>
        <w:gridCol w:w="1400"/>
        <w:gridCol w:w="7960"/>
      </w:tblGrid>
      <w:tr>
        <w:trPr>
          <w:cantSplit/>
          <w:tblHeader w:val="true"/>
        </w:trPr>
        <w:tc>
          <w:tcPr>
            <w:tcW w:type="dxa" w:w="1400"/>
            <w:tcMar>
              <w:top w:w="80" w:type="dxa"/>
              <w:start w:w="120" w:type="dxa"/>
              <w:bottom w:w="80" w:type="dxa"/>
              <w:end w:w="120" w:type="dxa"/>
            </w:tcMar>
            <w:vAlign w:val="center"/>
            <w:shd w:fill="E8EEF5"/>
          </w:tcPr>
          <w:p>
            <w:pPr>
              <w:spacing w:after="0"/>
            </w:pPr>
            <w:r>
              <w:rPr>
                <w:rFonts w:ascii="Calibri" w:hAnsi="Calibri"/>
                <w:b/>
                <w:color w:val="2E74B5"/>
                <w:sz w:val="18"/>
              </w:rPr>
              <w:t>ID</w:t>
            </w:r>
          </w:p>
        </w:tc>
        <w:tc>
          <w:tcPr>
            <w:tcW w:type="dxa" w:w="7960"/>
            <w:tcMar>
              <w:top w:w="80" w:type="dxa"/>
              <w:start w:w="120" w:type="dxa"/>
              <w:bottom w:w="80" w:type="dxa"/>
              <w:end w:w="120" w:type="dxa"/>
            </w:tcMar>
            <w:vAlign w:val="center"/>
            <w:shd w:fill="E8EEF5"/>
          </w:tcPr>
          <w:p>
            <w:pPr>
              <w:spacing w:after="0"/>
            </w:pPr>
            <w:r>
              <w:rPr>
                <w:rFonts w:ascii="Calibri" w:hAnsi="Calibri"/>
                <w:b/>
                <w:color w:val="2E74B5"/>
                <w:sz w:val="18"/>
              </w:rPr>
              <w:t>Outcome</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SC-V11-00</w:t>
            </w:r>
          </w:p>
        </w:tc>
        <w:tc>
          <w:tcPr>
            <w:tcW w:type="dxa" w:w="7960"/>
            <w:tcMar>
              <w:top w:w="80" w:type="dxa"/>
              <w:start w:w="120" w:type="dxa"/>
              <w:bottom w:w="80" w:type="dxa"/>
              <w:end w:w="120" w:type="dxa"/>
            </w:tcMar>
            <w:vAlign w:val="center"/>
          </w:tcPr>
          <w:p>
            <w:pPr>
              <w:spacing w:after="0" w:line="259" w:lineRule="auto"/>
            </w:pPr>
            <w:r>
              <w:rPr>
                <w:rFonts w:ascii="Calibri" w:hAnsi="Calibri"/>
                <w:b w:val="0"/>
                <w:color w:val="1F2937"/>
                <w:sz w:val="17"/>
              </w:rPr>
              <w:t>Replace contradictory release documents with one machine-checkable source of truth pinned to the actual current main, without declaring the product launch-ready.</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SC-V11-01</w:t>
            </w:r>
          </w:p>
        </w:tc>
        <w:tc>
          <w:tcPr>
            <w:tcW w:type="dxa" w:w="7960"/>
            <w:tcMar>
              <w:top w:w="80" w:type="dxa"/>
              <w:start w:w="120" w:type="dxa"/>
              <w:bottom w:w="80" w:type="dxa"/>
              <w:end w:w="120" w:type="dxa"/>
            </w:tcMar>
            <w:vAlign w:val="center"/>
          </w:tcPr>
          <w:p>
            <w:pPr>
              <w:spacing w:after="0" w:line="259" w:lineRule="auto"/>
            </w:pPr>
            <w:r>
              <w:rPr>
                <w:rFonts w:ascii="Calibri" w:hAnsi="Calibri"/>
                <w:b w:val="0"/>
                <w:color w:val="1F2937"/>
                <w:sz w:val="17"/>
              </w:rPr>
              <w:t>Ensure every first-time visitor who chooses the primary CTA reaches a trustworthy, accessible signup flow that works visually and semantically on mobile and desktop.</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SC-V11-02</w:t>
            </w:r>
          </w:p>
        </w:tc>
        <w:tc>
          <w:tcPr>
            <w:tcW w:type="dxa" w:w="7960"/>
            <w:tcMar>
              <w:top w:w="80" w:type="dxa"/>
              <w:start w:w="120" w:type="dxa"/>
              <w:bottom w:w="80" w:type="dxa"/>
              <w:end w:w="120" w:type="dxa"/>
            </w:tcMar>
            <w:vAlign w:val="center"/>
          </w:tcPr>
          <w:p>
            <w:pPr>
              <w:spacing w:after="0" w:line="259" w:lineRule="auto"/>
            </w:pPr>
            <w:r>
              <w:rPr>
                <w:rFonts w:ascii="Calibri" w:hAnsi="Calibri"/>
                <w:b w:val="0"/>
                <w:color w:val="1F2937"/>
                <w:sz w:val="17"/>
              </w:rPr>
              <w:t>Keep the owner-approved blue visual direction while making every hero claim, helper and proof item reliably readable under WCAG contrast and real responsive layouts.</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SC-V11-03</w:t>
            </w:r>
          </w:p>
        </w:tc>
        <w:tc>
          <w:tcPr>
            <w:tcW w:type="dxa" w:w="7960"/>
            <w:tcMar>
              <w:top w:w="80" w:type="dxa"/>
              <w:start w:w="120" w:type="dxa"/>
              <w:bottom w:w="80" w:type="dxa"/>
              <w:end w:w="120" w:type="dxa"/>
            </w:tcMar>
            <w:vAlign w:val="center"/>
          </w:tcPr>
          <w:p>
            <w:pPr>
              <w:spacing w:after="0" w:line="259" w:lineRule="auto"/>
            </w:pPr>
            <w:r>
              <w:rPr>
                <w:rFonts w:ascii="Calibri" w:hAnsi="Calibri"/>
                <w:b w:val="0"/>
                <w:color w:val="1F2937"/>
                <w:sz w:val="17"/>
              </w:rPr>
              <w:t>Prove the real signed-in campaign journey at the exact current head across entitlement, review, export, stale data and recovery states; make skipped authenticated tests release-blocking.</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SC-V11-04</w:t>
            </w:r>
          </w:p>
        </w:tc>
        <w:tc>
          <w:tcPr>
            <w:tcW w:type="dxa" w:w="7960"/>
            <w:tcMar>
              <w:top w:w="80" w:type="dxa"/>
              <w:start w:w="120" w:type="dxa"/>
              <w:bottom w:w="80" w:type="dxa"/>
              <w:end w:w="120" w:type="dxa"/>
            </w:tcMar>
            <w:vAlign w:val="center"/>
          </w:tcPr>
          <w:p>
            <w:pPr>
              <w:spacing w:after="0" w:line="259" w:lineRule="auto"/>
            </w:pPr>
            <w:r>
              <w:rPr>
                <w:rFonts w:ascii="Calibri" w:hAnsi="Calibri"/>
                <w:b w:val="0"/>
                <w:color w:val="1F2937"/>
                <w:sz w:val="17"/>
              </w:rPr>
              <w:t>Use the authenticated browser matrix to remove the remaining friction in Campaign, Review, Library and Handoff, then show truthful real-product proof on the landing page.</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SC-V11-05</w:t>
            </w:r>
          </w:p>
        </w:tc>
        <w:tc>
          <w:tcPr>
            <w:tcW w:type="dxa" w:w="7960"/>
            <w:tcMar>
              <w:top w:w="80" w:type="dxa"/>
              <w:start w:w="120" w:type="dxa"/>
              <w:bottom w:w="80" w:type="dxa"/>
              <w:end w:w="120" w:type="dxa"/>
            </w:tcMar>
            <w:vAlign w:val="center"/>
          </w:tcPr>
          <w:p>
            <w:pPr>
              <w:spacing w:after="0" w:line="259" w:lineRule="auto"/>
            </w:pPr>
            <w:r>
              <w:rPr>
                <w:rFonts w:ascii="Calibri" w:hAnsi="Calibri"/>
                <w:b w:val="0"/>
                <w:color w:val="1F2937"/>
                <w:sz w:val="17"/>
              </w:rPr>
              <w:t>Prove that DOCX, PDF and ZIP handoffs are valid, readable and operationally bounded—not merely generated without throwing an exception.</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SC-V11-06</w:t>
            </w:r>
          </w:p>
        </w:tc>
        <w:tc>
          <w:tcPr>
            <w:tcW w:type="dxa" w:w="7960"/>
            <w:tcMar>
              <w:top w:w="80" w:type="dxa"/>
              <w:start w:w="120" w:type="dxa"/>
              <w:bottom w:w="80" w:type="dxa"/>
              <w:end w:w="120" w:type="dxa"/>
            </w:tcMar>
            <w:vAlign w:val="center"/>
          </w:tcPr>
          <w:p>
            <w:pPr>
              <w:spacing w:after="0" w:line="259" w:lineRule="auto"/>
            </w:pPr>
            <w:r>
              <w:rPr>
                <w:rFonts w:ascii="Calibri" w:hAnsi="Calibri"/>
                <w:b w:val="0"/>
                <w:color w:val="1F2937"/>
                <w:sz w:val="17"/>
              </w:rPr>
              <w:t>Prepare and enforce the owner-run evidence needed to prove real billing recovery, suppression-safe transactional email and bounded AI cost before any paid launch.</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SC-V11-07</w:t>
            </w:r>
          </w:p>
        </w:tc>
        <w:tc>
          <w:tcPr>
            <w:tcW w:type="dxa" w:w="7960"/>
            <w:tcMar>
              <w:top w:w="80" w:type="dxa"/>
              <w:start w:w="120" w:type="dxa"/>
              <w:bottom w:w="80" w:type="dxa"/>
              <w:end w:w="120" w:type="dxa"/>
            </w:tcMar>
            <w:vAlign w:val="center"/>
          </w:tcPr>
          <w:p>
            <w:pPr>
              <w:spacing w:after="0" w:line="259" w:lineRule="auto"/>
            </w:pPr>
            <w:r>
              <w:rPr>
                <w:rFonts w:ascii="Calibri" w:hAnsi="Calibri"/>
                <w:b w:val="0"/>
                <w:color w:val="1F2937"/>
                <w:sz w:val="17"/>
              </w:rPr>
              <w:t>Launch only a controlled beta that measures whether Scalvya reduces real campaign rework and produces a handoff users will pay for, before broad acquisition.</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SC-V11-08</w:t>
            </w:r>
          </w:p>
        </w:tc>
        <w:tc>
          <w:tcPr>
            <w:tcW w:type="dxa" w:w="7960"/>
            <w:tcMar>
              <w:top w:w="80" w:type="dxa"/>
              <w:start w:w="120" w:type="dxa"/>
              <w:bottom w:w="80" w:type="dxa"/>
              <w:end w:w="120" w:type="dxa"/>
            </w:tcMar>
            <w:vAlign w:val="center"/>
          </w:tcPr>
          <w:p>
            <w:pPr>
              <w:spacing w:after="0" w:line="259" w:lineRule="auto"/>
            </w:pPr>
            <w:r>
              <w:rPr>
                <w:rFonts w:ascii="Calibri" w:hAnsi="Calibri"/>
                <w:b w:val="0"/>
                <w:color w:val="1F2937"/>
                <w:sz w:val="17"/>
              </w:rPr>
              <w:t>Freeze one reproducible Scalvya RC after prompts 00–07 and issue an evidence-backed GO/NO-GO that cannot be bypassed by a deploy badge or test-count headline.</w:t>
            </w:r>
          </w:p>
        </w:tc>
      </w:tr>
    </w:tbl>
    <w:p>
      <w:pPr>
        <w:pStyle w:val="Heading1"/>
      </w:pPr>
      <w:r>
        <w:rPr>
          <w:rFonts w:ascii="Calibri" w:hAnsi="Calibri"/>
          <w:b/>
          <w:color w:val="2E74B5"/>
          <w:sz w:val="38"/>
        </w:rPr>
        <w:t>Del I — Scalvya</w:t>
      </w:r>
    </w:p>
    <w:p>
      <w:pPr>
        <w:pStyle w:val="Heading2"/>
      </w:pPr>
      <w:r>
        <w:rPr>
          <w:rFonts w:ascii="Calibri" w:hAnsi="Calibri"/>
          <w:b/>
          <w:color w:val="2E74B5"/>
          <w:sz w:val="28"/>
        </w:rPr>
        <w:t>Scalvya product contract</w:t>
      </w:r>
    </w:p>
    <w:p>
      <w:pPr>
        <w:spacing w:before="80" w:after="160" w:line="288" w:lineRule="auto"/>
        <w:ind w:left="173" w:right="115"/>
        <w:shd w:fill="E8EEF5"/>
        <w:pBdr>
          <w:left w:val="single" w:sz="18" w:space="6" w:color="2E74B5"/>
        </w:pBdr>
      </w:pPr>
      <w:r>
        <w:rPr>
          <w:rFonts w:ascii="Calibri" w:hAnsi="Calibri"/>
          <w:b/>
          <w:color w:val="2E74B5"/>
          <w:sz w:val="21"/>
        </w:rPr>
        <w:t xml:space="preserve">Pravilo: </w:t>
      </w:r>
      <w:r>
        <w:rPr>
          <w:rFonts w:ascii="Calibri" w:hAnsi="Calibri"/>
          <w:color w:val="1F2937"/>
          <w:sz w:val="21"/>
        </w:rPr>
        <w:t>Ta pogodba je obvezni kontekst za vsak prompt v tem delu. Če se koda in pogodba razlikujeta, Claude naj najprej preveri dejansko backend vedenje in odpravi neskladje brez izmišljanja funkcionalnosti.</w:t>
      </w:r>
    </w:p>
    <w:p>
      <w:pPr>
        <w:numPr>
          <w:ilvl w:val="0"/>
          <w:numId w:val="10"/>
        </w:numPr>
        <w:spacing w:after="80" w:line="300" w:lineRule="auto"/>
        <w:ind w:left="540" w:hanging="271"/>
      </w:pPr>
      <w:r>
        <w:rPr>
          <w:rFonts w:ascii="Calibri" w:hAnsi="Calibri"/>
          <w:color w:val="1F2937"/>
          <w:sz w:val="20"/>
        </w:rPr>
        <w:t>Repository: primocera/LaunchBloom. Last independently reviewed main baseline: 445d29e488d198ceaacceac59950697c00b9765c. Confirm the actual HEAD and record every commit of drift before editing.</w:t>
      </w:r>
    </w:p>
    <w:p>
      <w:pPr>
        <w:numPr>
          <w:ilvl w:val="0"/>
          <w:numId w:val="10"/>
        </w:numPr>
        <w:spacing w:after="80" w:line="300" w:lineRule="auto"/>
        <w:ind w:left="540" w:hanging="271"/>
      </w:pPr>
      <w:r>
        <w:rPr>
          <w:rFonts w:ascii="Calibri" w:hAnsi="Calibri"/>
          <w:color w:val="1F2937"/>
          <w:sz w:val="20"/>
        </w:rPr>
        <w:t>Customer-facing name is Scalvya. Canonical position: “Turn one offer into a launch-ready campaign.” Launch-ready means structured, connected and ready for human review—not published, approved, compliant or guaranteed to perform.</w:t>
      </w:r>
    </w:p>
    <w:p>
      <w:pPr>
        <w:numPr>
          <w:ilvl w:val="0"/>
          <w:numId w:val="10"/>
        </w:numPr>
        <w:spacing w:after="80" w:line="300" w:lineRule="auto"/>
        <w:ind w:left="540" w:hanging="271"/>
      </w:pPr>
      <w:r>
        <w:rPr>
          <w:rFonts w:ascii="Calibri" w:hAnsi="Calibri"/>
          <w:color w:val="1F2937"/>
          <w:sz w:val="20"/>
        </w:rPr>
        <w:t>Canonical journey remains Brand Profile → Campaign Brief → Create → Review → Library → Export/Handoff. Exactly five creation paths remain Website, Email, Social, Ads &amp; Creative and SEO Ideas.</w:t>
      </w:r>
    </w:p>
    <w:p>
      <w:pPr>
        <w:numPr>
          <w:ilvl w:val="0"/>
          <w:numId w:val="10"/>
        </w:numPr>
        <w:spacing w:after="80" w:line="300" w:lineRule="auto"/>
        <w:ind w:left="540" w:hanging="271"/>
      </w:pPr>
      <w:r>
        <w:rPr>
          <w:rFonts w:ascii="Calibri" w:hAnsi="Calibri"/>
          <w:color w:val="1F2937"/>
          <w:sz w:val="20"/>
        </w:rPr>
        <w:t>Social Calendar plans content but never claims to publish. SEO Ideas is ideation requiring real research; it never claims search volume, ranking data or verified market demand.</w:t>
      </w:r>
    </w:p>
    <w:p>
      <w:pPr>
        <w:numPr>
          <w:ilvl w:val="0"/>
          <w:numId w:val="10"/>
        </w:numPr>
        <w:spacing w:after="80" w:line="300" w:lineRule="auto"/>
        <w:ind w:left="540" w:hanging="271"/>
      </w:pPr>
      <w:r>
        <w:rPr>
          <w:rFonts w:ascii="Calibri" w:hAnsi="Calibri"/>
          <w:color w:val="1F2937"/>
          <w:sz w:val="20"/>
        </w:rPr>
        <w:t>Workspace and setup are free. An eligible 3-day trial begins only when the user intentionally chooses a paid plan at first generation. Entitlements and charge dates are server-owned.</w:t>
      </w:r>
    </w:p>
    <w:p>
      <w:pPr>
        <w:numPr>
          <w:ilvl w:val="0"/>
          <w:numId w:val="10"/>
        </w:numPr>
        <w:spacing w:after="80" w:line="300" w:lineRule="auto"/>
        <w:ind w:left="540" w:hanging="271"/>
      </w:pPr>
      <w:r>
        <w:rPr>
          <w:rFonts w:ascii="Calibri" w:hAnsi="Calibri"/>
          <w:color w:val="1F2937"/>
          <w:sz w:val="20"/>
        </w:rPr>
        <w:t>Canonical statuses remain Draft, Needs review, Ready to export and Published. Published is explicitly user-declared; readiness findings never silently change canonical status.</w:t>
      </w:r>
    </w:p>
    <w:p>
      <w:pPr>
        <w:numPr>
          <w:ilvl w:val="0"/>
          <w:numId w:val="10"/>
        </w:numPr>
        <w:spacing w:after="80" w:line="300" w:lineRule="auto"/>
        <w:ind w:left="540" w:hanging="271"/>
      </w:pPr>
      <w:r>
        <w:rPr>
          <w:rFonts w:ascii="Calibri" w:hAnsi="Calibri"/>
          <w:color w:val="1F2937"/>
          <w:sz w:val="20"/>
        </w:rPr>
        <w:t>Every asset remains tied to campaign, approved brief snapshot, prompt/schema/model policy version, provenance and version history. Brief changes never silently rewrite an existing asset.</w:t>
      </w:r>
    </w:p>
    <w:p>
      <w:pPr>
        <w:numPr>
          <w:ilvl w:val="0"/>
          <w:numId w:val="10"/>
        </w:numPr>
        <w:spacing w:after="80" w:line="300" w:lineRule="auto"/>
        <w:ind w:left="540" w:hanging="271"/>
      </w:pPr>
      <w:r>
        <w:rPr>
          <w:rFonts w:ascii="Calibri" w:hAnsi="Calibri"/>
          <w:color w:val="1F2937"/>
          <w:sz w:val="20"/>
        </w:rPr>
        <w:t>Current list prices remain $12.99, $24.99 and $59.00 unless the owner separately authorizes a commercial change. Never invent customer proof, outcomes, urgency, integrations or performance.</w:t>
      </w:r>
    </w:p>
    <w:p>
      <w:pPr>
        <w:numPr>
          <w:ilvl w:val="0"/>
          <w:numId w:val="10"/>
        </w:numPr>
        <w:spacing w:after="80" w:line="300" w:lineRule="auto"/>
        <w:ind w:left="540" w:hanging="271"/>
      </w:pPr>
      <w:r>
        <w:rPr>
          <w:rFonts w:ascii="Calibri" w:hAnsi="Calibri"/>
          <w:color w:val="1F2937"/>
          <w:sz w:val="20"/>
        </w:rPr>
        <w:t>Claude Code must not mutate live Stripe, Supabase, Vercel, Resend, DNS or cron. It may prepare safe owner-run instructions and evidence templates only.</w:t>
      </w:r>
    </w:p>
    <w:p>
      <w:pPr>
        <w:pStyle w:val="Heading2"/>
        <w:pageBreakBefore/>
      </w:pPr>
      <w:r>
        <w:rPr>
          <w:rFonts w:ascii="Calibri" w:hAnsi="Calibri"/>
          <w:b/>
          <w:color w:val="2E74B5"/>
          <w:sz w:val="29"/>
        </w:rPr>
        <w:t>SC-V11-00  |  Reconcile current-main truth and create one launch control plane</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Replace contradictory release documents with one machine-checkable source of truth pinned to the actual current main, without declaring the product launch-ready.</w:t>
      </w:r>
    </w:p>
    <w:p>
      <w:pPr>
        <w:spacing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0"/>
        </w:numPr>
        <w:spacing w:after="40" w:line="254" w:lineRule="auto"/>
        <w:ind w:left="690" w:hanging="290"/>
      </w:pPr>
      <w:r>
        <w:rPr>
          <w:rFonts w:ascii="Calibri" w:hAnsi="Calibri"/>
          <w:color w:val="1F2937"/>
          <w:sz w:val="18"/>
        </w:rPr>
        <w:t>You are Claude Code working directly in primocera/LaunchBloom. Implement this vertical slice in the real application; do not stop at an audit, recommendations, pseudo-code, a mockup or a list of copy ideas.</w:t>
      </w:r>
    </w:p>
    <w:p>
      <w:pPr>
        <w:numPr>
          <w:ilvl w:val="0"/>
          <w:numId w:val="10"/>
        </w:numPr>
        <w:spacing w:after="40" w:line="254" w:lineRule="auto"/>
        <w:ind w:left="690" w:hanging="290"/>
      </w:pPr>
      <w:r>
        <w:rPr>
          <w:rFonts w:ascii="Calibri" w:hAnsi="Calibri"/>
          <w:color w:val="1F2937"/>
          <w:sz w:val="18"/>
        </w:rPr>
        <w:t>Confirm the current branch and HEAD. Compare it with reviewed baseline 445d29e488d198ceaacceac59950697c00b9765c. If the repository has moved, list the drift and verify whether it already closes any requirement before changing code.</w:t>
      </w:r>
    </w:p>
    <w:p>
      <w:pPr>
        <w:numPr>
          <w:ilvl w:val="0"/>
          <w:numId w:val="10"/>
        </w:numPr>
        <w:spacing w:after="40" w:line="254" w:lineRule="auto"/>
        <w:ind w:left="690" w:hanging="290"/>
      </w:pPr>
      <w:r>
        <w:rPr>
          <w:rFonts w:ascii="Calibri" w:hAnsi="Calibri"/>
          <w:color w:val="1F2937"/>
          <w:sz w:val="18"/>
        </w:rPr>
        <w:t>Read repository instructions, current git status, package scripts, migrations, product/content contracts, launch documents and relevant tests before editing. Preserve unrelated work; never use destructive git commands.</w:t>
      </w:r>
    </w:p>
    <w:p>
      <w:pPr>
        <w:numPr>
          <w:ilvl w:val="0"/>
          <w:numId w:val="10"/>
        </w:numPr>
        <w:spacing w:after="40" w:line="254" w:lineRule="auto"/>
        <w:ind w:left="690" w:hanging="290"/>
      </w:pPr>
      <w:r>
        <w:rPr>
          <w:rFonts w:ascii="Calibri" w:hAnsi="Calibri"/>
          <w:color w:val="1F2937"/>
          <w:sz w:val="18"/>
        </w:rPr>
        <w:t>Treat this as launch hardening, not a redesign or feature expansion. Reuse canonical services, components, schemas and analytics taxonomy. Fix only verified gaps and delete duplication only when behavior and data remain reachable.</w:t>
      </w:r>
    </w:p>
    <w:p>
      <w:pPr>
        <w:numPr>
          <w:ilvl w:val="0"/>
          <w:numId w:val="10"/>
        </w:numPr>
        <w:spacing w:after="40" w:line="254" w:lineRule="auto"/>
        <w:ind w:left="690" w:hanging="290"/>
      </w:pPr>
      <w:r>
        <w:rPr>
          <w:rFonts w:ascii="Calibri" w:hAnsi="Calibri"/>
          <w:color w:val="1F2937"/>
          <w:sz w:val="18"/>
        </w:rPr>
        <w:t>Deliver one reviewable vertical slice and, if repository policy permits, one intentional commit. Use additive migrations, bounded feature flags and an explicit rollback whenever behavior or persisted data changes.</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0"/>
        </w:numPr>
        <w:spacing w:after="40" w:line="254" w:lineRule="auto"/>
        <w:ind w:left="690" w:hanging="290"/>
      </w:pPr>
      <w:r>
        <w:rPr>
          <w:rFonts w:ascii="Calibri" w:hAnsi="Calibri"/>
          <w:color w:val="1F2937"/>
          <w:sz w:val="18"/>
        </w:rPr>
        <w:t>The last frozen v10 RC was pinned to an older commit, while reviewed main is now 445d29e… and may move again. A successful Vercel deployment alone does not prove the exact current head passed every required gate.</w:t>
      </w:r>
    </w:p>
    <w:p>
      <w:pPr>
        <w:numPr>
          <w:ilvl w:val="0"/>
          <w:numId w:val="10"/>
        </w:numPr>
        <w:spacing w:after="40" w:line="254" w:lineRule="auto"/>
        <w:ind w:left="690" w:hanging="290"/>
      </w:pPr>
      <w:r>
        <w:rPr>
          <w:rFonts w:ascii="Calibri" w:hAnsi="Calibri"/>
          <w:color w:val="1F2937"/>
          <w:sz w:val="18"/>
        </w:rPr>
        <w:t>GO_NO_GO_V10 reports migrations 034–036 applied, while CONFIGURED_STATE still says they are not applied. Contradictory operational truth makes every later release claim unreliable.</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0"/>
        </w:numPr>
        <w:spacing w:after="40" w:line="254" w:lineRule="auto"/>
        <w:ind w:left="690" w:hanging="290"/>
      </w:pPr>
      <w:r>
        <w:rPr>
          <w:rFonts w:ascii="Calibri" w:hAnsi="Calibri"/>
          <w:color w:val="1F2937"/>
          <w:sz w:val="18"/>
        </w:rPr>
        <w:t>Replace contradictory release documents with one machine-checkable source of truth pinned to the actual current main, without declaring the product launch-ready.</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0"/>
        </w:numPr>
        <w:spacing w:after="40" w:line="254" w:lineRule="auto"/>
        <w:ind w:left="690" w:hanging="290"/>
      </w:pPr>
      <w:r>
        <w:rPr>
          <w:rFonts w:ascii="Calibri" w:hAnsi="Calibri"/>
          <w:color w:val="1F2937"/>
          <w:sz w:val="18"/>
        </w:rPr>
        <w:t>Read all GO/NO-GO, BUILD/CONFIGURED_STATE, migration, release, handoff, incident and owner-run evidence documents; list every contradiction with file, field and evidence source.</w:t>
      </w:r>
    </w:p>
    <w:p>
      <w:pPr>
        <w:numPr>
          <w:ilvl w:val="0"/>
          <w:numId w:val="10"/>
        </w:numPr>
        <w:spacing w:after="40" w:line="254" w:lineRule="auto"/>
        <w:ind w:left="690" w:hanging="290"/>
      </w:pPr>
      <w:r>
        <w:rPr>
          <w:rFonts w:ascii="Calibri" w:hAnsi="Calibri"/>
          <w:color w:val="1F2937"/>
          <w:sz w:val="18"/>
        </w:rPr>
        <w:t>Inspect GitHub workflows, branch checks, Vercel status integration, migration inventory, release-check scripts, frontend bundle provenance and environment-presence checks.</w:t>
      </w:r>
    </w:p>
    <w:p>
      <w:pPr>
        <w:numPr>
          <w:ilvl w:val="0"/>
          <w:numId w:val="10"/>
        </w:numPr>
        <w:spacing w:after="40" w:line="254" w:lineRule="auto"/>
        <w:ind w:left="690" w:hanging="290"/>
      </w:pPr>
      <w:r>
        <w:rPr>
          <w:rFonts w:ascii="Calibri" w:hAnsi="Calibri"/>
          <w:color w:val="1F2937"/>
          <w:sz w:val="18"/>
        </w:rPr>
        <w:t>Identify the exact frozen v10 RC, the actual HEAD, all intervening commits and which checks have actually run at each SHA.</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0"/>
        </w:numPr>
        <w:spacing w:after="40" w:line="254" w:lineRule="auto"/>
        <w:ind w:left="690" w:hanging="290"/>
      </w:pPr>
      <w:r>
        <w:rPr>
          <w:rFonts w:ascii="Calibri" w:hAnsi="Calibri"/>
          <w:color w:val="1F2937"/>
          <w:sz w:val="18"/>
        </w:rPr>
        <w:t>Create one canonical launch-state schema or manifest containing repository, branch, exact SHA, UTC timestamp, migration range, bundle/build identifier, required checks, observed results, owner evidence links, open blockers, verdict and rollback reference.</w:t>
      </w:r>
    </w:p>
    <w:p>
      <w:pPr>
        <w:numPr>
          <w:ilvl w:val="0"/>
          <w:numId w:val="10"/>
        </w:numPr>
        <w:spacing w:after="40" w:line="254" w:lineRule="auto"/>
        <w:ind w:left="690" w:hanging="290"/>
      </w:pPr>
      <w:r>
        <w:rPr>
          <w:rFonts w:ascii="Calibri" w:hAnsi="Calibri"/>
          <w:color w:val="1F2937"/>
          <w:sz w:val="18"/>
        </w:rPr>
        <w:t>Generate human-readable launch status from that canonical data or validate documents against it in CI. Retire, archive or mark superseded documents so two active files cannot disagree.</w:t>
      </w:r>
    </w:p>
    <w:p>
      <w:pPr>
        <w:numPr>
          <w:ilvl w:val="0"/>
          <w:numId w:val="10"/>
        </w:numPr>
        <w:spacing w:after="40" w:line="254" w:lineRule="auto"/>
        <w:ind w:left="690" w:hanging="290"/>
      </w:pPr>
      <w:r>
        <w:rPr>
          <w:rFonts w:ascii="Calibri" w:hAnsi="Calibri"/>
          <w:color w:val="1F2937"/>
          <w:sz w:val="18"/>
        </w:rPr>
        <w:t>Distinguish not run, skipped, failed, locally passed, CI passed, configured, live rehearsed and observed over time. Unknown is never coerced to pass.</w:t>
      </w:r>
    </w:p>
    <w:p>
      <w:pPr>
        <w:numPr>
          <w:ilvl w:val="0"/>
          <w:numId w:val="10"/>
        </w:numPr>
        <w:spacing w:after="40" w:line="254" w:lineRule="auto"/>
        <w:ind w:left="690" w:hanging="290"/>
      </w:pPr>
      <w:r>
        <w:rPr>
          <w:rFonts w:ascii="Calibri" w:hAnsi="Calibri"/>
          <w:color w:val="1F2937"/>
          <w:sz w:val="18"/>
        </w:rPr>
        <w:t>Make the release check fail when the documented SHA differs from HEAD, required evidence is missing, migration claims conflict, a required check is skipped or a P0 blocker remains.</w:t>
      </w:r>
    </w:p>
    <w:p>
      <w:pPr>
        <w:numPr>
          <w:ilvl w:val="0"/>
          <w:numId w:val="10"/>
        </w:numPr>
        <w:spacing w:after="40" w:line="254" w:lineRule="auto"/>
        <w:ind w:left="690" w:hanging="290"/>
      </w:pPr>
      <w:r>
        <w:rPr>
          <w:rFonts w:ascii="Calibri" w:hAnsi="Calibri"/>
          <w:color w:val="1F2937"/>
          <w:sz w:val="18"/>
        </w:rPr>
        <w:t>Document how to create a new RC from current main and how later commits invalidate it.</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0"/>
        </w:numPr>
        <w:spacing w:after="40" w:line="254" w:lineRule="auto"/>
        <w:ind w:left="690" w:hanging="290"/>
      </w:pPr>
      <w:r>
        <w:rPr>
          <w:rFonts w:ascii="Calibri" w:hAnsi="Calibri"/>
          <w:color w:val="1F2937"/>
          <w:sz w:val="18"/>
        </w:rPr>
        <w:t>Use precise phrases such as ‘verified at SHA’, ‘configured but not live-rehearsed’ and ‘owner evidence required’. Remove production-ready language that is supported only by local tests.</w:t>
      </w:r>
    </w:p>
    <w:p>
      <w:pPr>
        <w:numPr>
          <w:ilvl w:val="0"/>
          <w:numId w:val="10"/>
        </w:numPr>
        <w:spacing w:after="40" w:line="254" w:lineRule="auto"/>
        <w:ind w:left="690" w:hanging="290"/>
      </w:pPr>
      <w:r>
        <w:rPr>
          <w:rFonts w:ascii="Calibri" w:hAnsi="Calibri"/>
          <w:color w:val="1F2937"/>
          <w:sz w:val="18"/>
        </w:rPr>
        <w:t>The launch summary must be readable by a non-engineering owner and link every binary verdict to evidence.</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0"/>
        </w:numPr>
        <w:spacing w:after="40" w:line="254" w:lineRule="auto"/>
        <w:ind w:left="690" w:hanging="290"/>
      </w:pPr>
      <w:r>
        <w:rPr>
          <w:rFonts w:ascii="Calibri" w:hAnsi="Calibri"/>
          <w:color w:val="1F2937"/>
          <w:sz w:val="18"/>
        </w:rPr>
        <w:t>The manifest contains no secrets, user content, payment identifiers or private evidence payloads—only safe references, categories, timestamps and hashes.</w:t>
      </w:r>
    </w:p>
    <w:p>
      <w:pPr>
        <w:numPr>
          <w:ilvl w:val="0"/>
          <w:numId w:val="10"/>
        </w:numPr>
        <w:spacing w:after="40" w:line="254" w:lineRule="auto"/>
        <w:ind w:left="690" w:hanging="290"/>
      </w:pPr>
      <w:r>
        <w:rPr>
          <w:rFonts w:ascii="Calibri" w:hAnsi="Calibri"/>
          <w:color w:val="1F2937"/>
          <w:sz w:val="18"/>
        </w:rPr>
        <w:t>Migration presence is verified through an existing safe readiness mechanism; never infer it from files in the repository.</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0"/>
        </w:numPr>
        <w:spacing w:after="40" w:line="254" w:lineRule="auto"/>
        <w:ind w:left="690" w:hanging="290"/>
      </w:pPr>
      <w:r>
        <w:rPr>
          <w:rFonts w:ascii="Calibri" w:hAnsi="Calibri"/>
          <w:color w:val="1F2937"/>
          <w:sz w:val="18"/>
        </w:rPr>
        <w:t>Do not rewrite historical evidence or pretend old evidence belongs to the new SHA.</w:t>
      </w:r>
    </w:p>
    <w:p>
      <w:pPr>
        <w:numPr>
          <w:ilvl w:val="0"/>
          <w:numId w:val="10"/>
        </w:numPr>
        <w:spacing w:after="40" w:line="254" w:lineRule="auto"/>
        <w:ind w:left="690" w:hanging="290"/>
      </w:pPr>
      <w:r>
        <w:rPr>
          <w:rFonts w:ascii="Calibri" w:hAnsi="Calibri"/>
          <w:color w:val="1F2937"/>
          <w:sz w:val="18"/>
        </w:rPr>
        <w:t>Do not change production configuration, migrations, prices or entitlements in this prompt.</w:t>
      </w:r>
    </w:p>
    <w:p>
      <w:pPr>
        <w:numPr>
          <w:ilvl w:val="0"/>
          <w:numId w:val="10"/>
        </w:numPr>
        <w:spacing w:after="40" w:line="254" w:lineRule="auto"/>
        <w:ind w:left="690" w:hanging="290"/>
      </w:pPr>
      <w:r>
        <w:rPr>
          <w:rFonts w:ascii="Calibri" w:hAnsi="Calibri"/>
          <w:color w:val="1F2937"/>
          <w:sz w:val="18"/>
        </w:rPr>
        <w:t>Do not create a second competing release-state source.</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0"/>
        </w:numPr>
        <w:spacing w:after="40" w:line="254" w:lineRule="auto"/>
        <w:ind w:left="690" w:hanging="290"/>
      </w:pPr>
      <w:r>
        <w:rPr>
          <w:rFonts w:ascii="Calibri" w:hAnsi="Calibri"/>
          <w:color w:val="1F2937"/>
          <w:sz w:val="18"/>
        </w:rPr>
        <w:t>Exactly one active launch truth exists and every release document agrees with it.</w:t>
      </w:r>
    </w:p>
    <w:p>
      <w:pPr>
        <w:numPr>
          <w:ilvl w:val="0"/>
          <w:numId w:val="10"/>
        </w:numPr>
        <w:spacing w:after="40" w:line="254" w:lineRule="auto"/>
        <w:ind w:left="690" w:hanging="290"/>
      </w:pPr>
      <w:r>
        <w:rPr>
          <w:rFonts w:ascii="Calibri" w:hAnsi="Calibri"/>
          <w:color w:val="1F2937"/>
          <w:sz w:val="18"/>
        </w:rPr>
        <w:t>Current HEAD drift, CI state, Vercel state, migration state and owner evidence are independently visible.</w:t>
      </w:r>
    </w:p>
    <w:p>
      <w:pPr>
        <w:numPr>
          <w:ilvl w:val="0"/>
          <w:numId w:val="10"/>
        </w:numPr>
        <w:spacing w:after="40" w:line="254" w:lineRule="auto"/>
        <w:ind w:left="690" w:hanging="290"/>
      </w:pPr>
      <w:r>
        <w:rPr>
          <w:rFonts w:ascii="Calibri" w:hAnsi="Calibri"/>
          <w:color w:val="1F2937"/>
          <w:sz w:val="18"/>
        </w:rPr>
        <w:t>A deliberately stale SHA, contradictory migration claim, skipped required check or open P0 causes a deterministic NO-GO.</w:t>
      </w:r>
    </w:p>
    <w:p>
      <w:pPr>
        <w:numPr>
          <w:ilvl w:val="0"/>
          <w:numId w:val="10"/>
        </w:numPr>
        <w:spacing w:after="40" w:line="254" w:lineRule="auto"/>
        <w:ind w:left="690" w:hanging="290"/>
      </w:pPr>
      <w:r>
        <w:rPr>
          <w:rFonts w:ascii="Calibri" w:hAnsi="Calibri"/>
          <w:color w:val="1F2937"/>
          <w:sz w:val="18"/>
        </w:rPr>
        <w:t>The verdict remains NO-GO until all required current-head evidence is present.</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0"/>
        </w:numPr>
        <w:spacing w:after="40" w:line="254" w:lineRule="auto"/>
        <w:ind w:left="690" w:hanging="290"/>
      </w:pPr>
      <w:r>
        <w:rPr>
          <w:rFonts w:ascii="Calibri" w:hAnsi="Calibri"/>
          <w:color w:val="1F2937"/>
          <w:sz w:val="18"/>
        </w:rPr>
        <w:t>Run the launch-state validator against valid, stale-SHA, missing-evidence, conflicting-migration and skipped-check fixtures.</w:t>
      </w:r>
    </w:p>
    <w:p>
      <w:pPr>
        <w:numPr>
          <w:ilvl w:val="0"/>
          <w:numId w:val="10"/>
        </w:numPr>
        <w:spacing w:after="40" w:line="254" w:lineRule="auto"/>
        <w:ind w:left="690" w:hanging="290"/>
      </w:pPr>
      <w:r>
        <w:rPr>
          <w:rFonts w:ascii="Calibri" w:hAnsi="Calibri"/>
          <w:color w:val="1F2937"/>
          <w:sz w:val="18"/>
        </w:rPr>
        <w:t>Run the repository’s complete lint, typecheck where applicable, unit/contract/safety tests, production build and all relevant Playwright journeys. Add targeted failure, keyboard, screen-reader-semantic and 320/375px tests for this change.</w:t>
      </w:r>
    </w:p>
    <w:p>
      <w:pPr>
        <w:numPr>
          <w:ilvl w:val="0"/>
          <w:numId w:val="10"/>
        </w:numPr>
        <w:spacing w:after="40" w:line="254" w:lineRule="auto"/>
        <w:ind w:left="690" w:hanging="290"/>
      </w:pPr>
      <w:r>
        <w:rPr>
          <w:rFonts w:ascii="Calibri" w:hAnsi="Calibri"/>
          <w:color w:val="1F2937"/>
          <w:sz w:val="18"/>
        </w:rPr>
        <w:t>Run git diff --check. Review the complete diff for duplicated truth, leaked PII/content, secrets, inaccessible states, unsupported claims, stale generated artifacts, broad formatting churn and unrelated changes.</w:t>
      </w:r>
    </w:p>
    <w:p>
      <w:pPr>
        <w:numPr>
          <w:ilvl w:val="0"/>
          <w:numId w:val="10"/>
        </w:numPr>
        <w:spacing w:after="40" w:line="254" w:lineRule="auto"/>
        <w:ind w:left="690" w:hanging="290"/>
      </w:pPr>
      <w:r>
        <w:rPr>
          <w:rFonts w:ascii="Calibri" w:hAnsi="Calibri"/>
          <w:color w:val="1F2937"/>
          <w:sz w:val="18"/>
        </w:rPr>
        <w:t>Return a structured handoff: outcome; changed files by product area; migrations/config/flags; analytics impact; exact commands with pass/fail/skipped counts; screenshots or artifacts where required; rollback; assumptions; remaining P0/P1/external blockers. Never report an unrun or skipped check as green.</w:t>
      </w:r>
    </w:p>
    <w:p>
      <w:pPr>
        <w:pStyle w:val="Heading2"/>
        <w:pageBreakBefore/>
      </w:pPr>
      <w:r>
        <w:rPr>
          <w:rFonts w:ascii="Calibri" w:hAnsi="Calibri"/>
          <w:b/>
          <w:color w:val="2E74B5"/>
          <w:sz w:val="29"/>
        </w:rPr>
        <w:t>SC-V11-01  |  Repair acquisition-to-signup conversion and signup accessibility</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Ensure every first-time visitor who chooses the primary CTA reaches a trustworthy, accessible signup flow that works visually and semantically on mobile and desktop.</w:t>
      </w:r>
    </w:p>
    <w:p>
      <w:pPr>
        <w:spacing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0"/>
        </w:numPr>
        <w:spacing w:after="40" w:line="254" w:lineRule="auto"/>
        <w:ind w:left="690" w:hanging="290"/>
      </w:pPr>
      <w:r>
        <w:rPr>
          <w:rFonts w:ascii="Calibri" w:hAnsi="Calibri"/>
          <w:color w:val="1F2937"/>
          <w:sz w:val="18"/>
        </w:rPr>
        <w:t>You are Claude Code working directly in primocera/LaunchBloom. Implement this vertical slice in the real application; do not stop at an audit, recommendations, pseudo-code, a mockup or a list of copy ideas.</w:t>
      </w:r>
    </w:p>
    <w:p>
      <w:pPr>
        <w:numPr>
          <w:ilvl w:val="0"/>
          <w:numId w:val="10"/>
        </w:numPr>
        <w:spacing w:after="40" w:line="254" w:lineRule="auto"/>
        <w:ind w:left="690" w:hanging="290"/>
      </w:pPr>
      <w:r>
        <w:rPr>
          <w:rFonts w:ascii="Calibri" w:hAnsi="Calibri"/>
          <w:color w:val="1F2937"/>
          <w:sz w:val="18"/>
        </w:rPr>
        <w:t>Confirm the current branch and HEAD. Compare it with reviewed baseline 445d29e488d198ceaacceac59950697c00b9765c. If the repository has moved, list the drift and verify whether it already closes any requirement before changing code.</w:t>
      </w:r>
    </w:p>
    <w:p>
      <w:pPr>
        <w:numPr>
          <w:ilvl w:val="0"/>
          <w:numId w:val="10"/>
        </w:numPr>
        <w:spacing w:after="40" w:line="254" w:lineRule="auto"/>
        <w:ind w:left="690" w:hanging="290"/>
      </w:pPr>
      <w:r>
        <w:rPr>
          <w:rFonts w:ascii="Calibri" w:hAnsi="Calibri"/>
          <w:color w:val="1F2937"/>
          <w:sz w:val="18"/>
        </w:rPr>
        <w:t>Read repository instructions, current git status, package scripts, migrations, product/content contracts, launch documents and relevant tests before editing. Preserve unrelated work; never use destructive git commands.</w:t>
      </w:r>
    </w:p>
    <w:p>
      <w:pPr>
        <w:numPr>
          <w:ilvl w:val="0"/>
          <w:numId w:val="10"/>
        </w:numPr>
        <w:spacing w:after="40" w:line="254" w:lineRule="auto"/>
        <w:ind w:left="690" w:hanging="290"/>
      </w:pPr>
      <w:r>
        <w:rPr>
          <w:rFonts w:ascii="Calibri" w:hAnsi="Calibri"/>
          <w:color w:val="1F2937"/>
          <w:sz w:val="18"/>
        </w:rPr>
        <w:t>Treat this as launch hardening, not a redesign or feature expansion. Reuse canonical services, components, schemas and analytics taxonomy. Fix only verified gaps and delete duplication only when behavior and data remain reachable.</w:t>
      </w:r>
    </w:p>
    <w:p>
      <w:pPr>
        <w:numPr>
          <w:ilvl w:val="0"/>
          <w:numId w:val="10"/>
        </w:numPr>
        <w:spacing w:after="40" w:line="254" w:lineRule="auto"/>
        <w:ind w:left="690" w:hanging="290"/>
      </w:pPr>
      <w:r>
        <w:rPr>
          <w:rFonts w:ascii="Calibri" w:hAnsi="Calibri"/>
          <w:color w:val="1F2937"/>
          <w:sz w:val="18"/>
        </w:rPr>
        <w:t>Deliver one reviewable vertical slice and, if repository policy permits, one intentional commit. Use additive migrations, bounded feature flags and an explicit rollback whenever behavior or persisted data changes.</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0"/>
        </w:numPr>
        <w:spacing w:after="40" w:line="254" w:lineRule="auto"/>
        <w:ind w:left="690" w:hanging="290"/>
      </w:pPr>
      <w:r>
        <w:rPr>
          <w:rFonts w:ascii="Calibri" w:hAnsi="Calibri"/>
          <w:color w:val="1F2937"/>
          <w:sz w:val="18"/>
        </w:rPr>
        <w:t>The landing hero and header currently send ‘Create my campaign’ to /app, where an anonymous visitor receives login instead of signup. This adds a silent conversion detour at the most valuable moment.</w:t>
      </w:r>
    </w:p>
    <w:p>
      <w:pPr>
        <w:numPr>
          <w:ilvl w:val="0"/>
          <w:numId w:val="10"/>
        </w:numPr>
        <w:spacing w:after="40" w:line="254" w:lineRule="auto"/>
        <w:ind w:left="690" w:hanging="290"/>
      </w:pPr>
      <w:r>
        <w:rPr>
          <w:rFonts w:ascii="Calibri" w:hAnsi="Calibri"/>
          <w:color w:val="1F2937"/>
          <w:sz w:val="18"/>
        </w:rPr>
        <w:t>The live signup checkboxes inherit `.login-card input { width: 100% }`, producing stretched or displaced controls and labels. Existing browser tests prove fields exist but do not catch the broken geometry.</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0"/>
        </w:numPr>
        <w:spacing w:after="40" w:line="254" w:lineRule="auto"/>
        <w:ind w:left="690" w:hanging="290"/>
      </w:pPr>
      <w:r>
        <w:rPr>
          <w:rFonts w:ascii="Calibri" w:hAnsi="Calibri"/>
          <w:color w:val="1F2937"/>
          <w:sz w:val="18"/>
        </w:rPr>
        <w:t>Ensure every first-time visitor who chooses the primary CTA reaches a trustworthy, accessible signup flow that works visually and semantically on mobile and desktop.</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0"/>
        </w:numPr>
        <w:spacing w:after="40" w:line="254" w:lineRule="auto"/>
        <w:ind w:left="690" w:hanging="290"/>
      </w:pPr>
      <w:r>
        <w:rPr>
          <w:rFonts w:ascii="Calibri" w:hAnsi="Calibri"/>
          <w:color w:val="1F2937"/>
          <w:sz w:val="18"/>
        </w:rPr>
        <w:t>Trace every public CTA, auth redirect, returnTo parameter, signup/login switch, verification screen, expired-token path and already-authenticated path.</w:t>
      </w:r>
    </w:p>
    <w:p>
      <w:pPr>
        <w:numPr>
          <w:ilvl w:val="0"/>
          <w:numId w:val="10"/>
        </w:numPr>
        <w:spacing w:after="40" w:line="254" w:lineRule="auto"/>
        <w:ind w:left="690" w:hanging="290"/>
      </w:pPr>
      <w:r>
        <w:rPr>
          <w:rFonts w:ascii="Calibri" w:hAnsi="Calibri"/>
          <w:color w:val="1F2937"/>
          <w:sz w:val="18"/>
        </w:rPr>
        <w:t>Inspect Landing.jsx, auth routes/components, styles.css selectors, consent markup, validation/error associations, focus order, legal links and current public Playwright tests.</w:t>
      </w:r>
    </w:p>
    <w:p>
      <w:pPr>
        <w:numPr>
          <w:ilvl w:val="0"/>
          <w:numId w:val="10"/>
        </w:numPr>
        <w:spacing w:after="40" w:line="254" w:lineRule="auto"/>
        <w:ind w:left="690" w:hanging="290"/>
      </w:pPr>
      <w:r>
        <w:rPr>
          <w:rFonts w:ascii="Calibri" w:hAnsi="Calibri"/>
          <w:color w:val="1F2937"/>
          <w:sz w:val="18"/>
        </w:rPr>
        <w:t>Capture baseline screenshots and bounding boxes at 320, 375, 768 and 1440 widths before editing.</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0"/>
        </w:numPr>
        <w:spacing w:after="40" w:line="254" w:lineRule="auto"/>
        <w:ind w:left="690" w:hanging="290"/>
      </w:pPr>
      <w:r>
        <w:rPr>
          <w:rFonts w:ascii="Calibri" w:hAnsi="Calibri"/>
          <w:color w:val="1F2937"/>
          <w:sz w:val="18"/>
        </w:rPr>
        <w:t>Route acquisition CTAs intended for new users to the canonical signup destination. Preserve a clearly labeled login route for returning users and preserve safe post-auth return behavior.</w:t>
      </w:r>
    </w:p>
    <w:p>
      <w:pPr>
        <w:numPr>
          <w:ilvl w:val="0"/>
          <w:numId w:val="10"/>
        </w:numPr>
        <w:spacing w:after="40" w:line="254" w:lineRule="auto"/>
        <w:ind w:left="690" w:hanging="290"/>
      </w:pPr>
      <w:r>
        <w:rPr>
          <w:rFonts w:ascii="Calibri" w:hAnsi="Calibri"/>
          <w:color w:val="1F2937"/>
          <w:sz w:val="18"/>
        </w:rPr>
        <w:t>Scope text-input styles with `input:not([type='checkbox'])` or an equivalent semantic class. Build an explicit consent row whose checkbox does not stretch, whose label wraps naturally and whose entire label activates the checkbox.</w:t>
      </w:r>
    </w:p>
    <w:p>
      <w:pPr>
        <w:numPr>
          <w:ilvl w:val="0"/>
          <w:numId w:val="10"/>
        </w:numPr>
        <w:spacing w:after="40" w:line="254" w:lineRule="auto"/>
        <w:ind w:left="690" w:hanging="290"/>
      </w:pPr>
      <w:r>
        <w:rPr>
          <w:rFonts w:ascii="Calibri" w:hAnsi="Calibri"/>
          <w:color w:val="1F2937"/>
          <w:sz w:val="18"/>
        </w:rPr>
        <w:t>Provide a minimum 44×44 CSS-pixel interactive target without visually inflating the checkbox. Ensure visible focus, sufficient contrast, no overlap and logical DOM/tab order.</w:t>
      </w:r>
    </w:p>
    <w:p>
      <w:pPr>
        <w:numPr>
          <w:ilvl w:val="0"/>
          <w:numId w:val="10"/>
        </w:numPr>
        <w:spacing w:after="40" w:line="254" w:lineRule="auto"/>
        <w:ind w:left="690" w:hanging="290"/>
      </w:pPr>
      <w:r>
        <w:rPr>
          <w:rFonts w:ascii="Calibri" w:hAnsi="Calibri"/>
          <w:color w:val="1F2937"/>
          <w:sz w:val="18"/>
        </w:rPr>
        <w:t>Associate validation errors and legal consent text with the correct fields. Prevent duplicate submission, preserve entered non-sensitive fields after recoverable errors and announce success/error states.</w:t>
      </w:r>
    </w:p>
    <w:p>
      <w:pPr>
        <w:numPr>
          <w:ilvl w:val="0"/>
          <w:numId w:val="10"/>
        </w:numPr>
        <w:spacing w:after="40" w:line="254" w:lineRule="auto"/>
        <w:ind w:left="690" w:hanging="290"/>
      </w:pPr>
      <w:r>
        <w:rPr>
          <w:rFonts w:ascii="Calibri" w:hAnsi="Calibri"/>
          <w:color w:val="1F2937"/>
          <w:sz w:val="18"/>
        </w:rPr>
        <w:t>Replace device-limiting verification copy such as ‘Open it on this device’ with accurate cross-device language because the backend uses device-independent token hashes. Cover expired, reused and invalid links honestly.</w:t>
      </w:r>
    </w:p>
    <w:p>
      <w:pPr>
        <w:numPr>
          <w:ilvl w:val="0"/>
          <w:numId w:val="10"/>
        </w:numPr>
        <w:spacing w:after="40" w:line="254" w:lineRule="auto"/>
        <w:ind w:left="690" w:hanging="290"/>
      </w:pPr>
      <w:r>
        <w:rPr>
          <w:rFonts w:ascii="Calibri" w:hAnsi="Calibri"/>
          <w:color w:val="1F2937"/>
          <w:sz w:val="18"/>
        </w:rPr>
        <w:t>Add browser assertions for destination, checkbox geometry, label wrapping, focus, click target, error association and verification copy—not screenshot-only snapshots.</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0"/>
        </w:numPr>
        <w:spacing w:after="40" w:line="254" w:lineRule="auto"/>
        <w:ind w:left="690" w:hanging="290"/>
      </w:pPr>
      <w:r>
        <w:rPr>
          <w:rFonts w:ascii="Calibri" w:hAnsi="Calibri"/>
          <w:color w:val="1F2937"/>
          <w:sz w:val="18"/>
        </w:rPr>
        <w:t>Primary landing CTA: ‘Create my campaign’ or the existing canonical variant; anonymous destination must be signup.</w:t>
      </w:r>
    </w:p>
    <w:p>
      <w:pPr>
        <w:numPr>
          <w:ilvl w:val="0"/>
          <w:numId w:val="10"/>
        </w:numPr>
        <w:spacing w:after="40" w:line="254" w:lineRule="auto"/>
        <w:ind w:left="690" w:hanging="290"/>
      </w:pPr>
      <w:r>
        <w:rPr>
          <w:rFonts w:ascii="Calibri" w:hAnsi="Calibri"/>
          <w:color w:val="1F2937"/>
          <w:sz w:val="18"/>
        </w:rPr>
        <w:t>Verification copy must say the user can open the link on any device and what to do if it expired. Do not promise delivery time or inbox placement.</w:t>
      </w:r>
    </w:p>
    <w:p>
      <w:pPr>
        <w:numPr>
          <w:ilvl w:val="0"/>
          <w:numId w:val="10"/>
        </w:numPr>
        <w:spacing w:after="40" w:line="254" w:lineRule="auto"/>
        <w:ind w:left="690" w:hanging="290"/>
      </w:pPr>
      <w:r>
        <w:rPr>
          <w:rFonts w:ascii="Calibri" w:hAnsi="Calibri"/>
          <w:color w:val="1F2937"/>
          <w:sz w:val="18"/>
        </w:rPr>
        <w:t>Consent labels remain legally accurate and are not hidden, pre-checked or visually de-emphasized.</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0"/>
        </w:numPr>
        <w:spacing w:after="40" w:line="254" w:lineRule="auto"/>
        <w:ind w:left="690" w:hanging="290"/>
      </w:pPr>
      <w:r>
        <w:rPr>
          <w:rFonts w:ascii="Calibri" w:hAnsi="Calibri"/>
          <w:color w:val="1F2937"/>
          <w:sz w:val="18"/>
        </w:rPr>
        <w:t>Do not add email, consent text or verification tokens to analytics/logs. Track only bounded CTA surface, auth intent and outcome code.</w:t>
      </w:r>
    </w:p>
    <w:p>
      <w:pPr>
        <w:numPr>
          <w:ilvl w:val="0"/>
          <w:numId w:val="10"/>
        </w:numPr>
        <w:spacing w:after="40" w:line="254" w:lineRule="auto"/>
        <w:ind w:left="690" w:hanging="290"/>
      </w:pPr>
      <w:r>
        <w:rPr>
          <w:rFonts w:ascii="Calibri" w:hAnsi="Calibri"/>
          <w:color w:val="1F2937"/>
          <w:sz w:val="18"/>
        </w:rPr>
        <w:t>Server remains authoritative for consent/version, verification and safe return destinations.</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0"/>
        </w:numPr>
        <w:spacing w:after="40" w:line="254" w:lineRule="auto"/>
        <w:ind w:left="690" w:hanging="290"/>
      </w:pPr>
      <w:r>
        <w:rPr>
          <w:rFonts w:ascii="Calibri" w:hAnsi="Calibri"/>
          <w:color w:val="1F2937"/>
          <w:sz w:val="18"/>
        </w:rPr>
        <w:t>Do not weaken CSRF, redirect allowlisting, rate limits or verification security.</w:t>
      </w:r>
    </w:p>
    <w:p>
      <w:pPr>
        <w:numPr>
          <w:ilvl w:val="0"/>
          <w:numId w:val="10"/>
        </w:numPr>
        <w:spacing w:after="40" w:line="254" w:lineRule="auto"/>
        <w:ind w:left="690" w:hanging="290"/>
      </w:pPr>
      <w:r>
        <w:rPr>
          <w:rFonts w:ascii="Calibri" w:hAnsi="Calibri"/>
          <w:color w:val="1F2937"/>
          <w:sz w:val="18"/>
        </w:rPr>
        <w:t>Do not merge signup and login into an ambiguous form.</w:t>
      </w:r>
    </w:p>
    <w:p>
      <w:pPr>
        <w:numPr>
          <w:ilvl w:val="0"/>
          <w:numId w:val="10"/>
        </w:numPr>
        <w:spacing w:after="40" w:line="254" w:lineRule="auto"/>
        <w:ind w:left="690" w:hanging="290"/>
      </w:pPr>
      <w:r>
        <w:rPr>
          <w:rFonts w:ascii="Calibri" w:hAnsi="Calibri"/>
          <w:color w:val="1F2937"/>
          <w:sz w:val="18"/>
        </w:rPr>
        <w:t>Do not modify live auth/provider configuration.</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0"/>
        </w:numPr>
        <w:spacing w:after="40" w:line="254" w:lineRule="auto"/>
        <w:ind w:left="690" w:hanging="290"/>
      </w:pPr>
      <w:r>
        <w:rPr>
          <w:rFonts w:ascii="Calibri" w:hAnsi="Calibri"/>
          <w:color w:val="1F2937"/>
          <w:sz w:val="18"/>
        </w:rPr>
        <w:t>Every anonymous primary CTA reaches signup in one navigation; every explicit login link reaches login.</w:t>
      </w:r>
    </w:p>
    <w:p>
      <w:pPr>
        <w:numPr>
          <w:ilvl w:val="0"/>
          <w:numId w:val="10"/>
        </w:numPr>
        <w:spacing w:after="40" w:line="254" w:lineRule="auto"/>
        <w:ind w:left="690" w:hanging="290"/>
      </w:pPr>
      <w:r>
        <w:rPr>
          <w:rFonts w:ascii="Calibri" w:hAnsi="Calibri"/>
          <w:color w:val="1F2937"/>
          <w:sz w:val="18"/>
        </w:rPr>
        <w:t>Checkbox and label pass geometry and keyboard tests at all four widths with no horizontal overflow.</w:t>
      </w:r>
    </w:p>
    <w:p>
      <w:pPr>
        <w:numPr>
          <w:ilvl w:val="0"/>
          <w:numId w:val="10"/>
        </w:numPr>
        <w:spacing w:after="40" w:line="254" w:lineRule="auto"/>
        <w:ind w:left="690" w:hanging="290"/>
      </w:pPr>
      <w:r>
        <w:rPr>
          <w:rFonts w:ascii="Calibri" w:hAnsi="Calibri"/>
          <w:color w:val="1F2937"/>
          <w:sz w:val="18"/>
        </w:rPr>
        <w:t>Screen readers receive field name, required state, consent context and associated errors.</w:t>
      </w:r>
    </w:p>
    <w:p>
      <w:pPr>
        <w:numPr>
          <w:ilvl w:val="0"/>
          <w:numId w:val="10"/>
        </w:numPr>
        <w:spacing w:after="40" w:line="254" w:lineRule="auto"/>
        <w:ind w:left="690" w:hanging="290"/>
      </w:pPr>
      <w:r>
        <w:rPr>
          <w:rFonts w:ascii="Calibri" w:hAnsi="Calibri"/>
          <w:color w:val="1F2937"/>
          <w:sz w:val="18"/>
        </w:rPr>
        <w:t>Verification wording matches cross-device behavior; invalid and expired links recover safely.</w:t>
      </w:r>
    </w:p>
    <w:p>
      <w:pPr>
        <w:numPr>
          <w:ilvl w:val="0"/>
          <w:numId w:val="10"/>
        </w:numPr>
        <w:spacing w:after="40" w:line="254" w:lineRule="auto"/>
        <w:ind w:left="690" w:hanging="290"/>
      </w:pPr>
      <w:r>
        <w:rPr>
          <w:rFonts w:ascii="Calibri" w:hAnsi="Calibri"/>
          <w:color w:val="1F2937"/>
          <w:sz w:val="18"/>
        </w:rPr>
        <w:t>Authenticated users never get trapped in an auth loop.</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0"/>
        </w:numPr>
        <w:spacing w:after="40" w:line="254" w:lineRule="auto"/>
        <w:ind w:left="690" w:hanging="290"/>
      </w:pPr>
      <w:r>
        <w:rPr>
          <w:rFonts w:ascii="Calibri" w:hAnsi="Calibri"/>
          <w:color w:val="1F2937"/>
          <w:sz w:val="18"/>
        </w:rPr>
        <w:t>Run the complete anonymous CTA→signup→verification fixture journey plus keyboard-only and reduced-motion passes; save before/after screenshots in test artifacts.</w:t>
      </w:r>
    </w:p>
    <w:p>
      <w:pPr>
        <w:numPr>
          <w:ilvl w:val="0"/>
          <w:numId w:val="10"/>
        </w:numPr>
        <w:spacing w:after="40" w:line="254" w:lineRule="auto"/>
        <w:ind w:left="690" w:hanging="290"/>
      </w:pPr>
      <w:r>
        <w:rPr>
          <w:rFonts w:ascii="Calibri" w:hAnsi="Calibri"/>
          <w:color w:val="1F2937"/>
          <w:sz w:val="18"/>
        </w:rPr>
        <w:t>Run the repository’s complete lint, typecheck where applicable, unit/contract/safety tests, production build and all relevant Playwright journeys. Add targeted failure, keyboard, screen-reader-semantic and 320/375px tests for this change.</w:t>
      </w:r>
    </w:p>
    <w:p>
      <w:pPr>
        <w:numPr>
          <w:ilvl w:val="0"/>
          <w:numId w:val="10"/>
        </w:numPr>
        <w:spacing w:after="40" w:line="254" w:lineRule="auto"/>
        <w:ind w:left="690" w:hanging="290"/>
      </w:pPr>
      <w:r>
        <w:rPr>
          <w:rFonts w:ascii="Calibri" w:hAnsi="Calibri"/>
          <w:color w:val="1F2937"/>
          <w:sz w:val="18"/>
        </w:rPr>
        <w:t>Run git diff --check. Review the complete diff for duplicated truth, leaked PII/content, secrets, inaccessible states, unsupported claims, stale generated artifacts, broad formatting churn and unrelated changes.</w:t>
      </w:r>
    </w:p>
    <w:p>
      <w:pPr>
        <w:numPr>
          <w:ilvl w:val="0"/>
          <w:numId w:val="10"/>
        </w:numPr>
        <w:spacing w:after="40" w:line="254" w:lineRule="auto"/>
        <w:ind w:left="690" w:hanging="290"/>
      </w:pPr>
      <w:r>
        <w:rPr>
          <w:rFonts w:ascii="Calibri" w:hAnsi="Calibri"/>
          <w:color w:val="1F2937"/>
          <w:sz w:val="18"/>
        </w:rPr>
        <w:t>Return a structured handoff: outcome; changed files by product area; migrations/config/flags; analytics impact; exact commands with pass/fail/skipped counts; screenshots or artifacts where required; rollback; assumptions; remaining P0/P1/external blockers. Never report an unrun or skipped check as green.</w:t>
      </w:r>
    </w:p>
    <w:p>
      <w:pPr>
        <w:pStyle w:val="Heading2"/>
        <w:pageBreakBefore/>
      </w:pPr>
      <w:r>
        <w:rPr>
          <w:rFonts w:ascii="Calibri" w:hAnsi="Calibri"/>
          <w:b/>
          <w:color w:val="2E74B5"/>
          <w:sz w:val="29"/>
        </w:rPr>
        <w:t>SC-V11-02  |  Restore premium hero readability without changing the chosen brand direction</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Keep the owner-approved blue visual direction while making every hero claim, helper and proof item reliably readable under WCAG contrast and real responsive layouts.</w:t>
      </w:r>
    </w:p>
    <w:p>
      <w:pPr>
        <w:spacing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0"/>
        </w:numPr>
        <w:spacing w:after="40" w:line="254" w:lineRule="auto"/>
        <w:ind w:left="690" w:hanging="290"/>
      </w:pPr>
      <w:r>
        <w:rPr>
          <w:rFonts w:ascii="Calibri" w:hAnsi="Calibri"/>
          <w:color w:val="1F2937"/>
          <w:sz w:val="18"/>
        </w:rPr>
        <w:t>You are Claude Code working directly in primocera/LaunchBloom. Implement this vertical slice in the real application; do not stop at an audit, recommendations, pseudo-code, a mockup or a list of copy ideas.</w:t>
      </w:r>
    </w:p>
    <w:p>
      <w:pPr>
        <w:numPr>
          <w:ilvl w:val="0"/>
          <w:numId w:val="10"/>
        </w:numPr>
        <w:spacing w:after="40" w:line="254" w:lineRule="auto"/>
        <w:ind w:left="690" w:hanging="290"/>
      </w:pPr>
      <w:r>
        <w:rPr>
          <w:rFonts w:ascii="Calibri" w:hAnsi="Calibri"/>
          <w:color w:val="1F2937"/>
          <w:sz w:val="18"/>
        </w:rPr>
        <w:t>Confirm the current branch and HEAD. Compare it with reviewed baseline 445d29e488d198ceaacceac59950697c00b9765c. If the repository has moved, list the drift and verify whether it already closes any requirement before changing code.</w:t>
      </w:r>
    </w:p>
    <w:p>
      <w:pPr>
        <w:numPr>
          <w:ilvl w:val="0"/>
          <w:numId w:val="10"/>
        </w:numPr>
        <w:spacing w:after="40" w:line="254" w:lineRule="auto"/>
        <w:ind w:left="690" w:hanging="290"/>
      </w:pPr>
      <w:r>
        <w:rPr>
          <w:rFonts w:ascii="Calibri" w:hAnsi="Calibri"/>
          <w:color w:val="1F2937"/>
          <w:sz w:val="18"/>
        </w:rPr>
        <w:t>Read repository instructions, current git status, package scripts, migrations, product/content contracts, launch documents and relevant tests before editing. Preserve unrelated work; never use destructive git commands.</w:t>
      </w:r>
    </w:p>
    <w:p>
      <w:pPr>
        <w:numPr>
          <w:ilvl w:val="0"/>
          <w:numId w:val="10"/>
        </w:numPr>
        <w:spacing w:after="40" w:line="254" w:lineRule="auto"/>
        <w:ind w:left="690" w:hanging="290"/>
      </w:pPr>
      <w:r>
        <w:rPr>
          <w:rFonts w:ascii="Calibri" w:hAnsi="Calibri"/>
          <w:color w:val="1F2937"/>
          <w:sz w:val="18"/>
        </w:rPr>
        <w:t>Treat this as launch hardening, not a redesign or feature expansion. Reuse canonical services, components, schemas and analytics taxonomy. Fix only verified gaps and delete duplication only when behavior and data remain reachable.</w:t>
      </w:r>
    </w:p>
    <w:p>
      <w:pPr>
        <w:numPr>
          <w:ilvl w:val="0"/>
          <w:numId w:val="10"/>
        </w:numPr>
        <w:spacing w:after="40" w:line="254" w:lineRule="auto"/>
        <w:ind w:left="690" w:hanging="290"/>
      </w:pPr>
      <w:r>
        <w:rPr>
          <w:rFonts w:ascii="Calibri" w:hAnsi="Calibri"/>
          <w:color w:val="1F2937"/>
          <w:sz w:val="18"/>
        </w:rPr>
        <w:t>Deliver one reviewable vertical slice and, if repository policy permits, one intentional commit. Use additive migrations, bounded feature flags and an explicit rollback whenever behavior or persisted data changes.</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0"/>
        </w:numPr>
        <w:spacing w:after="40" w:line="254" w:lineRule="auto"/>
        <w:ind w:left="690" w:hanging="290"/>
      </w:pPr>
      <w:r>
        <w:rPr>
          <w:rFonts w:ascii="Calibri" w:hAnsi="Calibri"/>
          <w:color w:val="1F2937"/>
          <w:sz w:val="18"/>
        </w:rPr>
        <w:t>The current gradient documents approximately 4.70:1 near the top, 4.10:1 around 26% and 2.49:1 around 62%. Live helper text and proof cards visibly disappear in the lighter zone.</w:t>
      </w:r>
    </w:p>
    <w:p>
      <w:pPr>
        <w:numPr>
          <w:ilvl w:val="0"/>
          <w:numId w:val="10"/>
        </w:numPr>
        <w:spacing w:after="40" w:line="254" w:lineRule="auto"/>
        <w:ind w:left="690" w:hanging="290"/>
      </w:pPr>
      <w:r>
        <w:rPr>
          <w:rFonts w:ascii="Calibri" w:hAnsi="Calibri"/>
          <w:color w:val="1F2937"/>
          <w:sz w:val="18"/>
        </w:rPr>
        <w:t>A previous global darkening was intentionally reverted. The correct fix is localized contrast control, not another unapproved rebrand.</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0"/>
        </w:numPr>
        <w:spacing w:after="40" w:line="254" w:lineRule="auto"/>
        <w:ind w:left="690" w:hanging="290"/>
      </w:pPr>
      <w:r>
        <w:rPr>
          <w:rFonts w:ascii="Calibri" w:hAnsi="Calibri"/>
          <w:color w:val="1F2937"/>
          <w:sz w:val="18"/>
        </w:rPr>
        <w:t>Keep the owner-approved blue visual direction while making every hero claim, helper and proof item reliably readable under WCAG contrast and real responsive layouts.</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0"/>
        </w:numPr>
        <w:spacing w:after="40" w:line="254" w:lineRule="auto"/>
        <w:ind w:left="690" w:hanging="290"/>
      </w:pPr>
      <w:r>
        <w:rPr>
          <w:rFonts w:ascii="Calibri" w:hAnsi="Calibri"/>
          <w:color w:val="1F2937"/>
          <w:sz w:val="18"/>
        </w:rPr>
        <w:t>Inspect landing.css, all hero text positions, gradient stops, glass cards, proof strip, CTA states, decorative layers, mobile stacking, forced-colors and reduced-motion behavior.</w:t>
      </w:r>
    </w:p>
    <w:p>
      <w:pPr>
        <w:numPr>
          <w:ilvl w:val="0"/>
          <w:numId w:val="10"/>
        </w:numPr>
        <w:spacing w:after="40" w:line="254" w:lineRule="auto"/>
        <w:ind w:left="690" w:hanging="290"/>
      </w:pPr>
      <w:r>
        <w:rPr>
          <w:rFonts w:ascii="Calibri" w:hAnsi="Calibri"/>
          <w:color w:val="1F2937"/>
          <w:sz w:val="18"/>
        </w:rPr>
        <w:t>Measure computed foreground/background contrast at the actual bounding-box locations for every text style and interactive state, not only against one sampled color.</w:t>
      </w:r>
    </w:p>
    <w:p>
      <w:pPr>
        <w:numPr>
          <w:ilvl w:val="0"/>
          <w:numId w:val="10"/>
        </w:numPr>
        <w:spacing w:after="40" w:line="254" w:lineRule="auto"/>
        <w:ind w:left="690" w:hanging="290"/>
      </w:pPr>
      <w:r>
        <w:rPr>
          <w:rFonts w:ascii="Calibri" w:hAnsi="Calibri"/>
          <w:color w:val="1F2937"/>
          <w:sz w:val="18"/>
        </w:rPr>
        <w:t>Capture the current visual at 320, 375, 768, 1024 and 1440 widths, including high zoom and browser text scaling.</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0"/>
        </w:numPr>
        <w:spacing w:after="40" w:line="254" w:lineRule="auto"/>
        <w:ind w:left="690" w:hanging="290"/>
      </w:pPr>
      <w:r>
        <w:rPr>
          <w:rFonts w:ascii="Calibri" w:hAnsi="Calibri"/>
          <w:color w:val="1F2937"/>
          <w:sz w:val="18"/>
        </w:rPr>
        <w:t>Preserve the owner-approved palette and general composition. Add a localized scrim, text shadow only where valid, darker glass surface, adjusted card opacity/border or constrained text placement so actual contrast passes.</w:t>
      </w:r>
    </w:p>
    <w:p>
      <w:pPr>
        <w:numPr>
          <w:ilvl w:val="0"/>
          <w:numId w:val="10"/>
        </w:numPr>
        <w:spacing w:after="40" w:line="254" w:lineRule="auto"/>
        <w:ind w:left="690" w:hanging="290"/>
      </w:pPr>
      <w:r>
        <w:rPr>
          <w:rFonts w:ascii="Calibri" w:hAnsi="Calibri"/>
          <w:color w:val="1F2937"/>
          <w:sz w:val="18"/>
        </w:rPr>
        <w:t>Give helper/proof content an opaque-enough local surface whose contrast does not depend on the gradient behind it. Keep decorative layers `aria-hidden` and non-interactive.</w:t>
      </w:r>
    </w:p>
    <w:p>
      <w:pPr>
        <w:numPr>
          <w:ilvl w:val="0"/>
          <w:numId w:val="10"/>
        </w:numPr>
        <w:spacing w:after="40" w:line="254" w:lineRule="auto"/>
        <w:ind w:left="690" w:hanging="290"/>
      </w:pPr>
      <w:r>
        <w:rPr>
          <w:rFonts w:ascii="Calibri" w:hAnsi="Calibri"/>
          <w:color w:val="1F2937"/>
          <w:sz w:val="18"/>
        </w:rPr>
        <w:t>Make primary and secondary CTA hover/focus/disabled states visually distinct and compliant. Preserve visible focus without layout shift.</w:t>
      </w:r>
    </w:p>
    <w:p>
      <w:pPr>
        <w:numPr>
          <w:ilvl w:val="0"/>
          <w:numId w:val="10"/>
        </w:numPr>
        <w:spacing w:after="40" w:line="254" w:lineRule="auto"/>
        <w:ind w:left="690" w:hanging="290"/>
      </w:pPr>
      <w:r>
        <w:rPr>
          <w:rFonts w:ascii="Calibri" w:hAnsi="Calibri"/>
          <w:color w:val="1F2937"/>
          <w:sz w:val="18"/>
        </w:rPr>
        <w:t>Add a deterministic contrast test or design-token test for every hero text/surface pair plus visual regression screenshots at required widths.</w:t>
      </w:r>
    </w:p>
    <w:p>
      <w:pPr>
        <w:numPr>
          <w:ilvl w:val="0"/>
          <w:numId w:val="10"/>
        </w:numPr>
        <w:spacing w:after="40" w:line="254" w:lineRule="auto"/>
        <w:ind w:left="690" w:hanging="290"/>
      </w:pPr>
      <w:r>
        <w:rPr>
          <w:rFonts w:ascii="Calibri" w:hAnsi="Calibri"/>
          <w:color w:val="1F2937"/>
          <w:sz w:val="18"/>
        </w:rPr>
        <w:t>Validate Windows high-contrast/forced-colors and prefers-reduced-motion without removing content or meaning.</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0"/>
        </w:numPr>
        <w:spacing w:after="40" w:line="254" w:lineRule="auto"/>
        <w:ind w:left="690" w:hanging="290"/>
      </w:pPr>
      <w:r>
        <w:rPr>
          <w:rFonts w:ascii="Calibri" w:hAnsi="Calibri"/>
          <w:color w:val="1F2937"/>
          <w:sz w:val="18"/>
        </w:rPr>
        <w:t>Do not compensate for low contrast by making content larger but still faint. Helper copy should remain concise and subordinate, not unreadable.</w:t>
      </w:r>
    </w:p>
    <w:p>
      <w:pPr>
        <w:numPr>
          <w:ilvl w:val="0"/>
          <w:numId w:val="10"/>
        </w:numPr>
        <w:spacing w:after="40" w:line="254" w:lineRule="auto"/>
        <w:ind w:left="690" w:hanging="290"/>
      </w:pPr>
      <w:r>
        <w:rPr>
          <w:rFonts w:ascii="Calibri" w:hAnsi="Calibri"/>
          <w:color w:val="1F2937"/>
          <w:sz w:val="18"/>
        </w:rPr>
        <w:t>Proof items must describe implemented product behavior only; no fabricated metrics, customer logos or claims.</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0"/>
        </w:numPr>
        <w:spacing w:after="40" w:line="254" w:lineRule="auto"/>
        <w:ind w:left="690" w:hanging="290"/>
      </w:pPr>
      <w:r>
        <w:rPr>
          <w:rFonts w:ascii="Calibri" w:hAnsi="Calibri"/>
          <w:color w:val="1F2937"/>
          <w:sz w:val="18"/>
        </w:rPr>
        <w:t>Use shared design tokens for hero surfaces and text roles so later edits cannot silently reintroduce failing combinations.</w:t>
      </w:r>
    </w:p>
    <w:p>
      <w:pPr>
        <w:numPr>
          <w:ilvl w:val="0"/>
          <w:numId w:val="10"/>
        </w:numPr>
        <w:spacing w:after="40" w:line="254" w:lineRule="auto"/>
        <w:ind w:left="690" w:hanging="290"/>
      </w:pPr>
      <w:r>
        <w:rPr>
          <w:rFonts w:ascii="Calibri" w:hAnsi="Calibri"/>
          <w:color w:val="1F2937"/>
          <w:sz w:val="18"/>
        </w:rPr>
        <w:t>No campaign or user data appears in public screenshots or visual fixtures.</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0"/>
        </w:numPr>
        <w:spacing w:after="40" w:line="254" w:lineRule="auto"/>
        <w:ind w:left="690" w:hanging="290"/>
      </w:pPr>
      <w:r>
        <w:rPr>
          <w:rFonts w:ascii="Calibri" w:hAnsi="Calibri"/>
          <w:color w:val="1F2937"/>
          <w:sz w:val="18"/>
        </w:rPr>
        <w:t>Do not globally darken the page, replace the blue brand, alter the logo or redesign unrelated sections.</w:t>
      </w:r>
    </w:p>
    <w:p>
      <w:pPr>
        <w:numPr>
          <w:ilvl w:val="0"/>
          <w:numId w:val="10"/>
        </w:numPr>
        <w:spacing w:after="40" w:line="254" w:lineRule="auto"/>
        <w:ind w:left="690" w:hanging="290"/>
      </w:pPr>
      <w:r>
        <w:rPr>
          <w:rFonts w:ascii="Calibri" w:hAnsi="Calibri"/>
          <w:color w:val="1F2937"/>
          <w:sz w:val="18"/>
        </w:rPr>
        <w:t>Do not lower WCAG targets because a color is owner-preferred.</w:t>
      </w:r>
    </w:p>
    <w:p>
      <w:pPr>
        <w:numPr>
          <w:ilvl w:val="0"/>
          <w:numId w:val="10"/>
        </w:numPr>
        <w:spacing w:after="40" w:line="254" w:lineRule="auto"/>
        <w:ind w:left="690" w:hanging="290"/>
      </w:pPr>
      <w:r>
        <w:rPr>
          <w:rFonts w:ascii="Calibri" w:hAnsi="Calibri"/>
          <w:color w:val="1F2937"/>
          <w:sz w:val="18"/>
        </w:rPr>
        <w:t>Do not use screenshot diffs as the only accessibility proof.</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0"/>
        </w:numPr>
        <w:spacing w:after="40" w:line="254" w:lineRule="auto"/>
        <w:ind w:left="690" w:hanging="290"/>
      </w:pPr>
      <w:r>
        <w:rPr>
          <w:rFonts w:ascii="Calibri" w:hAnsi="Calibri"/>
          <w:color w:val="1F2937"/>
          <w:sz w:val="18"/>
        </w:rPr>
        <w:t>Normal text reaches at least 4.5:1 and large text at least 3:1 at its actual rendered location and in all interactive states.</w:t>
      </w:r>
    </w:p>
    <w:p>
      <w:pPr>
        <w:numPr>
          <w:ilvl w:val="0"/>
          <w:numId w:val="10"/>
        </w:numPr>
        <w:spacing w:after="40" w:line="254" w:lineRule="auto"/>
        <w:ind w:left="690" w:hanging="290"/>
      </w:pPr>
      <w:r>
        <w:rPr>
          <w:rFonts w:ascii="Calibri" w:hAnsi="Calibri"/>
          <w:color w:val="1F2937"/>
          <w:sz w:val="18"/>
        </w:rPr>
        <w:t>No hero text overlaps, clips or becomes detached from its surface at 320–1440px and 200% zoom.</w:t>
      </w:r>
    </w:p>
    <w:p>
      <w:pPr>
        <w:numPr>
          <w:ilvl w:val="0"/>
          <w:numId w:val="10"/>
        </w:numPr>
        <w:spacing w:after="40" w:line="254" w:lineRule="auto"/>
        <w:ind w:left="690" w:hanging="290"/>
      </w:pPr>
      <w:r>
        <w:rPr>
          <w:rFonts w:ascii="Calibri" w:hAnsi="Calibri"/>
          <w:color w:val="1F2937"/>
          <w:sz w:val="18"/>
        </w:rPr>
        <w:t>The visual remains recognizably the approved blue design.</w:t>
      </w:r>
    </w:p>
    <w:p>
      <w:pPr>
        <w:numPr>
          <w:ilvl w:val="0"/>
          <w:numId w:val="10"/>
        </w:numPr>
        <w:spacing w:after="40" w:line="254" w:lineRule="auto"/>
        <w:ind w:left="690" w:hanging="290"/>
      </w:pPr>
      <w:r>
        <w:rPr>
          <w:rFonts w:ascii="Calibri" w:hAnsi="Calibri"/>
          <w:color w:val="1F2937"/>
          <w:sz w:val="18"/>
        </w:rPr>
        <w:t>Automated token/contrast checks and human screenshot review both pass.</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0"/>
        </w:numPr>
        <w:spacing w:after="40" w:line="254" w:lineRule="auto"/>
        <w:ind w:left="690" w:hanging="290"/>
      </w:pPr>
      <w:r>
        <w:rPr>
          <w:rFonts w:ascii="Calibri" w:hAnsi="Calibri"/>
          <w:color w:val="1F2937"/>
          <w:sz w:val="18"/>
        </w:rPr>
        <w:t>Report measured contrast pairs before and after. Include a small visual artifact matrix for all target widths and states.</w:t>
      </w:r>
    </w:p>
    <w:p>
      <w:pPr>
        <w:numPr>
          <w:ilvl w:val="0"/>
          <w:numId w:val="10"/>
        </w:numPr>
        <w:spacing w:after="40" w:line="254" w:lineRule="auto"/>
        <w:ind w:left="690" w:hanging="290"/>
      </w:pPr>
      <w:r>
        <w:rPr>
          <w:rFonts w:ascii="Calibri" w:hAnsi="Calibri"/>
          <w:color w:val="1F2937"/>
          <w:sz w:val="18"/>
        </w:rPr>
        <w:t>Run the repository’s complete lint, typecheck where applicable, unit/contract/safety tests, production build and all relevant Playwright journeys. Add targeted failure, keyboard, screen-reader-semantic and 320/375px tests for this change.</w:t>
      </w:r>
    </w:p>
    <w:p>
      <w:pPr>
        <w:numPr>
          <w:ilvl w:val="0"/>
          <w:numId w:val="10"/>
        </w:numPr>
        <w:spacing w:after="40" w:line="254" w:lineRule="auto"/>
        <w:ind w:left="690" w:hanging="290"/>
      </w:pPr>
      <w:r>
        <w:rPr>
          <w:rFonts w:ascii="Calibri" w:hAnsi="Calibri"/>
          <w:color w:val="1F2937"/>
          <w:sz w:val="18"/>
        </w:rPr>
        <w:t>Run git diff --check. Review the complete diff for duplicated truth, leaked PII/content, secrets, inaccessible states, unsupported claims, stale generated artifacts, broad formatting churn and unrelated changes.</w:t>
      </w:r>
    </w:p>
    <w:p>
      <w:pPr>
        <w:numPr>
          <w:ilvl w:val="0"/>
          <w:numId w:val="10"/>
        </w:numPr>
        <w:spacing w:after="40" w:line="254" w:lineRule="auto"/>
        <w:ind w:left="690" w:hanging="290"/>
      </w:pPr>
      <w:r>
        <w:rPr>
          <w:rFonts w:ascii="Calibri" w:hAnsi="Calibri"/>
          <w:color w:val="1F2937"/>
          <w:sz w:val="18"/>
        </w:rPr>
        <w:t>Return a structured handoff: outcome; changed files by product area; migrations/config/flags; analytics impact; exact commands with pass/fail/skipped counts; screenshots or artifacts where required; rollback; assumptions; remaining P0/P1/external blockers. Never report an unrun or skipped check as green.</w:t>
      </w:r>
    </w:p>
    <w:p>
      <w:pPr>
        <w:pStyle w:val="Heading2"/>
        <w:pageBreakBefore/>
      </w:pPr>
      <w:r>
        <w:rPr>
          <w:rFonts w:ascii="Calibri" w:hAnsi="Calibri"/>
          <w:b/>
          <w:color w:val="2E74B5"/>
          <w:sz w:val="29"/>
        </w:rPr>
        <w:t>SC-V11-03  |  Authenticated seeded end-to-end release matrix</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Prove the real signed-in campaign journey at the exact current head across entitlement, review, export, stale data and recovery states; make skipped authenticated tests release-blocking.</w:t>
      </w:r>
    </w:p>
    <w:p>
      <w:pPr>
        <w:spacing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0"/>
        </w:numPr>
        <w:spacing w:after="40" w:line="254" w:lineRule="auto"/>
        <w:ind w:left="690" w:hanging="290"/>
      </w:pPr>
      <w:r>
        <w:rPr>
          <w:rFonts w:ascii="Calibri" w:hAnsi="Calibri"/>
          <w:color w:val="1F2937"/>
          <w:sz w:val="18"/>
        </w:rPr>
        <w:t>You are Claude Code working directly in primocera/LaunchBloom. Implement this vertical slice in the real application; do not stop at an audit, recommendations, pseudo-code, a mockup or a list of copy ideas.</w:t>
      </w:r>
    </w:p>
    <w:p>
      <w:pPr>
        <w:numPr>
          <w:ilvl w:val="0"/>
          <w:numId w:val="10"/>
        </w:numPr>
        <w:spacing w:after="40" w:line="254" w:lineRule="auto"/>
        <w:ind w:left="690" w:hanging="290"/>
      </w:pPr>
      <w:r>
        <w:rPr>
          <w:rFonts w:ascii="Calibri" w:hAnsi="Calibri"/>
          <w:color w:val="1F2937"/>
          <w:sz w:val="18"/>
        </w:rPr>
        <w:t>Confirm the current branch and HEAD. Compare it with reviewed baseline 445d29e488d198ceaacceac59950697c00b9765c. If the repository has moved, list the drift and verify whether it already closes any requirement before changing code.</w:t>
      </w:r>
    </w:p>
    <w:p>
      <w:pPr>
        <w:numPr>
          <w:ilvl w:val="0"/>
          <w:numId w:val="10"/>
        </w:numPr>
        <w:spacing w:after="40" w:line="254" w:lineRule="auto"/>
        <w:ind w:left="690" w:hanging="290"/>
      </w:pPr>
      <w:r>
        <w:rPr>
          <w:rFonts w:ascii="Calibri" w:hAnsi="Calibri"/>
          <w:color w:val="1F2937"/>
          <w:sz w:val="18"/>
        </w:rPr>
        <w:t>Read repository instructions, current git status, package scripts, migrations, product/content contracts, launch documents and relevant tests before editing. Preserve unrelated work; never use destructive git commands.</w:t>
      </w:r>
    </w:p>
    <w:p>
      <w:pPr>
        <w:numPr>
          <w:ilvl w:val="0"/>
          <w:numId w:val="10"/>
        </w:numPr>
        <w:spacing w:after="40" w:line="254" w:lineRule="auto"/>
        <w:ind w:left="690" w:hanging="290"/>
      </w:pPr>
      <w:r>
        <w:rPr>
          <w:rFonts w:ascii="Calibri" w:hAnsi="Calibri"/>
          <w:color w:val="1F2937"/>
          <w:sz w:val="18"/>
        </w:rPr>
        <w:t>Treat this as launch hardening, not a redesign or feature expansion. Reuse canonical services, components, schemas and analytics taxonomy. Fix only verified gaps and delete duplication only when behavior and data remain reachable.</w:t>
      </w:r>
    </w:p>
    <w:p>
      <w:pPr>
        <w:numPr>
          <w:ilvl w:val="0"/>
          <w:numId w:val="10"/>
        </w:numPr>
        <w:spacing w:after="40" w:line="254" w:lineRule="auto"/>
        <w:ind w:left="690" w:hanging="290"/>
      </w:pPr>
      <w:r>
        <w:rPr>
          <w:rFonts w:ascii="Calibri" w:hAnsi="Calibri"/>
          <w:color w:val="1F2937"/>
          <w:sz w:val="18"/>
        </w:rPr>
        <w:t>Deliver one reviewable vertical slice and, if repository policy permits, one intentional commit. Use additive migrations, bounded feature flags and an explicit rollback whenever behavior or persisted data changes.</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0"/>
        </w:numPr>
        <w:spacing w:after="40" w:line="254" w:lineRule="auto"/>
        <w:ind w:left="690" w:hanging="290"/>
      </w:pPr>
      <w:r>
        <w:rPr>
          <w:rFonts w:ascii="Calibri" w:hAnsi="Calibri"/>
          <w:color w:val="1F2937"/>
          <w:sz w:val="18"/>
        </w:rPr>
        <w:t>Current public E2E covers signup but the central product behind authentication is primarily unit-tested. This leaves the highest-value paid journey unproven in a browser.</w:t>
      </w:r>
    </w:p>
    <w:p>
      <w:pPr>
        <w:numPr>
          <w:ilvl w:val="0"/>
          <w:numId w:val="10"/>
        </w:numPr>
        <w:spacing w:after="40" w:line="254" w:lineRule="auto"/>
        <w:ind w:left="690" w:hanging="290"/>
      </w:pPr>
      <w:r>
        <w:rPr>
          <w:rFonts w:ascii="Calibri" w:hAnsi="Calibri"/>
          <w:color w:val="1F2937"/>
          <w:sz w:val="18"/>
        </w:rPr>
        <w:t>A B2B campaign product must preserve work across deep links, stale tabs, entitlement changes, retries and partial failures—not only render happy-path components.</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0"/>
        </w:numPr>
        <w:spacing w:after="40" w:line="254" w:lineRule="auto"/>
        <w:ind w:left="690" w:hanging="290"/>
      </w:pPr>
      <w:r>
        <w:rPr>
          <w:rFonts w:ascii="Calibri" w:hAnsi="Calibri"/>
          <w:color w:val="1F2937"/>
          <w:sz w:val="18"/>
        </w:rPr>
        <w:t>Prove the real signed-in campaign journey at the exact current head across entitlement, review, export, stale data and recovery states; make skipped authenticated tests release-blocking.</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0"/>
        </w:numPr>
        <w:spacing w:after="40" w:line="254" w:lineRule="auto"/>
        <w:ind w:left="690" w:hanging="290"/>
      </w:pPr>
      <w:r>
        <w:rPr>
          <w:rFonts w:ascii="Calibri" w:hAnsi="Calibri"/>
          <w:color w:val="1F2937"/>
          <w:sz w:val="18"/>
        </w:rPr>
        <w:t>Inventory auth test helpers, seed/reset APIs, fixtures, service-role handling, Playwright projects, CI secrets and every authenticated route in the canonical journey.</w:t>
      </w:r>
    </w:p>
    <w:p>
      <w:pPr>
        <w:numPr>
          <w:ilvl w:val="0"/>
          <w:numId w:val="10"/>
        </w:numPr>
        <w:spacing w:after="40" w:line="254" w:lineRule="auto"/>
        <w:ind w:left="690" w:hanging="290"/>
      </w:pPr>
      <w:r>
        <w:rPr>
          <w:rFonts w:ascii="Calibri" w:hAnsi="Calibri"/>
          <w:color w:val="1F2937"/>
          <w:sz w:val="18"/>
        </w:rPr>
        <w:t>Trace free setup, eligible trial, prior-trial, active, past_due, cancel-at-period-end, canceled/read-only and recovered states through UI and server.</w:t>
      </w:r>
    </w:p>
    <w:p>
      <w:pPr>
        <w:numPr>
          <w:ilvl w:val="0"/>
          <w:numId w:val="10"/>
        </w:numPr>
        <w:spacing w:after="40" w:line="254" w:lineRule="auto"/>
        <w:ind w:left="690" w:hanging="290"/>
      </w:pPr>
      <w:r>
        <w:rPr>
          <w:rFonts w:ascii="Calibri" w:hAnsi="Calibri"/>
          <w:color w:val="1F2937"/>
          <w:sz w:val="18"/>
        </w:rPr>
        <w:t>Inspect direct campaign/asset links, brief versions, generation idempotency, review blockers, manual edits, version history, handoff/export and billing recovery.</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0"/>
        </w:numPr>
        <w:spacing w:after="40" w:line="254" w:lineRule="auto"/>
        <w:ind w:left="690" w:hanging="290"/>
      </w:pPr>
      <w:r>
        <w:rPr>
          <w:rFonts w:ascii="Calibri" w:hAnsi="Calibri"/>
          <w:color w:val="1F2937"/>
          <w:sz w:val="18"/>
        </w:rPr>
        <w:t>Create deterministic isolated seed data with synthetic users/workspaces/campaigns/assets and cleanup by run ID. No test may depend on production or a long-lived shared account.</w:t>
      </w:r>
    </w:p>
    <w:p>
      <w:pPr>
        <w:numPr>
          <w:ilvl w:val="0"/>
          <w:numId w:val="10"/>
        </w:numPr>
        <w:spacing w:after="40" w:line="254" w:lineRule="auto"/>
        <w:ind w:left="690" w:hanging="290"/>
      </w:pPr>
      <w:r>
        <w:rPr>
          <w:rFonts w:ascii="Calibri" w:hAnsi="Calibri"/>
          <w:color w:val="1F2937"/>
          <w:sz w:val="18"/>
        </w:rPr>
        <w:t>Cover signup/verified return → Brand Profile → campaign → Campaign Brief → explicit plan/trial decision → one asset in each required representative path → Review → Ready to export → Library → Handoff/export.</w:t>
      </w:r>
    </w:p>
    <w:p>
      <w:pPr>
        <w:numPr>
          <w:ilvl w:val="0"/>
          <w:numId w:val="10"/>
        </w:numPr>
        <w:spacing w:after="40" w:line="254" w:lineRule="auto"/>
        <w:ind w:left="690" w:hanging="290"/>
      </w:pPr>
      <w:r>
        <w:rPr>
          <w:rFonts w:ascii="Calibri" w:hAnsi="Calibri"/>
          <w:color w:val="1F2937"/>
          <w:sz w:val="18"/>
        </w:rPr>
        <w:t>Add fixtures for stale brief, unresolved blocker, 409 edit conflict, generation retry, expired session, deep link reload, provider error, past_due recovery and canceled read-only history.</w:t>
      </w:r>
    </w:p>
    <w:p>
      <w:pPr>
        <w:numPr>
          <w:ilvl w:val="0"/>
          <w:numId w:val="10"/>
        </w:numPr>
        <w:spacing w:after="40" w:line="254" w:lineRule="auto"/>
        <w:ind w:left="690" w:hanging="290"/>
      </w:pPr>
      <w:r>
        <w:rPr>
          <w:rFonts w:ascii="Calibri" w:hAnsi="Calibri"/>
          <w:color w:val="1F2937"/>
          <w:sz w:val="18"/>
        </w:rPr>
        <w:t>Run desktop, 375px mobile and keyboard-only projects. Validate focus restoration, drawer/dialog semantics, loading/empty/error copy and no lost work.</w:t>
      </w:r>
    </w:p>
    <w:p>
      <w:pPr>
        <w:numPr>
          <w:ilvl w:val="0"/>
          <w:numId w:val="10"/>
        </w:numPr>
        <w:spacing w:after="40" w:line="254" w:lineRule="auto"/>
        <w:ind w:left="690" w:hanging="290"/>
      </w:pPr>
      <w:r>
        <w:rPr>
          <w:rFonts w:ascii="Calibri" w:hAnsi="Calibri"/>
          <w:color w:val="1F2937"/>
          <w:sz w:val="18"/>
        </w:rPr>
        <w:t>Make authenticated E2E a required release gate. If credentials or environment are unavailable, report BLOCKED/SKIPPED and keep NO-GO; never downgrade the suite to optional.</w:t>
      </w:r>
    </w:p>
    <w:p>
      <w:pPr>
        <w:numPr>
          <w:ilvl w:val="0"/>
          <w:numId w:val="10"/>
        </w:numPr>
        <w:spacing w:after="40" w:line="254" w:lineRule="auto"/>
        <w:ind w:left="690" w:hanging="290"/>
      </w:pPr>
      <w:r>
        <w:rPr>
          <w:rFonts w:ascii="Calibri" w:hAnsi="Calibri"/>
          <w:color w:val="1F2937"/>
          <w:sz w:val="18"/>
        </w:rPr>
        <w:t>Harden tests against false positives: fail on global error boundary, wrong fixture, console error, failed network request, unexpected redirect or missing seeded record.</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0"/>
        </w:numPr>
        <w:spacing w:after="40" w:line="254" w:lineRule="auto"/>
        <w:ind w:left="690" w:hanging="290"/>
      </w:pPr>
      <w:r>
        <w:rPr>
          <w:rFonts w:ascii="Calibri" w:hAnsi="Calibri"/>
          <w:color w:val="1F2937"/>
          <w:sz w:val="18"/>
        </w:rPr>
        <w:t>Every state shows one primary next action and says what was saved/preserved after a failure.</w:t>
      </w:r>
    </w:p>
    <w:p>
      <w:pPr>
        <w:numPr>
          <w:ilvl w:val="0"/>
          <w:numId w:val="10"/>
        </w:numPr>
        <w:spacing w:after="40" w:line="254" w:lineRule="auto"/>
        <w:ind w:left="690" w:hanging="290"/>
      </w:pPr>
      <w:r>
        <w:rPr>
          <w:rFonts w:ascii="Calibri" w:hAnsi="Calibri"/>
          <w:color w:val="1F2937"/>
          <w:sz w:val="18"/>
        </w:rPr>
        <w:t>Use canonical status and channel names. Never let fixture-only language leak into the product.</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0"/>
        </w:numPr>
        <w:spacing w:after="40" w:line="254" w:lineRule="auto"/>
        <w:ind w:left="690" w:hanging="290"/>
      </w:pPr>
      <w:r>
        <w:rPr>
          <w:rFonts w:ascii="Calibri" w:hAnsi="Calibri"/>
          <w:color w:val="1F2937"/>
          <w:sz w:val="18"/>
        </w:rPr>
        <w:t>Seeds contain synthetic content only. Test credentials remain secret-scoped; logs and traces redact tokens, content and emails.</w:t>
      </w:r>
    </w:p>
    <w:p>
      <w:pPr>
        <w:numPr>
          <w:ilvl w:val="0"/>
          <w:numId w:val="10"/>
        </w:numPr>
        <w:spacing w:after="40" w:line="254" w:lineRule="auto"/>
        <w:ind w:left="690" w:hanging="290"/>
      </w:pPr>
      <w:r>
        <w:rPr>
          <w:rFonts w:ascii="Calibri" w:hAnsi="Calibri"/>
          <w:color w:val="1F2937"/>
          <w:sz w:val="18"/>
        </w:rPr>
        <w:t>All ownership, entitlement, status transition and conflict decisions are asserted server-side, not inferred from visible buttons.</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0"/>
        </w:numPr>
        <w:spacing w:after="40" w:line="254" w:lineRule="auto"/>
        <w:ind w:left="690" w:hanging="290"/>
      </w:pPr>
      <w:r>
        <w:rPr>
          <w:rFonts w:ascii="Calibri" w:hAnsi="Calibri"/>
          <w:color w:val="1F2937"/>
          <w:sz w:val="18"/>
        </w:rPr>
        <w:t>Do not bypass authorization or safety in test mode.</w:t>
      </w:r>
    </w:p>
    <w:p>
      <w:pPr>
        <w:numPr>
          <w:ilvl w:val="0"/>
          <w:numId w:val="10"/>
        </w:numPr>
        <w:spacing w:after="40" w:line="254" w:lineRule="auto"/>
        <w:ind w:left="690" w:hanging="290"/>
      </w:pPr>
      <w:r>
        <w:rPr>
          <w:rFonts w:ascii="Calibri" w:hAnsi="Calibri"/>
          <w:color w:val="1F2937"/>
          <w:sz w:val="18"/>
        </w:rPr>
        <w:t>Do not mark paid/trial state by direct client-side mutation.</w:t>
      </w:r>
    </w:p>
    <w:p>
      <w:pPr>
        <w:numPr>
          <w:ilvl w:val="0"/>
          <w:numId w:val="10"/>
        </w:numPr>
        <w:spacing w:after="40" w:line="254" w:lineRule="auto"/>
        <w:ind w:left="690" w:hanging="290"/>
      </w:pPr>
      <w:r>
        <w:rPr>
          <w:rFonts w:ascii="Calibri" w:hAnsi="Calibri"/>
          <w:color w:val="1F2937"/>
          <w:sz w:val="18"/>
        </w:rPr>
        <w:t>Do not make release CI green by conditionally excluding a failing product path.</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0"/>
        </w:numPr>
        <w:spacing w:after="40" w:line="254" w:lineRule="auto"/>
        <w:ind w:left="690" w:hanging="290"/>
      </w:pPr>
      <w:r>
        <w:rPr>
          <w:rFonts w:ascii="Calibri" w:hAnsi="Calibri"/>
          <w:color w:val="1F2937"/>
          <w:sz w:val="18"/>
        </w:rPr>
        <w:t>The exact current head completes the full canonical signed-in journey in supported desktop/mobile/keyboard projects.</w:t>
      </w:r>
    </w:p>
    <w:p>
      <w:pPr>
        <w:numPr>
          <w:ilvl w:val="0"/>
          <w:numId w:val="10"/>
        </w:numPr>
        <w:spacing w:after="40" w:line="254" w:lineRule="auto"/>
        <w:ind w:left="690" w:hanging="290"/>
      </w:pPr>
      <w:r>
        <w:rPr>
          <w:rFonts w:ascii="Calibri" w:hAnsi="Calibri"/>
          <w:color w:val="1F2937"/>
          <w:sz w:val="18"/>
        </w:rPr>
        <w:t>All entitlement states and required failure/recovery states are deterministic and isolated.</w:t>
      </w:r>
    </w:p>
    <w:p>
      <w:pPr>
        <w:numPr>
          <w:ilvl w:val="0"/>
          <w:numId w:val="10"/>
        </w:numPr>
        <w:spacing w:after="40" w:line="254" w:lineRule="auto"/>
        <w:ind w:left="690" w:hanging="290"/>
      </w:pPr>
      <w:r>
        <w:rPr>
          <w:rFonts w:ascii="Calibri" w:hAnsi="Calibri"/>
          <w:color w:val="1F2937"/>
          <w:sz w:val="18"/>
        </w:rPr>
        <w:t>Skipped authenticated E2E produces an explicit release blocker.</w:t>
      </w:r>
    </w:p>
    <w:p>
      <w:pPr>
        <w:numPr>
          <w:ilvl w:val="0"/>
          <w:numId w:val="10"/>
        </w:numPr>
        <w:spacing w:after="40" w:line="254" w:lineRule="auto"/>
        <w:ind w:left="690" w:hanging="290"/>
      </w:pPr>
      <w:r>
        <w:rPr>
          <w:rFonts w:ascii="Calibri" w:hAnsi="Calibri"/>
          <w:color w:val="1F2937"/>
          <w:sz w:val="18"/>
        </w:rPr>
        <w:t>Tests fail when the app displays a global error, wrong data, unexpected redirect or console/network error.</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0"/>
        </w:numPr>
        <w:spacing w:after="40" w:line="254" w:lineRule="auto"/>
        <w:ind w:left="690" w:hanging="290"/>
      </w:pPr>
      <w:r>
        <w:rPr>
          <w:rFonts w:ascii="Calibri" w:hAnsi="Calibri"/>
          <w:color w:val="1F2937"/>
          <w:sz w:val="18"/>
        </w:rPr>
        <w:t>Publish the exact seeded matrix and CI artifact links in the launch manifest created by SC-V11-00.</w:t>
      </w:r>
    </w:p>
    <w:p>
      <w:pPr>
        <w:numPr>
          <w:ilvl w:val="0"/>
          <w:numId w:val="10"/>
        </w:numPr>
        <w:spacing w:after="40" w:line="254" w:lineRule="auto"/>
        <w:ind w:left="690" w:hanging="290"/>
      </w:pPr>
      <w:r>
        <w:rPr>
          <w:rFonts w:ascii="Calibri" w:hAnsi="Calibri"/>
          <w:color w:val="1F2937"/>
          <w:sz w:val="18"/>
        </w:rPr>
        <w:t>Run the repository’s complete lint, typecheck where applicable, unit/contract/safety tests, production build and all relevant Playwright journeys. Add targeted failure, keyboard, screen-reader-semantic and 320/375px tests for this change.</w:t>
      </w:r>
    </w:p>
    <w:p>
      <w:pPr>
        <w:numPr>
          <w:ilvl w:val="0"/>
          <w:numId w:val="10"/>
        </w:numPr>
        <w:spacing w:after="40" w:line="254" w:lineRule="auto"/>
        <w:ind w:left="690" w:hanging="290"/>
      </w:pPr>
      <w:r>
        <w:rPr>
          <w:rFonts w:ascii="Calibri" w:hAnsi="Calibri"/>
          <w:color w:val="1F2937"/>
          <w:sz w:val="18"/>
        </w:rPr>
        <w:t>Run git diff --check. Review the complete diff for duplicated truth, leaked PII/content, secrets, inaccessible states, unsupported claims, stale generated artifacts, broad formatting churn and unrelated changes.</w:t>
      </w:r>
    </w:p>
    <w:p>
      <w:pPr>
        <w:numPr>
          <w:ilvl w:val="0"/>
          <w:numId w:val="10"/>
        </w:numPr>
        <w:spacing w:after="40" w:line="254" w:lineRule="auto"/>
        <w:ind w:left="690" w:hanging="290"/>
      </w:pPr>
      <w:r>
        <w:rPr>
          <w:rFonts w:ascii="Calibri" w:hAnsi="Calibri"/>
          <w:color w:val="1F2937"/>
          <w:sz w:val="18"/>
        </w:rPr>
        <w:t>Return a structured handoff: outcome; changed files by product area; migrations/config/flags; analytics impact; exact commands with pass/fail/skipped counts; screenshots or artifacts where required; rollback; assumptions; remaining P0/P1/external blockers. Never report an unrun or skipped check as green.</w:t>
      </w:r>
    </w:p>
    <w:p>
      <w:pPr>
        <w:pStyle w:val="Heading2"/>
        <w:pageBreakBefore/>
      </w:pPr>
      <w:r>
        <w:rPr>
          <w:rFonts w:ascii="Calibri" w:hAnsi="Calibri"/>
          <w:b/>
          <w:color w:val="2E74B5"/>
          <w:sz w:val="29"/>
        </w:rPr>
        <w:t>SC-V11-04  |  Premium authenticated UX and real product proof</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Use the authenticated browser matrix to remove the remaining friction in Campaign, Review, Library and Handoff, then show truthful real-product proof on the landing page.</w:t>
      </w:r>
    </w:p>
    <w:p>
      <w:pPr>
        <w:spacing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0"/>
        </w:numPr>
        <w:spacing w:after="40" w:line="254" w:lineRule="auto"/>
        <w:ind w:left="690" w:hanging="290"/>
      </w:pPr>
      <w:r>
        <w:rPr>
          <w:rFonts w:ascii="Calibri" w:hAnsi="Calibri"/>
          <w:color w:val="1F2937"/>
          <w:sz w:val="18"/>
        </w:rPr>
        <w:t>You are Claude Code working directly in primocera/LaunchBloom. Implement this vertical slice in the real application; do not stop at an audit, recommendations, pseudo-code, a mockup or a list of copy ideas.</w:t>
      </w:r>
    </w:p>
    <w:p>
      <w:pPr>
        <w:numPr>
          <w:ilvl w:val="0"/>
          <w:numId w:val="10"/>
        </w:numPr>
        <w:spacing w:after="40" w:line="254" w:lineRule="auto"/>
        <w:ind w:left="690" w:hanging="290"/>
      </w:pPr>
      <w:r>
        <w:rPr>
          <w:rFonts w:ascii="Calibri" w:hAnsi="Calibri"/>
          <w:color w:val="1F2937"/>
          <w:sz w:val="18"/>
        </w:rPr>
        <w:t>Confirm the current branch and HEAD. Compare it with reviewed baseline 445d29e488d198ceaacceac59950697c00b9765c. If the repository has moved, list the drift and verify whether it already closes any requirement before changing code.</w:t>
      </w:r>
    </w:p>
    <w:p>
      <w:pPr>
        <w:numPr>
          <w:ilvl w:val="0"/>
          <w:numId w:val="10"/>
        </w:numPr>
        <w:spacing w:after="40" w:line="254" w:lineRule="auto"/>
        <w:ind w:left="690" w:hanging="290"/>
      </w:pPr>
      <w:r>
        <w:rPr>
          <w:rFonts w:ascii="Calibri" w:hAnsi="Calibri"/>
          <w:color w:val="1F2937"/>
          <w:sz w:val="18"/>
        </w:rPr>
        <w:t>Read repository instructions, current git status, package scripts, migrations, product/content contracts, launch documents and relevant tests before editing. Preserve unrelated work; never use destructive git commands.</w:t>
      </w:r>
    </w:p>
    <w:p>
      <w:pPr>
        <w:numPr>
          <w:ilvl w:val="0"/>
          <w:numId w:val="10"/>
        </w:numPr>
        <w:spacing w:after="40" w:line="254" w:lineRule="auto"/>
        <w:ind w:left="690" w:hanging="290"/>
      </w:pPr>
      <w:r>
        <w:rPr>
          <w:rFonts w:ascii="Calibri" w:hAnsi="Calibri"/>
          <w:color w:val="1F2937"/>
          <w:sz w:val="18"/>
        </w:rPr>
        <w:t>Treat this as launch hardening, not a redesign or feature expansion. Reuse canonical services, components, schemas and analytics taxonomy. Fix only verified gaps and delete duplication only when behavior and data remain reachable.</w:t>
      </w:r>
    </w:p>
    <w:p>
      <w:pPr>
        <w:numPr>
          <w:ilvl w:val="0"/>
          <w:numId w:val="10"/>
        </w:numPr>
        <w:spacing w:after="40" w:line="254" w:lineRule="auto"/>
        <w:ind w:left="690" w:hanging="290"/>
      </w:pPr>
      <w:r>
        <w:rPr>
          <w:rFonts w:ascii="Calibri" w:hAnsi="Calibri"/>
          <w:color w:val="1F2937"/>
          <w:sz w:val="18"/>
        </w:rPr>
        <w:t>Deliver one reviewable vertical slice and, if repository policy permits, one intentional commit. Use additive migrations, bounded feature flags and an explicit rollback whenever behavior or persisted data changes.</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0"/>
        </w:numPr>
        <w:spacing w:after="40" w:line="254" w:lineRule="auto"/>
        <w:ind w:left="690" w:hanging="290"/>
      </w:pPr>
      <w:r>
        <w:rPr>
          <w:rFonts w:ascii="Calibri" w:hAnsi="Calibri"/>
          <w:color w:val="1F2937"/>
          <w:sz w:val="18"/>
        </w:rPr>
        <w:t>Scalvya’s paid value is strongest inside the connected campaign workspace, but buyers must understand that value before signup and must not encounter tool-like dead ends after entering.</w:t>
      </w:r>
    </w:p>
    <w:p>
      <w:pPr>
        <w:numPr>
          <w:ilvl w:val="0"/>
          <w:numId w:val="10"/>
        </w:numPr>
        <w:spacing w:after="40" w:line="254" w:lineRule="auto"/>
        <w:ind w:left="690" w:hanging="290"/>
      </w:pPr>
      <w:r>
        <w:rPr>
          <w:rFonts w:ascii="Calibri" w:hAnsi="Calibri"/>
          <w:color w:val="1F2937"/>
          <w:sz w:val="18"/>
        </w:rPr>
        <w:t>Unit-level completeness does not prove hierarchy, density, responsive drawers, loading, empty states or whether one next action is obvious.</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0"/>
        </w:numPr>
        <w:spacing w:after="40" w:line="254" w:lineRule="auto"/>
        <w:ind w:left="690" w:hanging="290"/>
      </w:pPr>
      <w:r>
        <w:rPr>
          <w:rFonts w:ascii="Calibri" w:hAnsi="Calibri"/>
          <w:color w:val="1F2937"/>
          <w:sz w:val="18"/>
        </w:rPr>
        <w:t>Use the authenticated browser matrix to remove the remaining friction in Campaign, Review, Library and Handoff, then show truthful real-product proof on the landing page.</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0"/>
        </w:numPr>
        <w:spacing w:after="40" w:line="254" w:lineRule="auto"/>
        <w:ind w:left="690" w:hanging="290"/>
      </w:pPr>
      <w:r>
        <w:rPr>
          <w:rFonts w:ascii="Calibri" w:hAnsi="Calibri"/>
          <w:color w:val="1F2937"/>
          <w:sz w:val="18"/>
        </w:rPr>
        <w:t>Walk every authenticated screen using SC-V11-03 fixtures at 320, 375, 768 and 1440 widths. Record friction, competing CTAs, clipped controls, dead ends, ambiguous statuses and broken back behavior.</w:t>
      </w:r>
    </w:p>
    <w:p>
      <w:pPr>
        <w:numPr>
          <w:ilvl w:val="0"/>
          <w:numId w:val="10"/>
        </w:numPr>
        <w:spacing w:after="40" w:line="254" w:lineRule="auto"/>
        <w:ind w:left="690" w:hanging="290"/>
      </w:pPr>
      <w:r>
        <w:rPr>
          <w:rFonts w:ascii="Calibri" w:hAnsi="Calibri"/>
          <w:color w:val="1F2937"/>
          <w:sz w:val="18"/>
        </w:rPr>
        <w:t>Inspect Campaign overview/brief/assets/review/handoff, all five studios, Library drawer, version/provenance UI, filters, export preview and billing/paywall surfaces.</w:t>
      </w:r>
    </w:p>
    <w:p>
      <w:pPr>
        <w:numPr>
          <w:ilvl w:val="0"/>
          <w:numId w:val="10"/>
        </w:numPr>
        <w:spacing w:after="40" w:line="254" w:lineRule="auto"/>
        <w:ind w:left="690" w:hanging="290"/>
      </w:pPr>
      <w:r>
        <w:rPr>
          <w:rFonts w:ascii="Calibri" w:hAnsi="Calibri"/>
          <w:color w:val="1F2937"/>
          <w:sz w:val="18"/>
        </w:rPr>
        <w:t>Audit landing proof sections and existing screenshots/illustrations for truth, freshness, readability and consistency with the current product.</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0"/>
        </w:numPr>
        <w:spacing w:after="40" w:line="254" w:lineRule="auto"/>
        <w:ind w:left="690" w:hanging="290"/>
      </w:pPr>
      <w:r>
        <w:rPr>
          <w:rFonts w:ascii="Calibri" w:hAnsi="Calibri"/>
          <w:color w:val="1F2937"/>
          <w:sz w:val="18"/>
        </w:rPr>
        <w:t>Fix only observed P0/P1 UX defects. Each core screen must expose one primary state-dependent next action and preserve campaign context through create, review and export.</w:t>
      </w:r>
    </w:p>
    <w:p>
      <w:pPr>
        <w:numPr>
          <w:ilvl w:val="0"/>
          <w:numId w:val="10"/>
        </w:numPr>
        <w:spacing w:after="40" w:line="254" w:lineRule="auto"/>
        <w:ind w:left="690" w:hanging="290"/>
      </w:pPr>
      <w:r>
        <w:rPr>
          <w:rFonts w:ascii="Calibri" w:hAnsi="Calibri"/>
          <w:color w:val="1F2937"/>
          <w:sz w:val="18"/>
        </w:rPr>
        <w:t>Reuse the existing asset detail/drawer and review logic; remove duplicate summaries or links that force users into a second navigation system.</w:t>
      </w:r>
    </w:p>
    <w:p>
      <w:pPr>
        <w:numPr>
          <w:ilvl w:val="0"/>
          <w:numId w:val="10"/>
        </w:numPr>
        <w:spacing w:after="40" w:line="254" w:lineRule="auto"/>
        <w:ind w:left="690" w:hanging="290"/>
      </w:pPr>
      <w:r>
        <w:rPr>
          <w:rFonts w:ascii="Calibri" w:hAnsi="Calibri"/>
          <w:color w:val="1F2937"/>
          <w:sz w:val="18"/>
        </w:rPr>
        <w:t>Standardize skeleton, empty, partial-error, permission, archived, stale and conflict states. Say what exists, what is blocked and what action is safe.</w:t>
      </w:r>
    </w:p>
    <w:p>
      <w:pPr>
        <w:numPr>
          <w:ilvl w:val="0"/>
          <w:numId w:val="10"/>
        </w:numPr>
        <w:spacing w:after="40" w:line="254" w:lineRule="auto"/>
        <w:ind w:left="690" w:hanging="290"/>
      </w:pPr>
      <w:r>
        <w:rPr>
          <w:rFonts w:ascii="Calibri" w:hAnsi="Calibri"/>
          <w:color w:val="1F2937"/>
          <w:sz w:val="18"/>
        </w:rPr>
        <w:t>Add a small above/below-the-fold real-product proof sequence using code-native UI snapshots or maintained screenshots from synthetic data: Brief → connected channel assets → Review/Handoff. Label it as a product view, not a customer result.</w:t>
      </w:r>
    </w:p>
    <w:p>
      <w:pPr>
        <w:numPr>
          <w:ilvl w:val="0"/>
          <w:numId w:val="10"/>
        </w:numPr>
        <w:spacing w:after="40" w:line="254" w:lineRule="auto"/>
        <w:ind w:left="690" w:hanging="290"/>
      </w:pPr>
      <w:r>
        <w:rPr>
          <w:rFonts w:ascii="Calibri" w:hAnsi="Calibri"/>
          <w:color w:val="1F2937"/>
          <w:sz w:val="18"/>
        </w:rPr>
        <w:t>Provide a deterministic screenshot refresh workflow tied to the seed fixture and exact build SHA. Prevent real user content from entering assets.</w:t>
      </w:r>
    </w:p>
    <w:p>
      <w:pPr>
        <w:numPr>
          <w:ilvl w:val="0"/>
          <w:numId w:val="10"/>
        </w:numPr>
        <w:spacing w:after="40" w:line="254" w:lineRule="auto"/>
        <w:ind w:left="690" w:hanging="290"/>
      </w:pPr>
      <w:r>
        <w:rPr>
          <w:rFonts w:ascii="Calibri" w:hAnsi="Calibri"/>
          <w:color w:val="1F2937"/>
          <w:sz w:val="18"/>
        </w:rPr>
        <w:t>Preserve status visibility, provenance, prompt/schema version and human-review responsibility without making the interface feel like an audit log.</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0"/>
        </w:numPr>
        <w:spacing w:after="40" w:line="254" w:lineRule="auto"/>
        <w:ind w:left="690" w:hanging="290"/>
      </w:pPr>
      <w:r>
        <w:rPr>
          <w:rFonts w:ascii="Calibri" w:hAnsi="Calibri"/>
          <w:color w:val="1F2937"/>
          <w:sz w:val="18"/>
        </w:rPr>
        <w:t>Describe value as less campaign setup/rework and one connected source of truth; never claim guaranteed time saved or performance.</w:t>
      </w:r>
    </w:p>
    <w:p>
      <w:pPr>
        <w:numPr>
          <w:ilvl w:val="0"/>
          <w:numId w:val="10"/>
        </w:numPr>
        <w:spacing w:after="40" w:line="254" w:lineRule="auto"/>
        <w:ind w:left="690" w:hanging="290"/>
      </w:pPr>
      <w:r>
        <w:rPr>
          <w:rFonts w:ascii="Calibri" w:hAnsi="Calibri"/>
          <w:color w:val="1F2937"/>
          <w:sz w:val="18"/>
        </w:rPr>
        <w:t>Use one primary CTA per state. Secondary actions use descriptive labels such as ‘Open brief’, ‘Resolve review’ and ‘Preview handoff’.</w:t>
      </w:r>
    </w:p>
    <w:p>
      <w:pPr>
        <w:numPr>
          <w:ilvl w:val="0"/>
          <w:numId w:val="10"/>
        </w:numPr>
        <w:spacing w:after="40" w:line="254" w:lineRule="auto"/>
        <w:ind w:left="690" w:hanging="290"/>
      </w:pPr>
      <w:r>
        <w:rPr>
          <w:rFonts w:ascii="Calibri" w:hAnsi="Calibri"/>
          <w:color w:val="1F2937"/>
          <w:sz w:val="18"/>
        </w:rPr>
        <w:t>Empty states teach the next campaign step, not another product category.</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0"/>
        </w:numPr>
        <w:spacing w:after="40" w:line="254" w:lineRule="auto"/>
        <w:ind w:left="690" w:hanging="290"/>
      </w:pPr>
      <w:r>
        <w:rPr>
          <w:rFonts w:ascii="Calibri" w:hAnsi="Calibri"/>
          <w:color w:val="1F2937"/>
          <w:sz w:val="18"/>
        </w:rPr>
        <w:t>Screenshot fixtures use synthetic records and contain no account email, secret, private URL or customer content.</w:t>
      </w:r>
    </w:p>
    <w:p>
      <w:pPr>
        <w:numPr>
          <w:ilvl w:val="0"/>
          <w:numId w:val="10"/>
        </w:numPr>
        <w:spacing w:after="40" w:line="254" w:lineRule="auto"/>
        <w:ind w:left="690" w:hanging="290"/>
      </w:pPr>
      <w:r>
        <w:rPr>
          <w:rFonts w:ascii="Calibri" w:hAnsi="Calibri"/>
          <w:color w:val="1F2937"/>
          <w:sz w:val="18"/>
        </w:rPr>
        <w:t>Analytics tracks bounded screen/state/action/channel codes only; never asset copy, names, prompts or evidence URLs.</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0"/>
        </w:numPr>
        <w:spacing w:after="40" w:line="254" w:lineRule="auto"/>
        <w:ind w:left="690" w:hanging="290"/>
      </w:pPr>
      <w:r>
        <w:rPr>
          <w:rFonts w:ascii="Calibri" w:hAnsi="Calibri"/>
          <w:color w:val="1F2937"/>
          <w:sz w:val="18"/>
        </w:rPr>
        <w:t>Do not add new studios, channels, public shares, client portals or collaboration systems.</w:t>
      </w:r>
    </w:p>
    <w:p>
      <w:pPr>
        <w:numPr>
          <w:ilvl w:val="0"/>
          <w:numId w:val="10"/>
        </w:numPr>
        <w:spacing w:after="40" w:line="254" w:lineRule="auto"/>
        <w:ind w:left="690" w:hanging="290"/>
      </w:pPr>
      <w:r>
        <w:rPr>
          <w:rFonts w:ascii="Calibri" w:hAnsi="Calibri"/>
          <w:color w:val="1F2937"/>
          <w:sz w:val="18"/>
        </w:rPr>
        <w:t>Do not fake testimonials, dashboards, performance data or generated outputs.</w:t>
      </w:r>
    </w:p>
    <w:p>
      <w:pPr>
        <w:numPr>
          <w:ilvl w:val="0"/>
          <w:numId w:val="10"/>
        </w:numPr>
        <w:spacing w:after="40" w:line="254" w:lineRule="auto"/>
        <w:ind w:left="690" w:hanging="290"/>
      </w:pPr>
      <w:r>
        <w:rPr>
          <w:rFonts w:ascii="Calibri" w:hAnsi="Calibri"/>
          <w:color w:val="1F2937"/>
          <w:sz w:val="18"/>
        </w:rPr>
        <w:t>Do not fork campaign and Library asset behavior.</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0"/>
        </w:numPr>
        <w:spacing w:after="40" w:line="254" w:lineRule="auto"/>
        <w:ind w:left="690" w:hanging="290"/>
      </w:pPr>
      <w:r>
        <w:rPr>
          <w:rFonts w:ascii="Calibri" w:hAnsi="Calibri"/>
          <w:color w:val="1F2937"/>
          <w:sz w:val="18"/>
        </w:rPr>
        <w:t>A new beta user can move from campaign to review and export without losing context or encountering an equal-weight competing path.</w:t>
      </w:r>
    </w:p>
    <w:p>
      <w:pPr>
        <w:numPr>
          <w:ilvl w:val="0"/>
          <w:numId w:val="10"/>
        </w:numPr>
        <w:spacing w:after="40" w:line="254" w:lineRule="auto"/>
        <w:ind w:left="690" w:hanging="290"/>
      </w:pPr>
      <w:r>
        <w:rPr>
          <w:rFonts w:ascii="Calibri" w:hAnsi="Calibri"/>
          <w:color w:val="1F2937"/>
          <w:sz w:val="18"/>
        </w:rPr>
        <w:t>Every observed P0/P1 UX defect has a regression test or screenshot assertion.</w:t>
      </w:r>
    </w:p>
    <w:p>
      <w:pPr>
        <w:numPr>
          <w:ilvl w:val="0"/>
          <w:numId w:val="10"/>
        </w:numPr>
        <w:spacing w:after="40" w:line="254" w:lineRule="auto"/>
        <w:ind w:left="690" w:hanging="290"/>
      </w:pPr>
      <w:r>
        <w:rPr>
          <w:rFonts w:ascii="Calibri" w:hAnsi="Calibri"/>
          <w:color w:val="1F2937"/>
          <w:sz w:val="18"/>
        </w:rPr>
        <w:t>Public proof depicts the current real UI at a recorded SHA with synthetic data and correct limitations.</w:t>
      </w:r>
    </w:p>
    <w:p>
      <w:pPr>
        <w:numPr>
          <w:ilvl w:val="0"/>
          <w:numId w:val="10"/>
        </w:numPr>
        <w:spacing w:after="40" w:line="254" w:lineRule="auto"/>
        <w:ind w:left="690" w:hanging="290"/>
      </w:pPr>
      <w:r>
        <w:rPr>
          <w:rFonts w:ascii="Calibri" w:hAnsi="Calibri"/>
          <w:color w:val="1F2937"/>
          <w:sz w:val="18"/>
        </w:rPr>
        <w:t>No screen clips or horizontally overflows at target widths and 200% zoom.</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0"/>
        </w:numPr>
        <w:spacing w:after="40" w:line="254" w:lineRule="auto"/>
        <w:ind w:left="690" w:hanging="290"/>
      </w:pPr>
      <w:r>
        <w:rPr>
          <w:rFonts w:ascii="Calibri" w:hAnsi="Calibri"/>
          <w:color w:val="1F2937"/>
          <w:sz w:val="18"/>
        </w:rPr>
        <w:t>Attach a before/after defect ledger with route, state, severity, evidence, fix and test. Keep unfixed P2 ideas out of the launch scope.</w:t>
      </w:r>
    </w:p>
    <w:p>
      <w:pPr>
        <w:numPr>
          <w:ilvl w:val="0"/>
          <w:numId w:val="10"/>
        </w:numPr>
        <w:spacing w:after="40" w:line="254" w:lineRule="auto"/>
        <w:ind w:left="690" w:hanging="290"/>
      </w:pPr>
      <w:r>
        <w:rPr>
          <w:rFonts w:ascii="Calibri" w:hAnsi="Calibri"/>
          <w:color w:val="1F2937"/>
          <w:sz w:val="18"/>
        </w:rPr>
        <w:t>Run the repository’s complete lint, typecheck where applicable, unit/contract/safety tests, production build and all relevant Playwright journeys. Add targeted failure, keyboard, screen-reader-semantic and 320/375px tests for this change.</w:t>
      </w:r>
    </w:p>
    <w:p>
      <w:pPr>
        <w:numPr>
          <w:ilvl w:val="0"/>
          <w:numId w:val="10"/>
        </w:numPr>
        <w:spacing w:after="40" w:line="254" w:lineRule="auto"/>
        <w:ind w:left="690" w:hanging="290"/>
      </w:pPr>
      <w:r>
        <w:rPr>
          <w:rFonts w:ascii="Calibri" w:hAnsi="Calibri"/>
          <w:color w:val="1F2937"/>
          <w:sz w:val="18"/>
        </w:rPr>
        <w:t>Run git diff --check. Review the complete diff for duplicated truth, leaked PII/content, secrets, inaccessible states, unsupported claims, stale generated artifacts, broad formatting churn and unrelated changes.</w:t>
      </w:r>
    </w:p>
    <w:p>
      <w:pPr>
        <w:numPr>
          <w:ilvl w:val="0"/>
          <w:numId w:val="10"/>
        </w:numPr>
        <w:spacing w:after="40" w:line="254" w:lineRule="auto"/>
        <w:ind w:left="690" w:hanging="290"/>
      </w:pPr>
      <w:r>
        <w:rPr>
          <w:rFonts w:ascii="Calibri" w:hAnsi="Calibri"/>
          <w:color w:val="1F2937"/>
          <w:sz w:val="18"/>
        </w:rPr>
        <w:t>Return a structured handoff: outcome; changed files by product area; migrations/config/flags; analytics impact; exact commands with pass/fail/skipped counts; screenshots or artifacts where required; rollback; assumptions; remaining P0/P1/external blockers. Never report an unrun or skipped check as green.</w:t>
      </w:r>
    </w:p>
    <w:p>
      <w:pPr>
        <w:pStyle w:val="Heading2"/>
        <w:pageBreakBefore/>
      </w:pPr>
      <w:r>
        <w:rPr>
          <w:rFonts w:ascii="Calibri" w:hAnsi="Calibri"/>
          <w:b/>
          <w:color w:val="2E74B5"/>
          <w:sz w:val="29"/>
        </w:rPr>
        <w:t>SC-V11-05  |  Openable premium exports and bounded production performance</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Prove that DOCX, PDF and ZIP handoffs are valid, readable and operationally bounded—not merely generated without throwing an exception.</w:t>
      </w:r>
    </w:p>
    <w:p>
      <w:pPr>
        <w:spacing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0"/>
        </w:numPr>
        <w:spacing w:after="40" w:line="254" w:lineRule="auto"/>
        <w:ind w:left="690" w:hanging="290"/>
      </w:pPr>
      <w:r>
        <w:rPr>
          <w:rFonts w:ascii="Calibri" w:hAnsi="Calibri"/>
          <w:color w:val="1F2937"/>
          <w:sz w:val="18"/>
        </w:rPr>
        <w:t>You are Claude Code working directly in primocera/LaunchBloom. Implement this vertical slice in the real application; do not stop at an audit, recommendations, pseudo-code, a mockup or a list of copy ideas.</w:t>
      </w:r>
    </w:p>
    <w:p>
      <w:pPr>
        <w:numPr>
          <w:ilvl w:val="0"/>
          <w:numId w:val="10"/>
        </w:numPr>
        <w:spacing w:after="40" w:line="254" w:lineRule="auto"/>
        <w:ind w:left="690" w:hanging="290"/>
      </w:pPr>
      <w:r>
        <w:rPr>
          <w:rFonts w:ascii="Calibri" w:hAnsi="Calibri"/>
          <w:color w:val="1F2937"/>
          <w:sz w:val="18"/>
        </w:rPr>
        <w:t>Confirm the current branch and HEAD. Compare it with reviewed baseline 445d29e488d198ceaacceac59950697c00b9765c. If the repository has moved, list the drift and verify whether it already closes any requirement before changing code.</w:t>
      </w:r>
    </w:p>
    <w:p>
      <w:pPr>
        <w:numPr>
          <w:ilvl w:val="0"/>
          <w:numId w:val="10"/>
        </w:numPr>
        <w:spacing w:after="40" w:line="254" w:lineRule="auto"/>
        <w:ind w:left="690" w:hanging="290"/>
      </w:pPr>
      <w:r>
        <w:rPr>
          <w:rFonts w:ascii="Calibri" w:hAnsi="Calibri"/>
          <w:color w:val="1F2937"/>
          <w:sz w:val="18"/>
        </w:rPr>
        <w:t>Read repository instructions, current git status, package scripts, migrations, product/content contracts, launch documents and relevant tests before editing. Preserve unrelated work; never use destructive git commands.</w:t>
      </w:r>
    </w:p>
    <w:p>
      <w:pPr>
        <w:numPr>
          <w:ilvl w:val="0"/>
          <w:numId w:val="10"/>
        </w:numPr>
        <w:spacing w:after="40" w:line="254" w:lineRule="auto"/>
        <w:ind w:left="690" w:hanging="290"/>
      </w:pPr>
      <w:r>
        <w:rPr>
          <w:rFonts w:ascii="Calibri" w:hAnsi="Calibri"/>
          <w:color w:val="1F2937"/>
          <w:sz w:val="18"/>
        </w:rPr>
        <w:t>Treat this as launch hardening, not a redesign or feature expansion. Reuse canonical services, components, schemas and analytics taxonomy. Fix only verified gaps and delete duplication only when behavior and data remain reachable.</w:t>
      </w:r>
    </w:p>
    <w:p>
      <w:pPr>
        <w:numPr>
          <w:ilvl w:val="0"/>
          <w:numId w:val="10"/>
        </w:numPr>
        <w:spacing w:after="40" w:line="254" w:lineRule="auto"/>
        <w:ind w:left="690" w:hanging="290"/>
      </w:pPr>
      <w:r>
        <w:rPr>
          <w:rFonts w:ascii="Calibri" w:hAnsi="Calibri"/>
          <w:color w:val="1F2937"/>
          <w:sz w:val="18"/>
        </w:rPr>
        <w:t>Deliver one reviewable vertical slice and, if repository policy permits, one intentional commit. Use additive migrations, bounded feature flags and an explicit rollback whenever behavior or persisted data changes.</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0"/>
        </w:numPr>
        <w:spacing w:after="40" w:line="254" w:lineRule="auto"/>
        <w:ind w:left="690" w:hanging="290"/>
      </w:pPr>
      <w:r>
        <w:rPr>
          <w:rFonts w:ascii="Calibri" w:hAnsi="Calibri"/>
          <w:color w:val="1F2937"/>
          <w:sz w:val="18"/>
        </w:rPr>
        <w:t>Handoff is a central reason a team can justify paying, but automated generation does not prove Word/PDF can be opened, pages are readable or ZIP contents match the preview.</w:t>
      </w:r>
    </w:p>
    <w:p>
      <w:pPr>
        <w:numPr>
          <w:ilvl w:val="0"/>
          <w:numId w:val="10"/>
        </w:numPr>
        <w:spacing w:after="40" w:line="254" w:lineRule="auto"/>
        <w:ind w:left="690" w:hanging="290"/>
      </w:pPr>
      <w:r>
        <w:rPr>
          <w:rFonts w:ascii="Calibri" w:hAnsi="Calibri"/>
          <w:color w:val="1F2937"/>
          <w:sz w:val="18"/>
        </w:rPr>
        <w:t>Large campaigns, Unicode, long URLs, image-less pages and serverless memory/time limits can turn a premium promise into a support incident.</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0"/>
        </w:numPr>
        <w:spacing w:after="40" w:line="254" w:lineRule="auto"/>
        <w:ind w:left="690" w:hanging="290"/>
      </w:pPr>
      <w:r>
        <w:rPr>
          <w:rFonts w:ascii="Calibri" w:hAnsi="Calibri"/>
          <w:color w:val="1F2937"/>
          <w:sz w:val="18"/>
        </w:rPr>
        <w:t>Prove that DOCX, PDF and ZIP handoffs are valid, readable and operationally bounded—not merely generated without throwing an exception.</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0"/>
        </w:numPr>
        <w:spacing w:after="40" w:line="254" w:lineRule="auto"/>
        <w:ind w:left="690" w:hanging="290"/>
      </w:pPr>
      <w:r>
        <w:rPr>
          <w:rFonts w:ascii="Calibri" w:hAnsi="Calibri"/>
          <w:color w:val="1F2937"/>
          <w:sz w:val="18"/>
        </w:rPr>
        <w:t>Inspect the canonical handoff manifest/composer, DOCX/PDF/ZIP generators, authorization, filename/content-disposition, export audit, limits, temp storage and serverless runtime constraints.</w:t>
      </w:r>
    </w:p>
    <w:p>
      <w:pPr>
        <w:numPr>
          <w:ilvl w:val="0"/>
          <w:numId w:val="10"/>
        </w:numPr>
        <w:spacing w:after="40" w:line="254" w:lineRule="auto"/>
        <w:ind w:left="690" w:hanging="290"/>
      </w:pPr>
      <w:r>
        <w:rPr>
          <w:rFonts w:ascii="Calibri" w:hAnsi="Calibri"/>
          <w:color w:val="1F2937"/>
          <w:sz w:val="18"/>
        </w:rPr>
        <w:t>Build synthetic fixtures for minimal, normal and maximum supported campaigns; long titles, Unicode/emoji, long URLs, many assets, review findings, missing evidence and stale versions.</w:t>
      </w:r>
    </w:p>
    <w:p>
      <w:pPr>
        <w:numPr>
          <w:ilvl w:val="0"/>
          <w:numId w:val="10"/>
        </w:numPr>
        <w:spacing w:after="40" w:line="254" w:lineRule="auto"/>
        <w:ind w:left="690" w:hanging="290"/>
      </w:pPr>
      <w:r>
        <w:rPr>
          <w:rFonts w:ascii="Calibri" w:hAnsi="Calibri"/>
          <w:color w:val="1F2937"/>
          <w:sz w:val="18"/>
        </w:rPr>
        <w:t>Compare previewed included/excluded items, status/blockers, responsibilities and fingerprint with every generated format.</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0"/>
        </w:numPr>
        <w:spacing w:after="40" w:line="254" w:lineRule="auto"/>
        <w:ind w:left="690" w:hanging="290"/>
      </w:pPr>
      <w:r>
        <w:rPr>
          <w:rFonts w:ascii="Calibri" w:hAnsi="Calibri"/>
          <w:color w:val="1F2937"/>
          <w:sz w:val="18"/>
        </w:rPr>
        <w:t>Use the same canonical manifest for preview, DOCX, PDF and ZIP. No format may implement a second content-selection rule.</w:t>
      </w:r>
    </w:p>
    <w:p>
      <w:pPr>
        <w:numPr>
          <w:ilvl w:val="0"/>
          <w:numId w:val="10"/>
        </w:numPr>
        <w:spacing w:after="40" w:line="254" w:lineRule="auto"/>
        <w:ind w:left="690" w:hanging="290"/>
      </w:pPr>
      <w:r>
        <w:rPr>
          <w:rFonts w:ascii="Calibri" w:hAnsi="Calibri"/>
          <w:color w:val="1F2937"/>
          <w:sz w:val="18"/>
        </w:rPr>
        <w:t>Validate generated DOCX by opening/parsing it and rendering it to pages in CI or a deterministic artifact job. Validate PDF structure, fonts, page count, links and extractable text. Validate ZIP CRC, safe paths, file list and size.</w:t>
      </w:r>
    </w:p>
    <w:p>
      <w:pPr>
        <w:numPr>
          <w:ilvl w:val="0"/>
          <w:numId w:val="10"/>
        </w:numPr>
        <w:spacing w:after="40" w:line="254" w:lineRule="auto"/>
        <w:ind w:left="690" w:hanging="290"/>
      </w:pPr>
      <w:r>
        <w:rPr>
          <w:rFonts w:ascii="Calibri" w:hAnsi="Calibri"/>
          <w:color w:val="1F2937"/>
          <w:sz w:val="18"/>
        </w:rPr>
        <w:t>Define documented per-export limits for asset count, body bytes, attachments and total archive size based on measured runtime. Stream or use bounded temporary storage; fail before partial delivery when limits are exceeded.</w:t>
      </w:r>
    </w:p>
    <w:p>
      <w:pPr>
        <w:numPr>
          <w:ilvl w:val="0"/>
          <w:numId w:val="10"/>
        </w:numPr>
        <w:spacing w:after="40" w:line="254" w:lineRule="auto"/>
        <w:ind w:left="690" w:hanging="290"/>
      </w:pPr>
      <w:r>
        <w:rPr>
          <w:rFonts w:ascii="Calibri" w:hAnsi="Calibri"/>
          <w:color w:val="1F2937"/>
          <w:sz w:val="18"/>
        </w:rPr>
        <w:t>Make page breaks, headings, tables, links, Unicode, widows/orphans and long strings readable. Include campaign/brief version, export timestamp, responsibilities, review state and fingerprint.</w:t>
      </w:r>
    </w:p>
    <w:p>
      <w:pPr>
        <w:numPr>
          <w:ilvl w:val="0"/>
          <w:numId w:val="10"/>
        </w:numPr>
        <w:spacing w:after="40" w:line="254" w:lineRule="auto"/>
        <w:ind w:left="690" w:hanging="290"/>
      </w:pPr>
      <w:r>
        <w:rPr>
          <w:rFonts w:ascii="Calibri" w:hAnsi="Calibri"/>
          <w:color w:val="1F2937"/>
          <w:sz w:val="18"/>
        </w:rPr>
        <w:t>Ensure authorization is checked before manifest construction and again for download retrieval. Downloads expire safely and cannot be guessed or cached publicly.</w:t>
      </w:r>
    </w:p>
    <w:p>
      <w:pPr>
        <w:numPr>
          <w:ilvl w:val="0"/>
          <w:numId w:val="10"/>
        </w:numPr>
        <w:spacing w:after="40" w:line="254" w:lineRule="auto"/>
        <w:ind w:left="690" w:hanging="290"/>
      </w:pPr>
      <w:r>
        <w:rPr>
          <w:rFonts w:ascii="Calibri" w:hAnsi="Calibri"/>
          <w:color w:val="1F2937"/>
          <w:sz w:val="18"/>
        </w:rPr>
        <w:t>Provide a narrower-export recovery option when the full package exceeds limits. Never produce an apparently successful truncated file.</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0"/>
        </w:numPr>
        <w:spacing w:after="40" w:line="254" w:lineRule="auto"/>
        <w:ind w:left="690" w:hanging="290"/>
      </w:pPr>
      <w:r>
        <w:rPr>
          <w:rFonts w:ascii="Calibri" w:hAnsi="Calibri"/>
          <w:color w:val="1F2937"/>
          <w:sz w:val="18"/>
        </w:rPr>
        <w:t>Export preview states exactly what will be included, excluded and why. ‘Ready to export’ never means approved, compliant or published.</w:t>
      </w:r>
    </w:p>
    <w:p>
      <w:pPr>
        <w:numPr>
          <w:ilvl w:val="0"/>
          <w:numId w:val="10"/>
        </w:numPr>
        <w:spacing w:after="40" w:line="254" w:lineRule="auto"/>
        <w:ind w:left="690" w:hanging="290"/>
      </w:pPr>
      <w:r>
        <w:rPr>
          <w:rFonts w:ascii="Calibri" w:hAnsi="Calibri"/>
          <w:color w:val="1F2937"/>
          <w:sz w:val="18"/>
        </w:rPr>
        <w:t>Failure copy names the preserved work and the safe next step without exposing infrastructure details.</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0"/>
        </w:numPr>
        <w:spacing w:after="40" w:line="254" w:lineRule="auto"/>
        <w:ind w:left="690" w:hanging="290"/>
      </w:pPr>
      <w:r>
        <w:rPr>
          <w:rFonts w:ascii="Calibri" w:hAnsi="Calibri"/>
          <w:color w:val="1F2937"/>
          <w:sz w:val="18"/>
        </w:rPr>
        <w:t>Audit records contain workspace/user/export IDs, format, manifest version, bounded counts, result and fingerprint—never asset bodies.</w:t>
      </w:r>
    </w:p>
    <w:p>
      <w:pPr>
        <w:numPr>
          <w:ilvl w:val="0"/>
          <w:numId w:val="10"/>
        </w:numPr>
        <w:spacing w:after="40" w:line="254" w:lineRule="auto"/>
        <w:ind w:left="690" w:hanging="290"/>
      </w:pPr>
      <w:r>
        <w:rPr>
          <w:rFonts w:ascii="Calibri" w:hAnsi="Calibri"/>
          <w:color w:val="1F2937"/>
          <w:sz w:val="18"/>
        </w:rPr>
        <w:t>Sanitize filenames and archive paths. Prevent path traversal, formula injection in tabular exports and unsafe external resource fetching.</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0"/>
        </w:numPr>
        <w:spacing w:after="40" w:line="254" w:lineRule="auto"/>
        <w:ind w:left="690" w:hanging="290"/>
      </w:pPr>
      <w:r>
        <w:rPr>
          <w:rFonts w:ascii="Calibri" w:hAnsi="Calibri"/>
          <w:color w:val="1F2937"/>
          <w:sz w:val="18"/>
        </w:rPr>
        <w:t>Do not add another export format or visual design system.</w:t>
      </w:r>
    </w:p>
    <w:p>
      <w:pPr>
        <w:numPr>
          <w:ilvl w:val="0"/>
          <w:numId w:val="10"/>
        </w:numPr>
        <w:spacing w:after="40" w:line="254" w:lineRule="auto"/>
        <w:ind w:left="690" w:hanging="290"/>
      </w:pPr>
      <w:r>
        <w:rPr>
          <w:rFonts w:ascii="Calibri" w:hAnsi="Calibri"/>
          <w:color w:val="1F2937"/>
          <w:sz w:val="18"/>
        </w:rPr>
        <w:t>Do not raise limits without measured evidence.</w:t>
      </w:r>
    </w:p>
    <w:p>
      <w:pPr>
        <w:numPr>
          <w:ilvl w:val="0"/>
          <w:numId w:val="10"/>
        </w:numPr>
        <w:spacing w:after="40" w:line="254" w:lineRule="auto"/>
        <w:ind w:left="690" w:hanging="290"/>
      </w:pPr>
      <w:r>
        <w:rPr>
          <w:rFonts w:ascii="Calibri" w:hAnsi="Calibri"/>
          <w:color w:val="1F2937"/>
          <w:sz w:val="18"/>
        </w:rPr>
        <w:t>Do not validate only by MIME type, HTTP 200 or file existence.</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0"/>
        </w:numPr>
        <w:spacing w:after="40" w:line="254" w:lineRule="auto"/>
        <w:ind w:left="690" w:hanging="290"/>
      </w:pPr>
      <w:r>
        <w:rPr>
          <w:rFonts w:ascii="Calibri" w:hAnsi="Calibri"/>
          <w:color w:val="1F2937"/>
          <w:sz w:val="18"/>
        </w:rPr>
        <w:t>Minimal, normal, maximum and invalid fixtures produce deterministic results.</w:t>
      </w:r>
    </w:p>
    <w:p>
      <w:pPr>
        <w:numPr>
          <w:ilvl w:val="0"/>
          <w:numId w:val="10"/>
        </w:numPr>
        <w:spacing w:after="40" w:line="254" w:lineRule="auto"/>
        <w:ind w:left="690" w:hanging="290"/>
      </w:pPr>
      <w:r>
        <w:rPr>
          <w:rFonts w:ascii="Calibri" w:hAnsi="Calibri"/>
          <w:color w:val="1F2937"/>
          <w:sz w:val="18"/>
        </w:rPr>
        <w:t>DOCX and PDF render with no blank surprise pages, clipped text, broken headings or missing required sections.</w:t>
      </w:r>
    </w:p>
    <w:p>
      <w:pPr>
        <w:numPr>
          <w:ilvl w:val="0"/>
          <w:numId w:val="10"/>
        </w:numPr>
        <w:spacing w:after="40" w:line="254" w:lineRule="auto"/>
        <w:ind w:left="690" w:hanging="290"/>
      </w:pPr>
      <w:r>
        <w:rPr>
          <w:rFonts w:ascii="Calibri" w:hAnsi="Calibri"/>
          <w:color w:val="1F2937"/>
          <w:sz w:val="18"/>
        </w:rPr>
        <w:t>ZIP contents and fingerprint exactly match preview; unsafe names and oversized requests fail closed.</w:t>
      </w:r>
    </w:p>
    <w:p>
      <w:pPr>
        <w:numPr>
          <w:ilvl w:val="0"/>
          <w:numId w:val="10"/>
        </w:numPr>
        <w:spacing w:after="40" w:line="254" w:lineRule="auto"/>
        <w:ind w:left="690" w:hanging="290"/>
      </w:pPr>
      <w:r>
        <w:rPr>
          <w:rFonts w:ascii="Calibri" w:hAnsi="Calibri"/>
          <w:color w:val="1F2937"/>
          <w:sz w:val="18"/>
        </w:rPr>
        <w:t>Measured memory/time remain inside documented headroom for the deployed runtime.</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0"/>
        </w:numPr>
        <w:spacing w:after="40" w:line="254" w:lineRule="auto"/>
        <w:ind w:left="690" w:hanging="290"/>
      </w:pPr>
      <w:r>
        <w:rPr>
          <w:rFonts w:ascii="Calibri" w:hAnsi="Calibri"/>
          <w:color w:val="1F2937"/>
          <w:sz w:val="18"/>
        </w:rPr>
        <w:t>Save rendered page contact sheets and validation reports as CI artifacts; record runtime, peak memory and output sizes in the RC evidence.</w:t>
      </w:r>
    </w:p>
    <w:p>
      <w:pPr>
        <w:numPr>
          <w:ilvl w:val="0"/>
          <w:numId w:val="10"/>
        </w:numPr>
        <w:spacing w:after="40" w:line="254" w:lineRule="auto"/>
        <w:ind w:left="690" w:hanging="290"/>
      </w:pPr>
      <w:r>
        <w:rPr>
          <w:rFonts w:ascii="Calibri" w:hAnsi="Calibri"/>
          <w:color w:val="1F2937"/>
          <w:sz w:val="18"/>
        </w:rPr>
        <w:t>Run the repository’s complete lint, typecheck where applicable, unit/contract/safety tests, production build and all relevant Playwright journeys. Add targeted failure, keyboard, screen-reader-semantic and 320/375px tests for this change.</w:t>
      </w:r>
    </w:p>
    <w:p>
      <w:pPr>
        <w:numPr>
          <w:ilvl w:val="0"/>
          <w:numId w:val="10"/>
        </w:numPr>
        <w:spacing w:after="40" w:line="254" w:lineRule="auto"/>
        <w:ind w:left="690" w:hanging="290"/>
      </w:pPr>
      <w:r>
        <w:rPr>
          <w:rFonts w:ascii="Calibri" w:hAnsi="Calibri"/>
          <w:color w:val="1F2937"/>
          <w:sz w:val="18"/>
        </w:rPr>
        <w:t>Run git diff --check. Review the complete diff for duplicated truth, leaked PII/content, secrets, inaccessible states, unsupported claims, stale generated artifacts, broad formatting churn and unrelated changes.</w:t>
      </w:r>
    </w:p>
    <w:p>
      <w:pPr>
        <w:numPr>
          <w:ilvl w:val="0"/>
          <w:numId w:val="10"/>
        </w:numPr>
        <w:spacing w:after="40" w:line="254" w:lineRule="auto"/>
        <w:ind w:left="690" w:hanging="290"/>
      </w:pPr>
      <w:r>
        <w:rPr>
          <w:rFonts w:ascii="Calibri" w:hAnsi="Calibri"/>
          <w:color w:val="1F2937"/>
          <w:sz w:val="18"/>
        </w:rPr>
        <w:t>Return a structured handoff: outcome; changed files by product area; migrations/config/flags; analytics impact; exact commands with pass/fail/skipped counts; screenshots or artifacts where required; rollback; assumptions; remaining P0/P1/external blockers. Never report an unrun or skipped check as green.</w:t>
      </w:r>
    </w:p>
    <w:p>
      <w:pPr>
        <w:pStyle w:val="Heading2"/>
        <w:pageBreakBefore/>
      </w:pPr>
      <w:r>
        <w:rPr>
          <w:rFonts w:ascii="Calibri" w:hAnsi="Calibri"/>
          <w:b/>
          <w:color w:val="2E74B5"/>
          <w:sz w:val="29"/>
        </w:rPr>
        <w:t>SC-V11-06  |  Close live money, email and AI-spend evidence without unsafe automation</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Prepare and enforce the owner-run evidence needed to prove real billing recovery, suppression-safe transactional email and bounded AI cost before any paid launch.</w:t>
      </w:r>
    </w:p>
    <w:p>
      <w:pPr>
        <w:spacing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0"/>
        </w:numPr>
        <w:spacing w:after="40" w:line="254" w:lineRule="auto"/>
        <w:ind w:left="690" w:hanging="290"/>
      </w:pPr>
      <w:r>
        <w:rPr>
          <w:rFonts w:ascii="Calibri" w:hAnsi="Calibri"/>
          <w:color w:val="1F2937"/>
          <w:sz w:val="18"/>
        </w:rPr>
        <w:t>You are Claude Code working directly in primocera/LaunchBloom. Implement this vertical slice in the real application; do not stop at an audit, recommendations, pseudo-code, a mockup or a list of copy ideas.</w:t>
      </w:r>
    </w:p>
    <w:p>
      <w:pPr>
        <w:numPr>
          <w:ilvl w:val="0"/>
          <w:numId w:val="10"/>
        </w:numPr>
        <w:spacing w:after="40" w:line="254" w:lineRule="auto"/>
        <w:ind w:left="690" w:hanging="290"/>
      </w:pPr>
      <w:r>
        <w:rPr>
          <w:rFonts w:ascii="Calibri" w:hAnsi="Calibri"/>
          <w:color w:val="1F2937"/>
          <w:sz w:val="18"/>
        </w:rPr>
        <w:t>Confirm the current branch and HEAD. Compare it with reviewed baseline 445d29e488d198ceaacceac59950697c00b9765c. If the repository has moved, list the drift and verify whether it already closes any requirement before changing code.</w:t>
      </w:r>
    </w:p>
    <w:p>
      <w:pPr>
        <w:numPr>
          <w:ilvl w:val="0"/>
          <w:numId w:val="10"/>
        </w:numPr>
        <w:spacing w:after="40" w:line="254" w:lineRule="auto"/>
        <w:ind w:left="690" w:hanging="290"/>
      </w:pPr>
      <w:r>
        <w:rPr>
          <w:rFonts w:ascii="Calibri" w:hAnsi="Calibri"/>
          <w:color w:val="1F2937"/>
          <w:sz w:val="18"/>
        </w:rPr>
        <w:t>Read repository instructions, current git status, package scripts, migrations, product/content contracts, launch documents and relevant tests before editing. Preserve unrelated work; never use destructive git commands.</w:t>
      </w:r>
    </w:p>
    <w:p>
      <w:pPr>
        <w:numPr>
          <w:ilvl w:val="0"/>
          <w:numId w:val="10"/>
        </w:numPr>
        <w:spacing w:after="40" w:line="254" w:lineRule="auto"/>
        <w:ind w:left="690" w:hanging="290"/>
      </w:pPr>
      <w:r>
        <w:rPr>
          <w:rFonts w:ascii="Calibri" w:hAnsi="Calibri"/>
          <w:color w:val="1F2937"/>
          <w:sz w:val="18"/>
        </w:rPr>
        <w:t>Treat this as launch hardening, not a redesign or feature expansion. Reuse canonical services, components, schemas and analytics taxonomy. Fix only verified gaps and delete duplication only when behavior and data remain reachable.</w:t>
      </w:r>
    </w:p>
    <w:p>
      <w:pPr>
        <w:numPr>
          <w:ilvl w:val="0"/>
          <w:numId w:val="10"/>
        </w:numPr>
        <w:spacing w:after="40" w:line="254" w:lineRule="auto"/>
        <w:ind w:left="690" w:hanging="290"/>
      </w:pPr>
      <w:r>
        <w:rPr>
          <w:rFonts w:ascii="Calibri" w:hAnsi="Calibri"/>
          <w:color w:val="1F2937"/>
          <w:sz w:val="18"/>
        </w:rPr>
        <w:t>Deliver one reviewable vertical slice and, if repository policy permits, one intentional commit. Use additive migrations, bounded feature flags and an explicit rollback whenever behavior or persisted data changes.</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0"/>
        </w:numPr>
        <w:spacing w:after="40" w:line="254" w:lineRule="auto"/>
        <w:ind w:left="690" w:hanging="290"/>
      </w:pPr>
      <w:r>
        <w:rPr>
          <w:rFonts w:ascii="Calibri" w:hAnsi="Calibri"/>
          <w:color w:val="1F2937"/>
          <w:sz w:val="18"/>
        </w:rPr>
        <w:t>The remaining hard blockers are live charge→cancel→reactivate→recover→refund, Resend suppression behavior after migration 036 and a configured AI daily spend ceiling.</w:t>
      </w:r>
    </w:p>
    <w:p>
      <w:pPr>
        <w:numPr>
          <w:ilvl w:val="0"/>
          <w:numId w:val="10"/>
        </w:numPr>
        <w:spacing w:after="40" w:line="254" w:lineRule="auto"/>
        <w:ind w:left="690" w:hanging="290"/>
      </w:pPr>
      <w:r>
        <w:rPr>
          <w:rFonts w:ascii="Calibri" w:hAnsi="Calibri"/>
          <w:color w:val="1F2937"/>
          <w:sz w:val="18"/>
        </w:rPr>
        <w:t>Mock tests cannot prove provider ordering, actual charge dates, customer email delivery or that spend protection is active in production.</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0"/>
        </w:numPr>
        <w:spacing w:after="40" w:line="254" w:lineRule="auto"/>
        <w:ind w:left="690" w:hanging="290"/>
      </w:pPr>
      <w:r>
        <w:rPr>
          <w:rFonts w:ascii="Calibri" w:hAnsi="Calibri"/>
          <w:color w:val="1F2937"/>
          <w:sz w:val="18"/>
        </w:rPr>
        <w:t>Prepare and enforce the owner-run evidence needed to prove real billing recovery, suppression-safe transactional email and bounded AI cost before any paid launch.</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0"/>
        </w:numPr>
        <w:spacing w:after="40" w:line="254" w:lineRule="auto"/>
        <w:ind w:left="690" w:hanging="290"/>
      </w:pPr>
      <w:r>
        <w:rPr>
          <w:rFonts w:ascii="Calibri" w:hAnsi="Calibri"/>
          <w:color w:val="1F2937"/>
          <w:sz w:val="18"/>
        </w:rPr>
        <w:t>Inspect billing state resolver, Stripe webhook ordering/idempotency/reconciliation, portal/refund flows, email outbox/suppression classes, migration 036, AI usage ledger/limits, readiness and incident runbooks.</w:t>
      </w:r>
    </w:p>
    <w:p>
      <w:pPr>
        <w:numPr>
          <w:ilvl w:val="0"/>
          <w:numId w:val="10"/>
        </w:numPr>
        <w:spacing w:after="40" w:line="254" w:lineRule="auto"/>
        <w:ind w:left="690" w:hanging="290"/>
      </w:pPr>
      <w:r>
        <w:rPr>
          <w:rFonts w:ascii="Calibri" w:hAnsi="Calibri"/>
          <w:color w:val="1F2937"/>
          <w:sz w:val="18"/>
        </w:rPr>
        <w:t>Map expected UI, entitlement, email and audit state for checkout, active, cancel-at-period-end, reactivate, past_due/recover, canceled and refunded.</w:t>
      </w:r>
    </w:p>
    <w:p>
      <w:pPr>
        <w:numPr>
          <w:ilvl w:val="0"/>
          <w:numId w:val="10"/>
        </w:numPr>
        <w:spacing w:after="40" w:line="254" w:lineRule="auto"/>
        <w:ind w:left="690" w:hanging="290"/>
      </w:pPr>
      <w:r>
        <w:rPr>
          <w:rFonts w:ascii="Calibri" w:hAnsi="Calibri"/>
          <w:color w:val="1F2937"/>
          <w:sz w:val="18"/>
        </w:rPr>
        <w:t>Identify every live action that requires owner credentials and every safe read-only signal the app can expose without secrets.</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0"/>
        </w:numPr>
        <w:spacing w:after="40" w:line="254" w:lineRule="auto"/>
        <w:ind w:left="690" w:hanging="290"/>
      </w:pPr>
      <w:r>
        <w:rPr>
          <w:rFonts w:ascii="Calibri" w:hAnsi="Calibri"/>
          <w:color w:val="1F2937"/>
          <w:sz w:val="18"/>
        </w:rPr>
        <w:t>Create a step-by-step owner rehearsal worksheet with prerequisite, exact low-value action, expected Stripe/app/email state, evidence field, cleanup/refund, rollback and stop condition for each stage.</w:t>
      </w:r>
    </w:p>
    <w:p>
      <w:pPr>
        <w:numPr>
          <w:ilvl w:val="0"/>
          <w:numId w:val="10"/>
        </w:numPr>
        <w:spacing w:after="40" w:line="254" w:lineRule="auto"/>
        <w:ind w:left="690" w:hanging="290"/>
      </w:pPr>
      <w:r>
        <w:rPr>
          <w:rFonts w:ascii="Calibri" w:hAnsi="Calibri"/>
          <w:color w:val="1F2937"/>
          <w:sz w:val="18"/>
        </w:rPr>
        <w:t>Add safe diagnostics/readiness checks that report configured/present versus live-observed separately. Never expose secret values, payment data, user email or message body.</w:t>
      </w:r>
    </w:p>
    <w:p>
      <w:pPr>
        <w:numPr>
          <w:ilvl w:val="0"/>
          <w:numId w:val="10"/>
        </w:numPr>
        <w:spacing w:after="40" w:line="254" w:lineRule="auto"/>
        <w:ind w:left="690" w:hanging="290"/>
      </w:pPr>
      <w:r>
        <w:rPr>
          <w:rFonts w:ascii="Calibri" w:hAnsi="Calibri"/>
          <w:color w:val="1F2937"/>
          <w:sz w:val="18"/>
        </w:rPr>
        <w:t>Require `AI_SPEND_DAILY_CEILING_USD` or the canonical equivalent in production release checks. Validate positive bounded numeric format and fail closed when absent/invalid.</w:t>
      </w:r>
    </w:p>
    <w:p>
      <w:pPr>
        <w:numPr>
          <w:ilvl w:val="0"/>
          <w:numId w:val="10"/>
        </w:numPr>
        <w:spacing w:after="40" w:line="254" w:lineRule="auto"/>
        <w:ind w:left="690" w:hanging="290"/>
      </w:pPr>
      <w:r>
        <w:rPr>
          <w:rFonts w:ascii="Calibri" w:hAnsi="Calibri"/>
          <w:color w:val="1F2937"/>
          <w:sz w:val="18"/>
        </w:rPr>
        <w:t>Exercise duplicate, delayed and out-of-order webhook fixtures plus reconciliation after provider/database partial failure. Entitlement must converge from canonical server state.</w:t>
      </w:r>
    </w:p>
    <w:p>
      <w:pPr>
        <w:numPr>
          <w:ilvl w:val="0"/>
          <w:numId w:val="10"/>
        </w:numPr>
        <w:spacing w:after="40" w:line="254" w:lineRule="auto"/>
        <w:ind w:left="690" w:hanging="290"/>
      </w:pPr>
      <w:r>
        <w:rPr>
          <w:rFonts w:ascii="Calibri" w:hAnsi="Calibri"/>
          <w:color w:val="1F2937"/>
          <w:sz w:val="18"/>
        </w:rPr>
        <w:t>Separate transactional billing/security messages from marketing/product email while respecting legal/suppression requirements. Test migration-036 behavior and document provider-level evidence the owner must capture.</w:t>
      </w:r>
    </w:p>
    <w:p>
      <w:pPr>
        <w:numPr>
          <w:ilvl w:val="0"/>
          <w:numId w:val="10"/>
        </w:numPr>
        <w:spacing w:after="40" w:line="254" w:lineRule="auto"/>
        <w:ind w:left="690" w:hanging="290"/>
      </w:pPr>
      <w:r>
        <w:rPr>
          <w:rFonts w:ascii="Calibri" w:hAnsi="Calibri"/>
          <w:color w:val="1F2937"/>
          <w:sz w:val="18"/>
        </w:rPr>
        <w:t>Create alert thresholds and a kill/recovery procedure for unexpected AI spend, webhook backlog, email dead letters and entitlement mismatch.</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0"/>
        </w:numPr>
        <w:spacing w:after="40" w:line="254" w:lineRule="auto"/>
        <w:ind w:left="690" w:hanging="290"/>
      </w:pPr>
      <w:r>
        <w:rPr>
          <w:rFonts w:ascii="Calibri" w:hAnsi="Calibri"/>
          <w:color w:val="1F2937"/>
          <w:sz w:val="18"/>
        </w:rPr>
        <w:t>Billing screens/emails show exact plan, amount, charge date, state and recovery path from server truth. Do not say ‘payment failed’ when state is unknown.</w:t>
      </w:r>
    </w:p>
    <w:p>
      <w:pPr>
        <w:numPr>
          <w:ilvl w:val="0"/>
          <w:numId w:val="10"/>
        </w:numPr>
        <w:spacing w:after="40" w:line="254" w:lineRule="auto"/>
        <w:ind w:left="690" w:hanging="290"/>
      </w:pPr>
      <w:r>
        <w:rPr>
          <w:rFonts w:ascii="Calibri" w:hAnsi="Calibri"/>
          <w:color w:val="1F2937"/>
          <w:sz w:val="18"/>
        </w:rPr>
        <w:t>Suppressed or failed email states remain private and actionable to the owner; user-facing copy never exposes provider jargon.</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0"/>
        </w:numPr>
        <w:spacing w:after="40" w:line="254" w:lineRule="auto"/>
        <w:ind w:left="690" w:hanging="290"/>
      </w:pPr>
      <w:r>
        <w:rPr>
          <w:rFonts w:ascii="Calibri" w:hAnsi="Calibri"/>
          <w:color w:val="1F2937"/>
          <w:sz w:val="18"/>
        </w:rPr>
        <w:t>Use durable idempotency keys and bounded category/status metrics. No campaign content or PII in logs, alerts or evidence documents.</w:t>
      </w:r>
    </w:p>
    <w:p>
      <w:pPr>
        <w:numPr>
          <w:ilvl w:val="0"/>
          <w:numId w:val="10"/>
        </w:numPr>
        <w:spacing w:after="40" w:line="254" w:lineRule="auto"/>
        <w:ind w:left="690" w:hanging="290"/>
      </w:pPr>
      <w:r>
        <w:rPr>
          <w:rFonts w:ascii="Calibri" w:hAnsi="Calibri"/>
          <w:color w:val="1F2937"/>
          <w:sz w:val="18"/>
        </w:rPr>
        <w:t>AI cost gates remain server-owned and atomically checked; retries cannot double-consume entitlement or budget.</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0"/>
        </w:numPr>
        <w:spacing w:after="40" w:line="254" w:lineRule="auto"/>
        <w:ind w:left="690" w:hanging="290"/>
      </w:pPr>
      <w:r>
        <w:rPr>
          <w:rFonts w:ascii="Calibri" w:hAnsi="Calibri"/>
          <w:color w:val="1F2937"/>
          <w:sz w:val="18"/>
        </w:rPr>
        <w:t>Claude Code must not perform the live charge, refund, provider-email action or production setting mutation.</w:t>
      </w:r>
    </w:p>
    <w:p>
      <w:pPr>
        <w:numPr>
          <w:ilvl w:val="0"/>
          <w:numId w:val="10"/>
        </w:numPr>
        <w:spacing w:after="40" w:line="254" w:lineRule="auto"/>
        <w:ind w:left="690" w:hanging="290"/>
      </w:pPr>
      <w:r>
        <w:rPr>
          <w:rFonts w:ascii="Calibri" w:hAnsi="Calibri"/>
          <w:color w:val="1F2937"/>
          <w:sz w:val="18"/>
        </w:rPr>
        <w:t>Do not mark configured as observed or attach evidence from a different SHA/environment.</w:t>
      </w:r>
    </w:p>
    <w:p>
      <w:pPr>
        <w:numPr>
          <w:ilvl w:val="0"/>
          <w:numId w:val="10"/>
        </w:numPr>
        <w:spacing w:after="40" w:line="254" w:lineRule="auto"/>
        <w:ind w:left="690" w:hanging="290"/>
      </w:pPr>
      <w:r>
        <w:rPr>
          <w:rFonts w:ascii="Calibri" w:hAnsi="Calibri"/>
          <w:color w:val="1F2937"/>
          <w:sz w:val="18"/>
        </w:rPr>
        <w:t>Do not change price, refund policy, trial length or entitlement limits.</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0"/>
        </w:numPr>
        <w:spacing w:after="40" w:line="254" w:lineRule="auto"/>
        <w:ind w:left="690" w:hanging="290"/>
      </w:pPr>
      <w:r>
        <w:rPr>
          <w:rFonts w:ascii="Calibri" w:hAnsi="Calibri"/>
          <w:color w:val="1F2937"/>
          <w:sz w:val="18"/>
        </w:rPr>
        <w:t>The owner can execute the full rehearsal without interpretation and capture anonymized evidence for every transition.</w:t>
      </w:r>
    </w:p>
    <w:p>
      <w:pPr>
        <w:numPr>
          <w:ilvl w:val="0"/>
          <w:numId w:val="10"/>
        </w:numPr>
        <w:spacing w:after="40" w:line="254" w:lineRule="auto"/>
        <w:ind w:left="690" w:hanging="290"/>
      </w:pPr>
      <w:r>
        <w:rPr>
          <w:rFonts w:ascii="Calibri" w:hAnsi="Calibri"/>
          <w:color w:val="1F2937"/>
          <w:sz w:val="18"/>
        </w:rPr>
        <w:t>Missing/invalid spend ceiling blocks production release.</w:t>
      </w:r>
    </w:p>
    <w:p>
      <w:pPr>
        <w:numPr>
          <w:ilvl w:val="0"/>
          <w:numId w:val="10"/>
        </w:numPr>
        <w:spacing w:after="40" w:line="254" w:lineRule="auto"/>
        <w:ind w:left="690" w:hanging="290"/>
      </w:pPr>
      <w:r>
        <w:rPr>
          <w:rFonts w:ascii="Calibri" w:hAnsi="Calibri"/>
          <w:color w:val="1F2937"/>
          <w:sz w:val="18"/>
        </w:rPr>
        <w:t>Duplicate/out-of-order events converge without double entitlement, duplicate email or false UI state.</w:t>
      </w:r>
    </w:p>
    <w:p>
      <w:pPr>
        <w:numPr>
          <w:ilvl w:val="0"/>
          <w:numId w:val="10"/>
        </w:numPr>
        <w:spacing w:after="40" w:line="254" w:lineRule="auto"/>
        <w:ind w:left="690" w:hanging="290"/>
      </w:pPr>
      <w:r>
        <w:rPr>
          <w:rFonts w:ascii="Calibri" w:hAnsi="Calibri"/>
          <w:color w:val="1F2937"/>
          <w:sz w:val="18"/>
        </w:rPr>
        <w:t>Suppression and transactional-delivery semantics are tested locally and explicitly verified live by the owner.</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0"/>
        </w:numPr>
        <w:spacing w:after="40" w:line="254" w:lineRule="auto"/>
        <w:ind w:left="690" w:hanging="290"/>
      </w:pPr>
      <w:r>
        <w:rPr>
          <w:rFonts w:ascii="Calibri" w:hAnsi="Calibri"/>
          <w:color w:val="1F2937"/>
          <w:sz w:val="18"/>
        </w:rPr>
        <w:t>Run all safe provider fixtures and release checks. Return the unexecuted owner-only actions as blockers until evidence is attached.</w:t>
      </w:r>
    </w:p>
    <w:p>
      <w:pPr>
        <w:numPr>
          <w:ilvl w:val="0"/>
          <w:numId w:val="10"/>
        </w:numPr>
        <w:spacing w:after="40" w:line="254" w:lineRule="auto"/>
        <w:ind w:left="690" w:hanging="290"/>
      </w:pPr>
      <w:r>
        <w:rPr>
          <w:rFonts w:ascii="Calibri" w:hAnsi="Calibri"/>
          <w:color w:val="1F2937"/>
          <w:sz w:val="18"/>
        </w:rPr>
        <w:t>Run the repository’s complete lint, typecheck where applicable, unit/contract/safety tests, production build and all relevant Playwright journeys. Add targeted failure, keyboard, screen-reader-semantic and 320/375px tests for this change.</w:t>
      </w:r>
    </w:p>
    <w:p>
      <w:pPr>
        <w:numPr>
          <w:ilvl w:val="0"/>
          <w:numId w:val="10"/>
        </w:numPr>
        <w:spacing w:after="40" w:line="254" w:lineRule="auto"/>
        <w:ind w:left="690" w:hanging="290"/>
      </w:pPr>
      <w:r>
        <w:rPr>
          <w:rFonts w:ascii="Calibri" w:hAnsi="Calibri"/>
          <w:color w:val="1F2937"/>
          <w:sz w:val="18"/>
        </w:rPr>
        <w:t>Run git diff --check. Review the complete diff for duplicated truth, leaked PII/content, secrets, inaccessible states, unsupported claims, stale generated artifacts, broad formatting churn and unrelated changes.</w:t>
      </w:r>
    </w:p>
    <w:p>
      <w:pPr>
        <w:numPr>
          <w:ilvl w:val="0"/>
          <w:numId w:val="10"/>
        </w:numPr>
        <w:spacing w:after="40" w:line="254" w:lineRule="auto"/>
        <w:ind w:left="690" w:hanging="290"/>
      </w:pPr>
      <w:r>
        <w:rPr>
          <w:rFonts w:ascii="Calibri" w:hAnsi="Calibri"/>
          <w:color w:val="1F2937"/>
          <w:sz w:val="18"/>
        </w:rPr>
        <w:t>Return a structured handoff: outcome; changed files by product area; migrations/config/flags; analytics impact; exact commands with pass/fail/skipped counts; screenshots or artifacts where required; rollback; assumptions; remaining P0/P1/external blockers. Never report an unrun or skipped check as green.</w:t>
      </w:r>
    </w:p>
    <w:p>
      <w:pPr>
        <w:pStyle w:val="Heading2"/>
        <w:pageBreakBefore/>
      </w:pPr>
      <w:r>
        <w:rPr>
          <w:rFonts w:ascii="Calibri" w:hAnsi="Calibri"/>
          <w:b/>
          <w:color w:val="2E74B5"/>
          <w:sz w:val="29"/>
        </w:rPr>
        <w:t>SC-V11-07  |  Capped paid beta that proves work reduction and willingness to pay</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Launch only a controlled beta that measures whether Scalvya reduces real campaign rework and produces a handoff users will pay for, before broad acquisition.</w:t>
      </w:r>
    </w:p>
    <w:p>
      <w:pPr>
        <w:spacing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0"/>
        </w:numPr>
        <w:spacing w:after="40" w:line="254" w:lineRule="auto"/>
        <w:ind w:left="690" w:hanging="290"/>
      </w:pPr>
      <w:r>
        <w:rPr>
          <w:rFonts w:ascii="Calibri" w:hAnsi="Calibri"/>
          <w:color w:val="1F2937"/>
          <w:sz w:val="18"/>
        </w:rPr>
        <w:t>You are Claude Code working directly in primocera/LaunchBloom. Implement this vertical slice in the real application; do not stop at an audit, recommendations, pseudo-code, a mockup or a list of copy ideas.</w:t>
      </w:r>
    </w:p>
    <w:p>
      <w:pPr>
        <w:numPr>
          <w:ilvl w:val="0"/>
          <w:numId w:val="10"/>
        </w:numPr>
        <w:spacing w:after="40" w:line="254" w:lineRule="auto"/>
        <w:ind w:left="690" w:hanging="290"/>
      </w:pPr>
      <w:r>
        <w:rPr>
          <w:rFonts w:ascii="Calibri" w:hAnsi="Calibri"/>
          <w:color w:val="1F2937"/>
          <w:sz w:val="18"/>
        </w:rPr>
        <w:t>Confirm the current branch and HEAD. Compare it with reviewed baseline 445d29e488d198ceaacceac59950697c00b9765c. If the repository has moved, list the drift and verify whether it already closes any requirement before changing code.</w:t>
      </w:r>
    </w:p>
    <w:p>
      <w:pPr>
        <w:numPr>
          <w:ilvl w:val="0"/>
          <w:numId w:val="10"/>
        </w:numPr>
        <w:spacing w:after="40" w:line="254" w:lineRule="auto"/>
        <w:ind w:left="690" w:hanging="290"/>
      </w:pPr>
      <w:r>
        <w:rPr>
          <w:rFonts w:ascii="Calibri" w:hAnsi="Calibri"/>
          <w:color w:val="1F2937"/>
          <w:sz w:val="18"/>
        </w:rPr>
        <w:t>Read repository instructions, current git status, package scripts, migrations, product/content contracts, launch documents and relevant tests before editing. Preserve unrelated work; never use destructive git commands.</w:t>
      </w:r>
    </w:p>
    <w:p>
      <w:pPr>
        <w:numPr>
          <w:ilvl w:val="0"/>
          <w:numId w:val="10"/>
        </w:numPr>
        <w:spacing w:after="40" w:line="254" w:lineRule="auto"/>
        <w:ind w:left="690" w:hanging="290"/>
      </w:pPr>
      <w:r>
        <w:rPr>
          <w:rFonts w:ascii="Calibri" w:hAnsi="Calibri"/>
          <w:color w:val="1F2937"/>
          <w:sz w:val="18"/>
        </w:rPr>
        <w:t>Treat this as launch hardening, not a redesign or feature expansion. Reuse canonical services, components, schemas and analytics taxonomy. Fix only verified gaps and delete duplication only when behavior and data remain reachable.</w:t>
      </w:r>
    </w:p>
    <w:p>
      <w:pPr>
        <w:numPr>
          <w:ilvl w:val="0"/>
          <w:numId w:val="10"/>
        </w:numPr>
        <w:spacing w:after="40" w:line="254" w:lineRule="auto"/>
        <w:ind w:left="690" w:hanging="290"/>
      </w:pPr>
      <w:r>
        <w:rPr>
          <w:rFonts w:ascii="Calibri" w:hAnsi="Calibri"/>
          <w:color w:val="1F2937"/>
          <w:sz w:val="18"/>
        </w:rPr>
        <w:t>Deliver one reviewable vertical slice and, if repository policy permits, one intentional commit. Use additive migrations, bounded feature flags and an explicit rollback whenever behavior or persisted data changes.</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0"/>
        </w:numPr>
        <w:spacing w:after="40" w:line="254" w:lineRule="auto"/>
        <w:ind w:left="690" w:hanging="290"/>
      </w:pPr>
      <w:r>
        <w:rPr>
          <w:rFonts w:ascii="Calibri" w:hAnsi="Calibri"/>
          <w:color w:val="1F2937"/>
          <w:sz w:val="18"/>
        </w:rPr>
        <w:t>The commercial thesis is strong, but feature completeness and test counts do not prove customers finish, export, reuse or renew.</w:t>
      </w:r>
    </w:p>
    <w:p>
      <w:pPr>
        <w:numPr>
          <w:ilvl w:val="0"/>
          <w:numId w:val="10"/>
        </w:numPr>
        <w:spacing w:after="40" w:line="254" w:lineRule="auto"/>
        <w:ind w:left="690" w:hanging="290"/>
      </w:pPr>
      <w:r>
        <w:rPr>
          <w:rFonts w:ascii="Calibri" w:hAnsi="Calibri"/>
          <w:color w:val="1F2937"/>
          <w:sz w:val="18"/>
        </w:rPr>
        <w:t>More feature work before behavior evidence risks polishing the wrong friction. The next product decisions should come from a small, instrumented cohort and structured interviews.</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0"/>
        </w:numPr>
        <w:spacing w:after="40" w:line="254" w:lineRule="auto"/>
        <w:ind w:left="690" w:hanging="290"/>
      </w:pPr>
      <w:r>
        <w:rPr>
          <w:rFonts w:ascii="Calibri" w:hAnsi="Calibri"/>
          <w:color w:val="1F2937"/>
          <w:sz w:val="18"/>
        </w:rPr>
        <w:t>Launch only a controlled beta that measures whether Scalvya reduces real campaign rework and produces a handoff users will pay for, before broad acquisition.</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0"/>
        </w:numPr>
        <w:spacing w:after="40" w:line="254" w:lineRule="auto"/>
        <w:ind w:left="690" w:hanging="290"/>
      </w:pPr>
      <w:r>
        <w:rPr>
          <w:rFonts w:ascii="Calibri" w:hAnsi="Calibri"/>
          <w:color w:val="1F2937"/>
          <w:sz w:val="18"/>
        </w:rPr>
        <w:t>Inspect existing onboarding, product analytics, privacy boundaries, admin/readiness surfaces, feedback/support intake and subscription reporting. Reuse existing capability where sufficient.</w:t>
      </w:r>
    </w:p>
    <w:p>
      <w:pPr>
        <w:numPr>
          <w:ilvl w:val="0"/>
          <w:numId w:val="10"/>
        </w:numPr>
        <w:spacing w:after="40" w:line="254" w:lineRule="auto"/>
        <w:ind w:left="690" w:hanging="290"/>
      </w:pPr>
      <w:r>
        <w:rPr>
          <w:rFonts w:ascii="Calibri" w:hAnsi="Calibri"/>
          <w:color w:val="1F2937"/>
          <w:sz w:val="18"/>
        </w:rPr>
        <w:t>Define the smallest cohort and job: 15–25 target users who already launch offers and can complete one real campaign within the beta window.</w:t>
      </w:r>
    </w:p>
    <w:p>
      <w:pPr>
        <w:numPr>
          <w:ilvl w:val="0"/>
          <w:numId w:val="10"/>
        </w:numPr>
        <w:spacing w:after="40" w:line="254" w:lineRule="auto"/>
        <w:ind w:left="690" w:hanging="290"/>
      </w:pPr>
      <w:r>
        <w:rPr>
          <w:rFonts w:ascii="Calibri" w:hAnsi="Calibri"/>
          <w:color w:val="1F2937"/>
          <w:sz w:val="18"/>
        </w:rPr>
        <w:t>Baseline current activation, brief approval, first asset, review, handoff, reopen, support and billing events; identify where events are missing or leak content.</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0"/>
        </w:numPr>
        <w:spacing w:after="40" w:line="254" w:lineRule="auto"/>
        <w:ind w:left="690" w:hanging="290"/>
      </w:pPr>
      <w:r>
        <w:rPr>
          <w:rFonts w:ascii="Calibri" w:hAnsi="Calibri"/>
          <w:color w:val="1F2937"/>
          <w:sz w:val="18"/>
        </w:rPr>
        <w:t>Create an owner-operated beta plan with eligibility, cap, invitation, support channel, consent, success thresholds, stop rules and weekly decision cadence.</w:t>
      </w:r>
    </w:p>
    <w:p>
      <w:pPr>
        <w:numPr>
          <w:ilvl w:val="0"/>
          <w:numId w:val="10"/>
        </w:numPr>
        <w:spacing w:after="40" w:line="254" w:lineRule="auto"/>
        <w:ind w:left="690" w:hanging="290"/>
      </w:pPr>
      <w:r>
        <w:rPr>
          <w:rFonts w:ascii="Calibri" w:hAnsi="Calibri"/>
          <w:color w:val="1F2937"/>
          <w:sz w:val="18"/>
        </w:rPr>
        <w:t>Instrument a privacy-safe funnel: verified workspace → Brand complete → brief approved → first asset → multi-channel asset set → review opened/resolved → handoff/export → campaign reopened → trial charge/paid renewal/cancel/refund.</w:t>
      </w:r>
    </w:p>
    <w:p>
      <w:pPr>
        <w:numPr>
          <w:ilvl w:val="0"/>
          <w:numId w:val="10"/>
        </w:numPr>
        <w:spacing w:after="40" w:line="254" w:lineRule="auto"/>
        <w:ind w:left="690" w:hanging="290"/>
      </w:pPr>
      <w:r>
        <w:rPr>
          <w:rFonts w:ascii="Calibri" w:hAnsi="Calibri"/>
          <w:color w:val="1F2937"/>
          <w:sz w:val="18"/>
        </w:rPr>
        <w:t>Measure time-to-first-approved-brief, time-to-first-export, number of manual corrections/review blockers, export completion, week-2 return, support burden and refund/cancel reason using bounded categories.</w:t>
      </w:r>
    </w:p>
    <w:p>
      <w:pPr>
        <w:numPr>
          <w:ilvl w:val="0"/>
          <w:numId w:val="10"/>
        </w:numPr>
        <w:spacing w:after="40" w:line="254" w:lineRule="auto"/>
        <w:ind w:left="690" w:hanging="290"/>
      </w:pPr>
      <w:r>
        <w:rPr>
          <w:rFonts w:ascii="Calibri" w:hAnsi="Calibri"/>
          <w:color w:val="1F2937"/>
          <w:sz w:val="18"/>
        </w:rPr>
        <w:t>Add an in-product feedback moment after first handoff and after cancel/refund. Ask what job was completed, what still required manual work and whether the current price is justified; free text is optional and never enters analytics.</w:t>
      </w:r>
    </w:p>
    <w:p>
      <w:pPr>
        <w:numPr>
          <w:ilvl w:val="0"/>
          <w:numId w:val="10"/>
        </w:numPr>
        <w:spacing w:after="40" w:line="254" w:lineRule="auto"/>
        <w:ind w:left="690" w:hanging="290"/>
      </w:pPr>
      <w:r>
        <w:rPr>
          <w:rFonts w:ascii="Calibri" w:hAnsi="Calibri"/>
          <w:color w:val="1F2937"/>
          <w:sz w:val="18"/>
        </w:rPr>
        <w:t>Create a weekly beta scorecard with denominator, sample size, missing data, cohort definition, target, observed value and decision. Never hide no-data behind percentages.</w:t>
      </w:r>
    </w:p>
    <w:p>
      <w:pPr>
        <w:numPr>
          <w:ilvl w:val="0"/>
          <w:numId w:val="10"/>
        </w:numPr>
        <w:spacing w:after="40" w:line="254" w:lineRule="auto"/>
        <w:ind w:left="690" w:hanging="290"/>
      </w:pPr>
      <w:r>
        <w:rPr>
          <w:rFonts w:ascii="Calibri" w:hAnsi="Calibri"/>
          <w:color w:val="1F2937"/>
          <w:sz w:val="18"/>
        </w:rPr>
        <w:t>Freeze broad feature work during the beta. Route requests into problem categories and implement only P0 safety/money/data issues or repeated P1 blockers.</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0"/>
        </w:numPr>
        <w:spacing w:after="40" w:line="254" w:lineRule="auto"/>
        <w:ind w:left="690" w:hanging="290"/>
      </w:pPr>
      <w:r>
        <w:rPr>
          <w:rFonts w:ascii="Calibri" w:hAnsi="Calibri"/>
          <w:color w:val="1F2937"/>
          <w:sz w:val="18"/>
        </w:rPr>
        <w:t>Invitation and feedback copy must not promise outcomes, exclusivity or fake scarcity. Explain that it is a capped beta and support expectations are limited.</w:t>
      </w:r>
    </w:p>
    <w:p>
      <w:pPr>
        <w:numPr>
          <w:ilvl w:val="0"/>
          <w:numId w:val="10"/>
        </w:numPr>
        <w:spacing w:after="40" w:line="254" w:lineRule="auto"/>
        <w:ind w:left="690" w:hanging="290"/>
      </w:pPr>
      <w:r>
        <w:rPr>
          <w:rFonts w:ascii="Calibri" w:hAnsi="Calibri"/>
          <w:color w:val="1F2937"/>
          <w:sz w:val="18"/>
        </w:rPr>
        <w:t>Ask price/value questions neutrally; do not lead users toward confirming the current plans.</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0"/>
        </w:numPr>
        <w:spacing w:after="40" w:line="254" w:lineRule="auto"/>
        <w:ind w:left="690" w:hanging="290"/>
      </w:pPr>
      <w:r>
        <w:rPr>
          <w:rFonts w:ascii="Calibri" w:hAnsi="Calibri"/>
          <w:color w:val="1F2937"/>
          <w:sz w:val="18"/>
        </w:rPr>
        <w:t>Analytics uses opaque IDs and bounded properties only. Campaign/asset names, copy, prompt text, evidence URLs and feedback free text never enter event payloads.</w:t>
      </w:r>
    </w:p>
    <w:p>
      <w:pPr>
        <w:numPr>
          <w:ilvl w:val="0"/>
          <w:numId w:val="10"/>
        </w:numPr>
        <w:spacing w:after="40" w:line="254" w:lineRule="auto"/>
        <w:ind w:left="690" w:hanging="290"/>
      </w:pPr>
      <w:r>
        <w:rPr>
          <w:rFonts w:ascii="Calibri" w:hAnsi="Calibri"/>
          <w:color w:val="1F2937"/>
          <w:sz w:val="18"/>
        </w:rPr>
        <w:t>Access to beta scorecards is owner/admin scoped; minimum-cell suppression prevents identifying tiny subgroups.</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0"/>
        </w:numPr>
        <w:spacing w:after="40" w:line="254" w:lineRule="auto"/>
        <w:ind w:left="690" w:hanging="290"/>
      </w:pPr>
      <w:r>
        <w:rPr>
          <w:rFonts w:ascii="Calibri" w:hAnsi="Calibri"/>
          <w:color w:val="1F2937"/>
          <w:sz w:val="18"/>
        </w:rPr>
        <w:t>Do not expand acquisition beyond the cap until launch gates pass.</w:t>
      </w:r>
    </w:p>
    <w:p>
      <w:pPr>
        <w:numPr>
          <w:ilvl w:val="0"/>
          <w:numId w:val="10"/>
        </w:numPr>
        <w:spacing w:after="40" w:line="254" w:lineRule="auto"/>
        <w:ind w:left="690" w:hanging="290"/>
      </w:pPr>
      <w:r>
        <w:rPr>
          <w:rFonts w:ascii="Calibri" w:hAnsi="Calibri"/>
          <w:color w:val="1F2937"/>
          <w:sz w:val="18"/>
        </w:rPr>
        <w:t>Do not add a new analytics warehouse or duplicate subscription truth.</w:t>
      </w:r>
    </w:p>
    <w:p>
      <w:pPr>
        <w:numPr>
          <w:ilvl w:val="0"/>
          <w:numId w:val="10"/>
        </w:numPr>
        <w:spacing w:after="40" w:line="254" w:lineRule="auto"/>
        <w:ind w:left="690" w:hanging="290"/>
      </w:pPr>
      <w:r>
        <w:rPr>
          <w:rFonts w:ascii="Calibri" w:hAnsi="Calibri"/>
          <w:color w:val="1F2937"/>
          <w:sz w:val="18"/>
        </w:rPr>
        <w:t>Do not manipulate product access based on sensitive inferred behavior.</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0"/>
        </w:numPr>
        <w:spacing w:after="40" w:line="254" w:lineRule="auto"/>
        <w:ind w:left="690" w:hanging="290"/>
      </w:pPr>
      <w:r>
        <w:rPr>
          <w:rFonts w:ascii="Calibri" w:hAnsi="Calibri"/>
          <w:color w:val="1F2937"/>
          <w:sz w:val="18"/>
        </w:rPr>
        <w:t>The owner can identify activation, first value, handoff, return, payment and churn without reading customer content.</w:t>
      </w:r>
    </w:p>
    <w:p>
      <w:pPr>
        <w:numPr>
          <w:ilvl w:val="0"/>
          <w:numId w:val="10"/>
        </w:numPr>
        <w:spacing w:after="40" w:line="254" w:lineRule="auto"/>
        <w:ind w:left="690" w:hanging="290"/>
      </w:pPr>
      <w:r>
        <w:rPr>
          <w:rFonts w:ascii="Calibri" w:hAnsi="Calibri"/>
          <w:color w:val="1F2937"/>
          <w:sz w:val="18"/>
        </w:rPr>
        <w:t>Every metric has an exact numerator, denominator, window and no-data state.</w:t>
      </w:r>
    </w:p>
    <w:p>
      <w:pPr>
        <w:numPr>
          <w:ilvl w:val="0"/>
          <w:numId w:val="10"/>
        </w:numPr>
        <w:spacing w:after="40" w:line="254" w:lineRule="auto"/>
        <w:ind w:left="690" w:hanging="290"/>
      </w:pPr>
      <w:r>
        <w:rPr>
          <w:rFonts w:ascii="Calibri" w:hAnsi="Calibri"/>
          <w:color w:val="1F2937"/>
          <w:sz w:val="18"/>
        </w:rPr>
        <w:t>Beta decisions explicitly choose keep/fix/stop rather than automatically adding requested features.</w:t>
      </w:r>
    </w:p>
    <w:p>
      <w:pPr>
        <w:numPr>
          <w:ilvl w:val="0"/>
          <w:numId w:val="10"/>
        </w:numPr>
        <w:spacing w:after="40" w:line="254" w:lineRule="auto"/>
        <w:ind w:left="690" w:hanging="290"/>
      </w:pPr>
      <w:r>
        <w:rPr>
          <w:rFonts w:ascii="Calibri" w:hAnsi="Calibri"/>
          <w:color w:val="1F2937"/>
          <w:sz w:val="18"/>
        </w:rPr>
        <w:t>Public paid launch remains blocked until hard billing evidence and minimum value thresholds are met.</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0"/>
        </w:numPr>
        <w:spacing w:after="40" w:line="254" w:lineRule="auto"/>
        <w:ind w:left="690" w:hanging="290"/>
      </w:pPr>
      <w:r>
        <w:rPr>
          <w:rFonts w:ascii="Calibri" w:hAnsi="Calibri"/>
          <w:color w:val="1F2937"/>
          <w:sz w:val="18"/>
        </w:rPr>
        <w:t>Test event schemas, redaction, duplicate suppression, cohort isolation and scorecard no-data/small-cell behavior with synthetic fixtures.</w:t>
      </w:r>
    </w:p>
    <w:p>
      <w:pPr>
        <w:numPr>
          <w:ilvl w:val="0"/>
          <w:numId w:val="10"/>
        </w:numPr>
        <w:spacing w:after="40" w:line="254" w:lineRule="auto"/>
        <w:ind w:left="690" w:hanging="290"/>
      </w:pPr>
      <w:r>
        <w:rPr>
          <w:rFonts w:ascii="Calibri" w:hAnsi="Calibri"/>
          <w:color w:val="1F2937"/>
          <w:sz w:val="18"/>
        </w:rPr>
        <w:t>Run the repository’s complete lint, typecheck where applicable, unit/contract/safety tests, production build and all relevant Playwright journeys. Add targeted failure, keyboard, screen-reader-semantic and 320/375px tests for this change.</w:t>
      </w:r>
    </w:p>
    <w:p>
      <w:pPr>
        <w:numPr>
          <w:ilvl w:val="0"/>
          <w:numId w:val="10"/>
        </w:numPr>
        <w:spacing w:after="40" w:line="254" w:lineRule="auto"/>
        <w:ind w:left="690" w:hanging="290"/>
      </w:pPr>
      <w:r>
        <w:rPr>
          <w:rFonts w:ascii="Calibri" w:hAnsi="Calibri"/>
          <w:color w:val="1F2937"/>
          <w:sz w:val="18"/>
        </w:rPr>
        <w:t>Run git diff --check. Review the complete diff for duplicated truth, leaked PII/content, secrets, inaccessible states, unsupported claims, stale generated artifacts, broad formatting churn and unrelated changes.</w:t>
      </w:r>
    </w:p>
    <w:p>
      <w:pPr>
        <w:numPr>
          <w:ilvl w:val="0"/>
          <w:numId w:val="10"/>
        </w:numPr>
        <w:spacing w:after="40" w:line="254" w:lineRule="auto"/>
        <w:ind w:left="690" w:hanging="290"/>
      </w:pPr>
      <w:r>
        <w:rPr>
          <w:rFonts w:ascii="Calibri" w:hAnsi="Calibri"/>
          <w:color w:val="1F2937"/>
          <w:sz w:val="18"/>
        </w:rPr>
        <w:t>Return a structured handoff: outcome; changed files by product area; migrations/config/flags; analytics impact; exact commands with pass/fail/skipped counts; screenshots or artifacts where required; rollback; assumptions; remaining P0/P1/external blockers. Never report an unrun or skipped check as green.</w:t>
      </w:r>
    </w:p>
    <w:p>
      <w:pPr>
        <w:pStyle w:val="Heading2"/>
        <w:pageBreakBefore/>
      </w:pPr>
      <w:r>
        <w:rPr>
          <w:rFonts w:ascii="Calibri" w:hAnsi="Calibri"/>
          <w:b/>
          <w:color w:val="2E74B5"/>
          <w:sz w:val="29"/>
        </w:rPr>
        <w:t>SC-V11-08  |  Freeze the current-head release candidate and enforce the public-launch gate</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Freeze one reproducible Scalvya RC after prompts 00–07 and issue an evidence-backed GO/NO-GO that cannot be bypassed by a deploy badge or test-count headline.</w:t>
      </w:r>
    </w:p>
    <w:p>
      <w:pPr>
        <w:spacing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0"/>
        </w:numPr>
        <w:spacing w:after="40" w:line="254" w:lineRule="auto"/>
        <w:ind w:left="690" w:hanging="290"/>
      </w:pPr>
      <w:r>
        <w:rPr>
          <w:rFonts w:ascii="Calibri" w:hAnsi="Calibri"/>
          <w:color w:val="1F2937"/>
          <w:sz w:val="18"/>
        </w:rPr>
        <w:t>You are Claude Code working directly in primocera/LaunchBloom. Implement this vertical slice in the real application; do not stop at an audit, recommendations, pseudo-code, a mockup or a list of copy ideas.</w:t>
      </w:r>
    </w:p>
    <w:p>
      <w:pPr>
        <w:numPr>
          <w:ilvl w:val="0"/>
          <w:numId w:val="10"/>
        </w:numPr>
        <w:spacing w:after="40" w:line="254" w:lineRule="auto"/>
        <w:ind w:left="690" w:hanging="290"/>
      </w:pPr>
      <w:r>
        <w:rPr>
          <w:rFonts w:ascii="Calibri" w:hAnsi="Calibri"/>
          <w:color w:val="1F2937"/>
          <w:sz w:val="18"/>
        </w:rPr>
        <w:t>Confirm the current branch and HEAD. Compare it with reviewed baseline 445d29e488d198ceaacceac59950697c00b9765c. If the repository has moved, list the drift and verify whether it already closes any requirement before changing code.</w:t>
      </w:r>
    </w:p>
    <w:p>
      <w:pPr>
        <w:numPr>
          <w:ilvl w:val="0"/>
          <w:numId w:val="10"/>
        </w:numPr>
        <w:spacing w:after="40" w:line="254" w:lineRule="auto"/>
        <w:ind w:left="690" w:hanging="290"/>
      </w:pPr>
      <w:r>
        <w:rPr>
          <w:rFonts w:ascii="Calibri" w:hAnsi="Calibri"/>
          <w:color w:val="1F2937"/>
          <w:sz w:val="18"/>
        </w:rPr>
        <w:t>Read repository instructions, current git status, package scripts, migrations, product/content contracts, launch documents and relevant tests before editing. Preserve unrelated work; never use destructive git commands.</w:t>
      </w:r>
    </w:p>
    <w:p>
      <w:pPr>
        <w:numPr>
          <w:ilvl w:val="0"/>
          <w:numId w:val="10"/>
        </w:numPr>
        <w:spacing w:after="40" w:line="254" w:lineRule="auto"/>
        <w:ind w:left="690" w:hanging="290"/>
      </w:pPr>
      <w:r>
        <w:rPr>
          <w:rFonts w:ascii="Calibri" w:hAnsi="Calibri"/>
          <w:color w:val="1F2937"/>
          <w:sz w:val="18"/>
        </w:rPr>
        <w:t>Treat this as launch hardening, not a redesign or feature expansion. Reuse canonical services, components, schemas and analytics taxonomy. Fix only verified gaps and delete duplication only when behavior and data remain reachable.</w:t>
      </w:r>
    </w:p>
    <w:p>
      <w:pPr>
        <w:numPr>
          <w:ilvl w:val="0"/>
          <w:numId w:val="10"/>
        </w:numPr>
        <w:spacing w:after="40" w:line="254" w:lineRule="auto"/>
        <w:ind w:left="690" w:hanging="290"/>
      </w:pPr>
      <w:r>
        <w:rPr>
          <w:rFonts w:ascii="Calibri" w:hAnsi="Calibri"/>
          <w:color w:val="1F2937"/>
          <w:sz w:val="18"/>
        </w:rPr>
        <w:t>Deliver one reviewable vertical slice and, if repository policy permits, one intentional commit. Use additive migrations, bounded feature flags and an explicit rollback whenever behavior or persisted data changes.</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0"/>
        </w:numPr>
        <w:spacing w:after="40" w:line="254" w:lineRule="auto"/>
        <w:ind w:left="690" w:hanging="290"/>
      </w:pPr>
      <w:r>
        <w:rPr>
          <w:rFonts w:ascii="Calibri" w:hAnsi="Calibri"/>
          <w:color w:val="1F2937"/>
          <w:sz w:val="18"/>
        </w:rPr>
        <w:t>Every post-RC commit invalidates prior browser, export, live-provider and performance evidence. The launch decision must bind code, migrations, frontend bundle and evidence to one SHA.</w:t>
      </w:r>
    </w:p>
    <w:p>
      <w:pPr>
        <w:numPr>
          <w:ilvl w:val="0"/>
          <w:numId w:val="10"/>
        </w:numPr>
        <w:spacing w:after="40" w:line="254" w:lineRule="auto"/>
        <w:ind w:left="690" w:hanging="290"/>
      </w:pPr>
      <w:r>
        <w:rPr>
          <w:rFonts w:ascii="Calibri" w:hAnsi="Calibri"/>
          <w:color w:val="1F2937"/>
          <w:sz w:val="18"/>
        </w:rPr>
        <w:t>A limited beta and an unrestricted public paid launch are different risk decisions and need different gates.</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0"/>
        </w:numPr>
        <w:spacing w:after="40" w:line="254" w:lineRule="auto"/>
        <w:ind w:left="690" w:hanging="290"/>
      </w:pPr>
      <w:r>
        <w:rPr>
          <w:rFonts w:ascii="Calibri" w:hAnsi="Calibri"/>
          <w:color w:val="1F2937"/>
          <w:sz w:val="18"/>
        </w:rPr>
        <w:t>Freeze one reproducible Scalvya RC after prompts 00–07 and issue an evidence-backed GO/NO-GO that cannot be bypassed by a deploy badge or test-count headline.</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0"/>
        </w:numPr>
        <w:spacing w:after="40" w:line="254" w:lineRule="auto"/>
        <w:ind w:left="690" w:hanging="290"/>
      </w:pPr>
      <w:r>
        <w:rPr>
          <w:rFonts w:ascii="Calibri" w:hAnsi="Calibri"/>
          <w:color w:val="1F2937"/>
          <w:sz w:val="18"/>
        </w:rPr>
        <w:t>Review the complete v11 diff/range, canonical launch manifest, migrations, flags, asset prompt/schema versions, public/auth E2E, export artifacts, security/privacy checks, owner live evidence and beta scorecard.</w:t>
      </w:r>
    </w:p>
    <w:p>
      <w:pPr>
        <w:numPr>
          <w:ilvl w:val="0"/>
          <w:numId w:val="10"/>
        </w:numPr>
        <w:spacing w:after="40" w:line="254" w:lineRule="auto"/>
        <w:ind w:left="690" w:hanging="290"/>
      </w:pPr>
      <w:r>
        <w:rPr>
          <w:rFonts w:ascii="Calibri" w:hAnsi="Calibri"/>
          <w:color w:val="1F2937"/>
          <w:sz w:val="18"/>
        </w:rPr>
        <w:t>Trace anonymous landing → signup → verification → Brand → Campaign Brief → trial/payment decision → all five creation paths → Review → Library → Export/Handoff → cancel/recover/refund → export/delete.</w:t>
      </w:r>
    </w:p>
    <w:p>
      <w:pPr>
        <w:numPr>
          <w:ilvl w:val="0"/>
          <w:numId w:val="10"/>
        </w:numPr>
        <w:spacing w:after="40" w:line="254" w:lineRule="auto"/>
        <w:ind w:left="690" w:hanging="290"/>
      </w:pPr>
      <w:r>
        <w:rPr>
          <w:rFonts w:ascii="Calibri" w:hAnsi="Calibri"/>
          <w:color w:val="1F2937"/>
          <w:sz w:val="18"/>
        </w:rPr>
        <w:t>List every open P0/P1, skipped test, owner-only action, unknown performance limit and evidence item not pinned to the candidate SHA/environment.</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0"/>
        </w:numPr>
        <w:spacing w:after="40" w:line="254" w:lineRule="auto"/>
        <w:ind w:left="690" w:hanging="290"/>
      </w:pPr>
      <w:r>
        <w:rPr>
          <w:rFonts w:ascii="Calibri" w:hAnsi="Calibri"/>
          <w:color w:val="1F2937"/>
          <w:sz w:val="18"/>
        </w:rPr>
        <w:t>Freeze the exact RC SHA, migration set, bundle/build ID, environment class and required checks. Prevent release docs from silently following later main.</w:t>
      </w:r>
    </w:p>
    <w:p>
      <w:pPr>
        <w:numPr>
          <w:ilvl w:val="0"/>
          <w:numId w:val="10"/>
        </w:numPr>
        <w:spacing w:after="40" w:line="254" w:lineRule="auto"/>
        <w:ind w:left="690" w:hanging="290"/>
      </w:pPr>
      <w:r>
        <w:rPr>
          <w:rFonts w:ascii="Calibri" w:hAnsi="Calibri"/>
          <w:color w:val="1F2937"/>
          <w:sz w:val="18"/>
        </w:rPr>
        <w:t>Run public and authenticated browser matrices on desktop/mobile/keyboard, full unit/contract/security suites, production build, migration/rollback dry run, export rendering, release checks and measured performance.</w:t>
      </w:r>
    </w:p>
    <w:p>
      <w:pPr>
        <w:numPr>
          <w:ilvl w:val="0"/>
          <w:numId w:val="10"/>
        </w:numPr>
        <w:spacing w:after="40" w:line="254" w:lineRule="auto"/>
        <w:ind w:left="690" w:hanging="290"/>
      </w:pPr>
      <w:r>
        <w:rPr>
          <w:rFonts w:ascii="Calibri" w:hAnsi="Calibri"/>
          <w:color w:val="1F2937"/>
          <w:sz w:val="18"/>
        </w:rPr>
        <w:t>Verify five creation paths and canonical statuses/copy remain unchanged. Exercise unauthorized access, stale edit, duplicate generation/webhook, provider failure, oversized export, billing recovery and account export/delete.</w:t>
      </w:r>
    </w:p>
    <w:p>
      <w:pPr>
        <w:numPr>
          <w:ilvl w:val="0"/>
          <w:numId w:val="10"/>
        </w:numPr>
        <w:spacing w:after="40" w:line="254" w:lineRule="auto"/>
        <w:ind w:left="690" w:hanging="290"/>
      </w:pPr>
      <w:r>
        <w:rPr>
          <w:rFonts w:ascii="Calibri" w:hAnsi="Calibri"/>
          <w:color w:val="1F2937"/>
          <w:sz w:val="18"/>
        </w:rPr>
        <w:t>Attach owner evidence for real charge/cancel/reactivate/recover/refund, Resend suppression/transactional delivery and configured AI spend ceiling. Missing evidence remains NO-GO.</w:t>
      </w:r>
    </w:p>
    <w:p>
      <w:pPr>
        <w:numPr>
          <w:ilvl w:val="0"/>
          <w:numId w:val="10"/>
        </w:numPr>
        <w:spacing w:after="40" w:line="254" w:lineRule="auto"/>
        <w:ind w:left="690" w:hanging="290"/>
      </w:pPr>
      <w:r>
        <w:rPr>
          <w:rFonts w:ascii="Calibri" w:hAnsi="Calibri"/>
          <w:color w:val="1F2937"/>
          <w:sz w:val="18"/>
        </w:rPr>
        <w:t>Define separate verdicts: limited capped beta and unrestricted public paid launch. State exact conditions for each, owner, deadline, rollback and incident contact.</w:t>
      </w:r>
    </w:p>
    <w:p>
      <w:pPr>
        <w:numPr>
          <w:ilvl w:val="0"/>
          <w:numId w:val="10"/>
        </w:numPr>
        <w:spacing w:after="40" w:line="254" w:lineRule="auto"/>
        <w:ind w:left="690" w:hanging="290"/>
      </w:pPr>
      <w:r>
        <w:rPr>
          <w:rFonts w:ascii="Calibri" w:hAnsi="Calibri"/>
          <w:color w:val="1F2937"/>
          <w:sz w:val="18"/>
        </w:rPr>
        <w:t>Lock feature work during candidate verification; any code change creates a new candidate and requires affected evidence to rerun.</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0"/>
        </w:numPr>
        <w:spacing w:after="40" w:line="254" w:lineRule="auto"/>
        <w:ind w:left="690" w:hanging="290"/>
      </w:pPr>
      <w:r>
        <w:rPr>
          <w:rFonts w:ascii="Calibri" w:hAnsi="Calibri"/>
          <w:color w:val="1F2937"/>
          <w:sz w:val="18"/>
        </w:rPr>
        <w:t>Public copy must match implemented scope, pricing, trial, social/SEO limitations, human-review responsibility and support policy.</w:t>
      </w:r>
    </w:p>
    <w:p>
      <w:pPr>
        <w:numPr>
          <w:ilvl w:val="0"/>
          <w:numId w:val="10"/>
        </w:numPr>
        <w:spacing w:after="40" w:line="254" w:lineRule="auto"/>
        <w:ind w:left="690" w:hanging="290"/>
      </w:pPr>
      <w:r>
        <w:rPr>
          <w:rFonts w:ascii="Calibri" w:hAnsi="Calibri"/>
          <w:color w:val="1F2937"/>
          <w:sz w:val="18"/>
        </w:rPr>
        <w:t>Use only configured, tested, CI-verified, live-rehearsed and observed labels with evidence.</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0"/>
        </w:numPr>
        <w:spacing w:after="40" w:line="254" w:lineRule="auto"/>
        <w:ind w:left="690" w:hanging="290"/>
      </w:pPr>
      <w:r>
        <w:rPr>
          <w:rFonts w:ascii="Calibri" w:hAnsi="Calibri"/>
          <w:color w:val="1F2937"/>
          <w:sz w:val="18"/>
        </w:rPr>
        <w:t>Pin schema/migration/prompt/bundle versions and ensure release health reveals no secret or user content.</w:t>
      </w:r>
    </w:p>
    <w:p>
      <w:pPr>
        <w:numPr>
          <w:ilvl w:val="0"/>
          <w:numId w:val="10"/>
        </w:numPr>
        <w:spacing w:after="40" w:line="254" w:lineRule="auto"/>
        <w:ind w:left="690" w:hanging="290"/>
      </w:pPr>
      <w:r>
        <w:rPr>
          <w:rFonts w:ascii="Calibri" w:hAnsi="Calibri"/>
          <w:color w:val="1F2937"/>
          <w:sz w:val="18"/>
        </w:rPr>
        <w:t>Re-run log, analytics, email and artifact redaction at the final SHA.</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0"/>
        </w:numPr>
        <w:spacing w:after="40" w:line="254" w:lineRule="auto"/>
        <w:ind w:left="690" w:hanging="290"/>
      </w:pPr>
      <w:r>
        <w:rPr>
          <w:rFonts w:ascii="Calibri" w:hAnsi="Calibri"/>
          <w:color w:val="1F2937"/>
          <w:sz w:val="18"/>
        </w:rPr>
        <w:t>Do not add features, refactor broadly or change brand direction during this prompt.</w:t>
      </w:r>
    </w:p>
    <w:p>
      <w:pPr>
        <w:numPr>
          <w:ilvl w:val="0"/>
          <w:numId w:val="10"/>
        </w:numPr>
        <w:spacing w:after="40" w:line="254" w:lineRule="auto"/>
        <w:ind w:left="690" w:hanging="290"/>
      </w:pPr>
      <w:r>
        <w:rPr>
          <w:rFonts w:ascii="Calibri" w:hAnsi="Calibri"/>
          <w:color w:val="1F2937"/>
          <w:sz w:val="18"/>
        </w:rPr>
        <w:t>Do not mark GO with open money, data-loss, auth, privacy, export-integrity or current-head E2E blockers.</w:t>
      </w:r>
    </w:p>
    <w:p>
      <w:pPr>
        <w:numPr>
          <w:ilvl w:val="0"/>
          <w:numId w:val="10"/>
        </w:numPr>
        <w:spacing w:after="40" w:line="254" w:lineRule="auto"/>
        <w:ind w:left="690" w:hanging="290"/>
      </w:pPr>
      <w:r>
        <w:rPr>
          <w:rFonts w:ascii="Calibri" w:hAnsi="Calibri"/>
          <w:color w:val="1F2937"/>
          <w:sz w:val="18"/>
        </w:rPr>
        <w:t>Do not treat skipped live/provider checks as green.</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0"/>
        </w:numPr>
        <w:spacing w:after="40" w:line="254" w:lineRule="auto"/>
        <w:ind w:left="690" w:hanging="290"/>
      </w:pPr>
      <w:r>
        <w:rPr>
          <w:rFonts w:ascii="Calibri" w:hAnsi="Calibri"/>
          <w:color w:val="1F2937"/>
          <w:sz w:val="18"/>
        </w:rPr>
        <w:t>All automated gates pass at the exact candidate SHA and are visible to the owner.</w:t>
      </w:r>
    </w:p>
    <w:p>
      <w:pPr>
        <w:numPr>
          <w:ilvl w:val="0"/>
          <w:numId w:val="10"/>
        </w:numPr>
        <w:spacing w:after="40" w:line="254" w:lineRule="auto"/>
        <w:ind w:left="690" w:hanging="290"/>
      </w:pPr>
      <w:r>
        <w:rPr>
          <w:rFonts w:ascii="Calibri" w:hAnsi="Calibri"/>
          <w:color w:val="1F2937"/>
          <w:sz w:val="18"/>
        </w:rPr>
        <w:t>Owner-run evidence is complete and references the same production release/environment.</w:t>
      </w:r>
    </w:p>
    <w:p>
      <w:pPr>
        <w:numPr>
          <w:ilvl w:val="0"/>
          <w:numId w:val="10"/>
        </w:numPr>
        <w:spacing w:after="40" w:line="254" w:lineRule="auto"/>
        <w:ind w:left="690" w:hanging="290"/>
      </w:pPr>
      <w:r>
        <w:rPr>
          <w:rFonts w:ascii="Calibri" w:hAnsi="Calibri"/>
          <w:color w:val="1F2937"/>
          <w:sz w:val="18"/>
        </w:rPr>
        <w:t>Limited-beta and public-paid verdicts are independently justified.</w:t>
      </w:r>
    </w:p>
    <w:p>
      <w:pPr>
        <w:numPr>
          <w:ilvl w:val="0"/>
          <w:numId w:val="10"/>
        </w:numPr>
        <w:spacing w:after="40" w:line="254" w:lineRule="auto"/>
        <w:ind w:left="690" w:hanging="290"/>
      </w:pPr>
      <w:r>
        <w:rPr>
          <w:rFonts w:ascii="Calibri" w:hAnsi="Calibri"/>
          <w:color w:val="1F2937"/>
          <w:sz w:val="18"/>
        </w:rPr>
        <w:t>Rollback and incident paths are reproducible, data-safe and tested where safe.</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0"/>
        </w:numPr>
        <w:spacing w:after="40" w:line="254" w:lineRule="auto"/>
        <w:ind w:left="690" w:hanging="290"/>
      </w:pPr>
      <w:r>
        <w:rPr>
          <w:rFonts w:ascii="Calibri" w:hAnsi="Calibri"/>
          <w:color w:val="1F2937"/>
          <w:sz w:val="18"/>
        </w:rPr>
        <w:t>Produce the final launch manifest, concise executive verdict and machine-readable gate output. If any required item is unknown, preserve NO-GO and name the exact closure action.</w:t>
      </w:r>
    </w:p>
    <w:p>
      <w:pPr>
        <w:numPr>
          <w:ilvl w:val="0"/>
          <w:numId w:val="10"/>
        </w:numPr>
        <w:spacing w:after="40" w:line="254" w:lineRule="auto"/>
        <w:ind w:left="690" w:hanging="290"/>
      </w:pPr>
      <w:r>
        <w:rPr>
          <w:rFonts w:ascii="Calibri" w:hAnsi="Calibri"/>
          <w:color w:val="1F2937"/>
          <w:sz w:val="18"/>
        </w:rPr>
        <w:t>Run the repository’s complete lint, typecheck where applicable, unit/contract/safety tests, production build and all relevant Playwright journeys. Add targeted failure, keyboard, screen-reader-semantic and 320/375px tests for this change.</w:t>
      </w:r>
    </w:p>
    <w:p>
      <w:pPr>
        <w:numPr>
          <w:ilvl w:val="0"/>
          <w:numId w:val="10"/>
        </w:numPr>
        <w:spacing w:after="40" w:line="254" w:lineRule="auto"/>
        <w:ind w:left="690" w:hanging="290"/>
      </w:pPr>
      <w:r>
        <w:rPr>
          <w:rFonts w:ascii="Calibri" w:hAnsi="Calibri"/>
          <w:color w:val="1F2937"/>
          <w:sz w:val="18"/>
        </w:rPr>
        <w:t>Run git diff --check. Review the complete diff for duplicated truth, leaked PII/content, secrets, inaccessible states, unsupported claims, stale generated artifacts, broad formatting churn and unrelated changes.</w:t>
      </w:r>
    </w:p>
    <w:p>
      <w:pPr>
        <w:numPr>
          <w:ilvl w:val="0"/>
          <w:numId w:val="10"/>
        </w:numPr>
        <w:spacing w:after="40" w:line="254" w:lineRule="auto"/>
        <w:ind w:left="690" w:hanging="290"/>
      </w:pPr>
      <w:r>
        <w:rPr>
          <w:rFonts w:ascii="Calibri" w:hAnsi="Calibri"/>
          <w:color w:val="1F2937"/>
          <w:sz w:val="18"/>
        </w:rPr>
        <w:t>Return a structured handoff: outcome; changed files by product area; migrations/config/flags; analytics impact; exact commands with pass/fail/skipped counts; screenshots or artifacts where required; rollback; assumptions; remaining P0/P1/external blockers. Never report an unrun or skipped check as green.</w:t>
      </w:r>
    </w:p>
    <w:p>
      <w:r>
        <w:br w:type="page"/>
      </w:r>
    </w:p>
    <w:p>
      <w:pPr>
        <w:pStyle w:val="Heading1"/>
      </w:pPr>
      <w:r>
        <w:t>Skupni launch definition of done</w:t>
      </w:r>
    </w:p>
    <w:p>
      <w:pPr>
        <w:numPr>
          <w:ilvl w:val="0"/>
          <w:numId w:val="10"/>
        </w:numPr>
        <w:spacing w:after="80" w:line="300" w:lineRule="auto"/>
        <w:ind w:left="540" w:hanging="271"/>
      </w:pPr>
      <w:r>
        <w:rPr>
          <w:rFonts w:ascii="Calibri" w:hAnsi="Calibri"/>
          <w:color w:val="1F2937"/>
          <w:sz w:val="21"/>
        </w:rPr>
        <w:t>Value: beta uporabnik dokonča dejanski job, se vrne in razumno potrdi, da rezultat ali prilagoditev upraviči ceno; feature count ni dokaz vrednosti.</w:t>
      </w:r>
    </w:p>
    <w:p>
      <w:pPr>
        <w:numPr>
          <w:ilvl w:val="0"/>
          <w:numId w:val="10"/>
        </w:numPr>
        <w:spacing w:after="80" w:line="300" w:lineRule="auto"/>
        <w:ind w:left="540" w:hanging="271"/>
      </w:pPr>
      <w:r>
        <w:rPr>
          <w:rFonts w:ascii="Calibri" w:hAnsi="Calibri"/>
          <w:color w:val="1F2937"/>
          <w:sz w:val="21"/>
        </w:rPr>
        <w:t>Truth: landing, UI, email, trial, cene, statusi, varnost in operativni dokumenti se ujemajo s canonical server behavior na istem SHA.</w:t>
      </w:r>
    </w:p>
    <w:p>
      <w:pPr>
        <w:numPr>
          <w:ilvl w:val="0"/>
          <w:numId w:val="10"/>
        </w:numPr>
        <w:spacing w:after="80" w:line="300" w:lineRule="auto"/>
        <w:ind w:left="540" w:hanging="271"/>
      </w:pPr>
      <w:r>
        <w:rPr>
          <w:rFonts w:ascii="Calibri" w:hAnsi="Calibri"/>
          <w:color w:val="1F2937"/>
          <w:sz w:val="21"/>
        </w:rPr>
        <w:t>UX: ena jasna naslednja akcija, delujoč 320/375px mobile, keyboard, screen reader, 200% zoom, focus in recovery brez izgube dela.</w:t>
      </w:r>
    </w:p>
    <w:p>
      <w:pPr>
        <w:numPr>
          <w:ilvl w:val="0"/>
          <w:numId w:val="10"/>
        </w:numPr>
        <w:spacing w:after="80" w:line="300" w:lineRule="auto"/>
        <w:ind w:left="540" w:hanging="271"/>
      </w:pPr>
      <w:r>
        <w:rPr>
          <w:rFonts w:ascii="Calibri" w:hAnsi="Calibri"/>
          <w:color w:val="1F2937"/>
          <w:sz w:val="21"/>
        </w:rPr>
        <w:t>Reliability: retry, stale tab, partial failure, duplicate webhook/cron in provider failure ne povzročijo dvojnega stroška, napačnega statusa ali korupcije.</w:t>
      </w:r>
    </w:p>
    <w:p>
      <w:pPr>
        <w:numPr>
          <w:ilvl w:val="0"/>
          <w:numId w:val="10"/>
        </w:numPr>
        <w:spacing w:after="80" w:line="300" w:lineRule="auto"/>
        <w:ind w:left="540" w:hanging="271"/>
      </w:pPr>
      <w:r>
        <w:rPr>
          <w:rFonts w:ascii="Calibri" w:hAnsi="Calibri"/>
          <w:color w:val="1F2937"/>
          <w:sz w:val="21"/>
        </w:rPr>
        <w:t>Privacy and safety: nobena občutljiva vsebina ne vstopi v analytics, loge, email subjecte, screenshot fixture ali javni cache; hard gates ostanejo fail-closed.</w:t>
      </w:r>
    </w:p>
    <w:p>
      <w:pPr>
        <w:numPr>
          <w:ilvl w:val="0"/>
          <w:numId w:val="10"/>
        </w:numPr>
        <w:spacing w:after="80" w:line="300" w:lineRule="auto"/>
        <w:ind w:left="540" w:hanging="271"/>
      </w:pPr>
      <w:r>
        <w:rPr>
          <w:rFonts w:ascii="Calibri" w:hAnsi="Calibri"/>
          <w:color w:val="1F2937"/>
          <w:sz w:val="21"/>
        </w:rPr>
        <w:t>Operations: migracije, flags, spend/limits, rollback, alerti, owner-run live evidence in incident pot so reproducibilni in pripeti na kandidatni SHA.</w:t>
      </w:r>
    </w:p>
    <w:p>
      <w:pPr>
        <w:numPr>
          <w:ilvl w:val="0"/>
          <w:numId w:val="10"/>
        </w:numPr>
        <w:spacing w:after="80" w:line="300" w:lineRule="auto"/>
        <w:ind w:left="540" w:hanging="271"/>
      </w:pPr>
      <w:r>
        <w:rPr>
          <w:rFonts w:ascii="Calibri" w:hAnsi="Calibri"/>
          <w:color w:val="1F2937"/>
          <w:sz w:val="21"/>
        </w:rPr>
        <w:t>Evidence: vsak gate razlikuje not run, skipped, tested, CI/preview verified, live rehearsed in observed. Unknown nikoli ne pomeni pass.</w:t>
      </w:r>
    </w:p>
    <w:p>
      <w:pPr>
        <w:numPr>
          <w:ilvl w:val="0"/>
          <w:numId w:val="10"/>
        </w:numPr>
        <w:spacing w:after="80" w:line="300" w:lineRule="auto"/>
        <w:ind w:left="540" w:hanging="271"/>
      </w:pPr>
      <w:r>
        <w:rPr>
          <w:rFonts w:ascii="Calibri" w:hAnsi="Calibri"/>
          <w:color w:val="1F2937"/>
          <w:sz w:val="21"/>
        </w:rPr>
        <w:t>Launch: capped beta in unrestricted public paid launch dobita ločen verdict. Če manjka obvezen dokaz ali je odprt P0/P1, relevantni verdict ostane NO-GO.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Scalvya + Mellowa  |  Launch Hardening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Scalvya + Mellowa — Launch Hardening Claude Code Prompts v11</dc:title>
  <dc:subject>Exact implementation prompts for current-main UX, value, reliability, operations and launch evidence</dc:subject>
  <dc:creator>Primocera</dc:creator>
  <cp:keywords>Scalvya, Mellowa, Claude Code, launch hardening, UX, accessibility, billing, evidence, beta</cp:keywords>
  <dc:description>generated by python-docx</dc:description>
  <cp:lastModifiedBy/>
  <cp:revision>1</cp:revision>
  <dcterms:created xsi:type="dcterms:W3CDTF">2013-12-23T23:15:00Z</dcterms:created>
  <dcterms:modified xsi:type="dcterms:W3CDTF">2013-12-23T23:15:00Z</dcterms:modified>
  <cp:category/>
</cp:coreProperties>
</file>