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DISCIPLINA:</w:t>
      </w:r>
      <w:r>
        <w:rPr>
          <w:rFonts w:ascii="Times New Roman" w:hAnsi="Times New Roman" w:eastAsia="Times New Roman" w:cs="Times New Roman"/>
          <w:sz w:val="24"/>
        </w:rPr>
        <w:t xml:space="preserve"> Fundamentos da Ciência de Dados no Setor Público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CURSO:</w:t>
      </w:r>
      <w:r>
        <w:rPr>
          <w:rFonts w:ascii="Times New Roman" w:hAnsi="Times New Roman" w:eastAsia="Times New Roman" w:cs="Times New Roman"/>
          <w:sz w:val="24"/>
        </w:rPr>
        <w:t xml:space="preserve"> Mestrado em Administração Pública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ÁREA DE CONCENTRAÇÃO:</w:t>
      </w:r>
      <w:r>
        <w:rPr>
          <w:rFonts w:ascii="Times New Roman" w:hAnsi="Times New Roman" w:eastAsia="Times New Roman" w:cs="Times New Roman"/>
          <w:sz w:val="24"/>
        </w:rPr>
        <w:t xml:space="preserve"> Ciência de Dados e Inteligência Artificial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DOCENTE RESPONSÁVEL:</w:t>
      </w:r>
      <w:r>
        <w:rPr>
          <w:rFonts w:ascii="Times New Roman" w:hAnsi="Times New Roman" w:eastAsia="Times New Roman" w:cs="Times New Roman"/>
          <w:sz w:val="24"/>
        </w:rPr>
        <w:t xml:space="preserve"> Claudiomar Matias Rolim Filho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E-MAIL:</w:t>
      </w:r>
      <w:r>
        <w:rPr>
          <w:rFonts w:ascii="Times New Roman" w:hAnsi="Times New Roman" w:eastAsia="Times New Roman" w:cs="Times New Roman"/>
          <w:sz w:val="24"/>
        </w:rPr>
        <w:t xml:space="preserve"> claudiomar.filho@idp.edu.br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ANO E BIMESTRE DE REFERÊNCIA:</w:t>
      </w:r>
      <w:r>
        <w:rPr>
          <w:rFonts w:ascii="Times New Roman" w:hAnsi="Times New Roman" w:eastAsia="Times New Roman" w:cs="Times New Roman"/>
          <w:sz w:val="24"/>
        </w:rPr>
        <w:t xml:space="preserve"> 2026/1</w:t>
      </w:r>
    </w:p>
    <w:p>
      <w:pPr>
        <w:spacing w:before="160" w:after="240"/>
        <w:ind w:firstLine="0"/>
        <w:pBdr>
          <w:top w:val="nil"/>
          <w:left w:val="nil"/>
          <w:right w:val="nil"/>
          <w:bottom w:val="single" w:sz="12" w:space="1" w:color="2F5496"/>
        </w:pBdr>
      </w:pPr>
      <w:r>
        <w:rPr>
          <w:sz w:val="4"/>
        </w:rPr>
        <w:t xml:space="preserve"> </w:t>
      </w:r>
    </w:p>
    <w:p>
      <w:pPr>
        <w:spacing w:after="6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>ENTREGA:</w:t>
      </w:r>
      <w:r>
        <w:rPr>
          <w:rFonts w:ascii="Times New Roman" w:hAnsi="Times New Roman" w:eastAsia="Times New Roman" w:cs="Times New Roman"/>
          <w:sz w:val="24"/>
        </w:rPr>
        <w:t xml:space="preserve"> dia 13/05/2026</w:t>
      </w:r>
    </w:p>
    <w:p>
      <w:pPr>
        <w:spacing w:before="120"/>
        <w:ind w:firstLine="0"/>
        <w:jc w:val="left"/>
        <w:sectPr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b/>
          <w:sz w:val="24"/>
        </w:rPr>
        <w:t xml:space="preserve">Nome do(a) aluno(a):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Renê Estevam Deckers</w:t>
      </w:r>
    </w:p>
    <w:p>
      <w:pPr>
        <w:pStyle w:val="Heading1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Pagamentos federais em investimentos e inversões financeiras (GND 4 e 5): relatório exploratório (2021–2025)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Introdução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No Brasil, a execução orçamentária federal está integrada a um sistema constitucional que, além de outros princípios da administração pública, fundamenta a publicidade e a eficiência em divulgações sobre as despesas e em sistemas de registro financeiro. Em geral, o SIAFI (Sistema Integrado de Administração Financeira) é a referência operacional para a maioria dos movimentos que são divulgados em portais de transparência e em conjuntos de dados abertos. Nesse contexto, o presente relatório delimita pagamentos que pertencem aos grupos da natureza da despesa (GND) 4 — investimentos, em sentido orçamentário — e 5 — inversões financeiras —, referentes ao governo central, entre 2021 e 2025. A avaliação se refere ao fluxo de caixa que foi liquidado: não se deve confundir isso com empenho, com a fase de liquidação jurídica isolada, nem com metas físicas ou os resultados das políticas públicas.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O propósito é descrever e interpretar agregados temporais, a composição entre grupos 4 e 5, a concentração institucional, a esfera e a função de governo, o padrão mensal de liquidação e indicadores regionais, sempre estabelecendo filtros claros de qualidade cadastral e definindo os limites metodológicos. Além disso, busca-se conectar os dados a reflexões sobre transparência, prestação de contas (accountability) e suas implicações no debate sobre políticas públicas, sem a intenção de testar hipóteses causais ou avaliar impactos sociais. O texto está estruturado em um problema e fundamentação, resultados exploratórios acompanhados de ilustrações, uma discussão sobre a governança da informação e a responsabilidade, uma conclusão e referências bibliográficas.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Operacionalmente, o trabalho assenta num pipeline reprodutível: leitura de ficheiros CSV e XLSX, normalização da variável valor_reais, armazenamento em Parquet para ágil reexecução, análise no notebook exploracao_investimentos.ipynb e, opcionalmente, exportação para DOCX por meio de scripts/export_relatorio_docx.py. Os acrônimos e expressões técnicas empregados no corpo do texto estão sucintamente definidos na tabela a seguir, para facilitar a leitura independente do relatório.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Nota sobre termos e siglas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Termo ou sigla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Significado (neste relatório)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R$ bi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Bilhões de reais (10⁹ R$).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Accountability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Prestação de contas a interlocutores.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GND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Natureza da despesa; 4 = invest., 5 = inv. financeiras.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SIAFI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Sistema Integrado de Administração Financeira.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Governo central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Recorte dos ficheiros (metadados).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Empenho / liquidação / pagamento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Compromisso → crédito reconhecido → caixa (foco aqui).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UO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Unidade orçamentária.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RP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Restos a pagar.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YoY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Variação vs ano anterior.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Decomposição YoY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Desdobrar variação (4/5, órgão, mês).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HHI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Herfindahl-Hirschman (concentração).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CV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Coeficiente de variação.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OSC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Organização da sociedade civil (sem fins lucrativos).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RTN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Resumo do Tesouro Nacional.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UF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Estado ou DF.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IBGE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Denominadores regionais (futuro).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Pearson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Correlação linear; não causalidade.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Snapshot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Corte temporal do ficheiro (2025).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Drill-down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Desagregar até ação/programa.</w:t>
            </w:r>
          </w:p>
        </w:tc>
      </w:tr>
    </w:tbl>
    <w:p/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1. Problema público e justificativa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1.1 Contexto e pergunta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GND 4/5 fazem distinções entre as naturezas orçamentárias; os dados referem-se a liquidações públicas, não sendo “obra entregue” nem resultado de política. Frequentemente, confunde-se caixa, empenho e resultado. Questão: de que maneira se distribuem os pagamentos por exercício, órgão máximo, função e macro-região, e que inferências apoiam a concentração, a sazonalidade e uma leitura crítica? Relevância: para a fiscalização e uma opinião bem-informada, embora com limites (cadastro geográfico, cinco anos nas correlações, assimetria por linha).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2. Bases de dados e preparação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2.1 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Fonte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investimentos_2021.csv … 2024.csv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;, valores BR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investimentos-2025.xlsx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2025 numérico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metadados-investimentos.pdf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Definições e notas</w:t>
            </w:r>
          </w:p>
        </w:tc>
      </w:tr>
      <w:tr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data/investimentos_2021_2025.parquet</w:t>
            </w:r>
          </w:p>
        </w:tc>
        <w:tc>
          <w:tcPr>
            <w:tcW w:type="dxa" w:w="4702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Unificação (script)</w:t>
            </w:r>
          </w:p>
        </w:tc>
      </w:tr>
    </w:tbl>
    <w:p/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2.2 Variáveis e pipeline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Ano, mês, esfera, órgão máximo, UO, grupo 4/5, função/subfunção, programa/ação, região, UF, município, </w:t>
      </w:r>
      <w:r>
        <w:rPr>
          <w:rFonts w:ascii="Courier New" w:hAnsi="Courier New"/>
          <w:b w:val="0"/>
          <w:i w:val="0"/>
          <w:sz w:val="22"/>
        </w:rPr>
        <w:t>valor_reais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_fonte_arquivo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Encodings UTF-8/UTF-8-SIG/LATIN-1; parsing monetário BR + Excel. Análise: agregados, HHI, sazonalidade, região × ano, Pearson (macro-regiões, rótulos espúrios excluídos).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2.3 Qualidade (síntese numérica)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243 259 linhas; Σ </w:t>
      </w:r>
      <w:r>
        <w:rPr>
          <w:rFonts w:ascii="Courier New" w:hAnsi="Courier New"/>
          <w:b w:val="0"/>
          <w:i w:val="0"/>
          <w:sz w:val="22"/>
        </w:rPr>
        <w:t>valor_reais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≈ 352,8×10⁹ R$; distribuição assimétrica (mediana 0; CV ≈ 22,5). Negativos ~0,27% (estornos) — manter nos totais. UF ausente: 29,0%; município: 78,6% — região como aproximação. Correlações: co-movimento, não efeito cruzado. Exercício 2025: corte temporal do ficheiro (snapshot); ver metadados.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3. Resultados da análise exploratória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3.1 Totais anuais e variação YoY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Ano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Total (R$ bi)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Variação % vs anterior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2021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56,83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2022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45,05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−20,7 %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2023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81,37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+80,6 %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2024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86,10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+5,8 %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2025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83,41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−3,1 %</w:t>
            </w:r>
          </w:p>
        </w:tc>
      </w:tr>
    </w:tbl>
    <w:p/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2022↓ e 2023↑: RP, </w:t>
      </w:r>
      <w:r>
        <w:rPr>
          <w:rFonts w:ascii="Times New Roman" w:hAnsi="Times New Roman" w:eastAsia="Times New Roman" w:cs="Times New Roman"/>
          <w:b w:val="0"/>
          <w:i/>
          <w:sz w:val="24"/>
        </w:rPr>
        <w:t>mix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4/5 e reclassificações — não bastam para rotular só “austeridade” ou “expansão”.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3.2 Composição % GND 4 versus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Ano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Inv. fin. (%)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Invest. (%)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2021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36,6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63,4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2022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9,8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90,2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2023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27,8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72,2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2024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30,2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69,8</w:t>
            </w:r>
          </w:p>
        </w:tc>
      </w:tr>
      <w:tr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2025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16,2</w:t>
            </w:r>
          </w:p>
        </w:tc>
        <w:tc>
          <w:tcPr>
            <w:tcW w:type="dxa" w:w="3135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83,8</w:t>
            </w:r>
          </w:p>
        </w:tc>
      </w:tr>
    </w:tbl>
    <w:p/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Mix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instável: explicitar natureza contabilística e calendário no discurso sobre “investimento”.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3.3 Concentração (órgão máximo)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HHI ≈ 0,109. Pareto: 5 órgãos ≈ 66,9%; 10 ≈ 91,7%. Os órgãos mais relevantes são: Fazenda, Transportes, Defesa, Integração e Cidades — que são coerentes com o orçamento federal, mas não provam eficiência nem preferência isolada.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3.4 Esfera e função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Fiscal: ≈ 90,5%; Seguridade: ≈ 9,5%. Predominam encargos especiais, transporte, defesa nacional (rótulos agregados).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3.5 Região (após exclusões)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Excl.: SEM INFORMACAO, CODIGO INVALIDO, NACIONAL, EXTERIOR. R$ bi: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Ano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C-Oeste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Nordeste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Norte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Sudeste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Sul</w:t>
            </w:r>
          </w:p>
        </w:tc>
      </w:tr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2021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2,25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5,53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3,20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3,24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2,79</w:t>
            </w:r>
          </w:p>
        </w:tc>
      </w:tr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2022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2,40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6,08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3,35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3,54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2,68</w:t>
            </w:r>
          </w:p>
        </w:tc>
      </w:tr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2023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3,64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9,93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6,25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4,99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5,27</w:t>
            </w:r>
          </w:p>
        </w:tc>
      </w:tr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2024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4,01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9,75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6,53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4,47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20,92</w:t>
            </w:r>
          </w:p>
        </w:tc>
      </w:tr>
      <w:tr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2025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3,46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10,58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5,80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4,09</w:t>
            </w:r>
          </w:p>
        </w:tc>
        <w:tc>
          <w:tcPr>
            <w:tcW w:type="dxa" w:w="1567"/>
          </w:tcPr>
          <w:p>
            <w:pPr>
              <w:spacing w:lineRule="auto" w:line="276" w:after="6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6,13</w:t>
            </w:r>
          </w:p>
        </w:tc>
      </w:tr>
    </w:tbl>
    <w:p/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Sul/2024: reserva — </w:t>
      </w:r>
      <w:r>
        <w:rPr>
          <w:rFonts w:ascii="Times New Roman" w:hAnsi="Times New Roman" w:eastAsia="Times New Roman" w:cs="Times New Roman"/>
          <w:b w:val="0"/>
          <w:i/>
          <w:sz w:val="24"/>
        </w:rPr>
        <w:t>drill-down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+ fontes antes de narrativa regional forte.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3.6 Sazonalidade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Dezembro: ~18,5 %–29,4 % do caixa anual — fecho de exercício.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3.7 Figuras e interpretação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373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volu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7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Níveis e YoY (tabela 3.1); sem desagregar 4/5 não se identifica o choque 2022/2023 internamente.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39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Share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por ano; 2022 dominado por 4 vs 2021 com mais 5 — checar ações por trás das fatias.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65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orgaos_sazonalid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Órgãos (cf. 3.3) e soma mensal; dezembro = ritmo de exercício (cf. 3.6).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31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giao_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Sul/2024 = hipótese de investigação, não prova de prioridade regional.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87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orrelacao_regi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Co-movimento em séries curtas; não causalidade; uso exploratório.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4. Contabilidade: accountability, governança e políticas públicas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4.1 Leitura integrada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 volatilidade, o </w:t>
      </w:r>
      <w:r>
        <w:rPr>
          <w:rFonts w:ascii="Times New Roman" w:hAnsi="Times New Roman" w:eastAsia="Times New Roman" w:cs="Times New Roman"/>
          <w:b w:val="0"/>
          <w:i/>
          <w:sz w:val="24"/>
        </w:rPr>
        <w:t>mix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4/5, a concentração, o mês de dezembro e a fraca leitura regional atenuam as “prioridades” que dependem apenas de caixa.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4.2 Accountability: vertical, horizontal, and social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prestação de contas ocorre em três dimensões: vertical (entre níveis da hierarquia, entre o Executivo e o Legislativo, entre o Executivo e os Tribunais de Contas), horizontal (entre agências, entre diferentes partes do governo) e social (entre agências e a sociedade civil, entre agências e a imprensa, entre agências e especialistas, entre agências e ONGs), com os dados abertos destacando as dimensões social e horizontal. Transparência não é igual a contas efetivas desprovidas de um método e da conexão entre empenho, produto e meta, o que pode resultar em uma vigilância meramente simbólica. Cruzamento com o RTN, relatórios gerenciais, auditorias e avaliações.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4.3 Informação e sua governança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Lacunas UF/município criam desigualdade e impedem uma responsabilização territorial equitativa. Poucos órgãos, muita concentração: clássico do federal, mas perigo de titulares pontuais e outliers regionais.</w:t>
      </w:r>
    </w:p>
    <w:p>
      <w:pPr>
        <w:pStyle w:val="Heading3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4.4 Implicações e ética do território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Gestores: detalhar YoY (4/5, órgão, mês), monitorar programas, comparar liquidação com entrega real. Fiscalização externa: questões de auditoria, não verificação. Comunicação: legendas poderosas que vão além de "pagamentos". Quando se trata do território, não devemos empregar denominadores nem fazer comparações entre UFs, já que os mapas apenas funcionam como suposições.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Análises Finais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Esse mapeamento exploratório dos pagamentos federais em GND 4 e 5, entre 2021 e 2025, em regime de caixa do governo central, pode ser resumido em cinco grandes eixos. Primeiramente, constata-se uma grande volatilidade interanual do total, o que desaconselha tirar conclusões sobre uma tendência estrutural com base em um único ano. Em segundo lugar, a relação entre investimentos e inversões financeiras varia bastante: o debate público sobre “investimento” deve distinguir natureza orçamentária, calendário de liquidação e resultado de política. Em terceiro lugar, existe uma alta concentração em um pequeno número de órgãos máximos, o que é consistente com a estrutura do orçamento federal, mas ainda assim requer uma avaliação cuidadosa em relação aos programas e aos seus responsáveis. Quarto, a sazonalidade significativa em dezembro espelha o fechamento do exercício. Quinto, a leitura regional ainda depende de lacunas cadastrais e de eventos esporádicos, como se viu no Sul em 2024.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reprodutibilidade técnica (Parquet, notebook e scripts) no que toca à prestação de contas e à governança do que foi produzido socialmente reforça o controle social ao se integrar a ecossistemas de informação mais amplos — RTN, relatórios de gestão, auditorias e, quando houver, avaliações de programas. A transparência dos dados é uma condição essencial, mas não é suficiente para garantir uma responsabilização eficaz: é fundamental ter a capacidade de análise, comparações apropriadas e canais institucionais para a resposta.</w:t>
      </w:r>
    </w:p>
    <w:p>
      <w:pPr>
        <w:spacing w:lineRule="auto" w:line="276" w:after="6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Entre as continuidades sugeridas para futuras pesquisas, está a proposta de relacionar os fluxos de caixa com empenhos e metas físicas dos programas; incluir denominadores regionais (por meio do IBGE) nas análises per capita ou relativas ao produto; e investigar, através de um detalhamento orçamentário, as ações que esclarecem outliers temporais e territoriais. Dessa forma, chega ao fim um ciclo de descrição e interpretação cautelosa dos dados, permitindo a entrada de investigações mais sistematizadas no campo da ciência de dados aplicada ao setor público.</w:t>
      </w:r>
    </w:p>
    <w:p>
      <w:pPr>
        <w:pStyle w:val="Heading2"/>
        <w:pageBreakBefore w:val="0"/>
        <w:spacing w:lineRule="auto" w:line="276" w:after="60"/>
        <w:ind w:firstLine="0"/>
        <w:jc w:val="left"/>
      </w:pPr>
      <w:r>
        <w:rPr>
          <w:rFonts w:ascii="Times New Roman" w:hAnsi="Times New Roman" w:eastAsia="Times New Roman" w:cs="Times New Roman"/>
          <w:sz w:val="26"/>
        </w:rPr>
        <w:t>Referências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BRASIL. Constituição da República Federativa do Brasil, 1988 (arts. 37 e 6º). Ajustar ABNT.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BRASIL. Portal da Transparência. https://www.portaldatransparencia.gov.br/ (https://www.portaldatransparencia.gov.br/) (acesso: 12 abril 2026).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metadados-investimentos.pdf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(repositório).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IBGE. https://www.ibge.gov.br/ (https://www.ibge.gov.br/) (acesso: 05 abril 2026).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BRUCE, Andrew; BRUCE, Peter. </w:t>
      </w:r>
      <w:r>
        <w:rPr>
          <w:rFonts w:ascii="Times New Roman" w:hAnsi="Times New Roman" w:eastAsia="Times New Roman" w:cs="Times New Roman"/>
          <w:b w:val="0"/>
          <w:i/>
          <w:sz w:val="24"/>
        </w:rPr>
        <w:t>Estatística prática para cientistas de dados: 50 conceitos essenciais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1 jul. 2019.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DUARTE, Nancy. </w:t>
      </w:r>
      <w:r>
        <w:rPr>
          <w:rFonts w:ascii="Times New Roman" w:hAnsi="Times New Roman" w:eastAsia="Times New Roman" w:cs="Times New Roman"/>
          <w:b w:val="0"/>
          <w:i/>
          <w:sz w:val="24"/>
        </w:rPr>
        <w:t>Data Story: explique dados e inspire ações por meio de história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25 jan. 2022.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GRUS, Joel. </w:t>
      </w:r>
      <w:r>
        <w:rPr>
          <w:rFonts w:ascii="Times New Roman" w:hAnsi="Times New Roman" w:eastAsia="Times New Roman" w:cs="Times New Roman"/>
          <w:b w:val="0"/>
          <w:i/>
          <w:sz w:val="24"/>
        </w:rPr>
        <w:t>Data science do zero — 2.ª ed.: noções fundamentais com Python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30 mar. 2021.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MATTHES, Eric. </w:t>
      </w:r>
      <w:r>
        <w:rPr>
          <w:rFonts w:ascii="Times New Roman" w:hAnsi="Times New Roman" w:eastAsia="Times New Roman" w:cs="Times New Roman"/>
          <w:b w:val="0"/>
          <w:i/>
          <w:sz w:val="24"/>
        </w:rPr>
        <w:t>Curso intensivo de Python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19 mai. 2016.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NETTO, Amilcar; MACIEL, Francisco. </w:t>
      </w:r>
      <w:r>
        <w:rPr>
          <w:rFonts w:ascii="Times New Roman" w:hAnsi="Times New Roman" w:eastAsia="Times New Roman" w:cs="Times New Roman"/>
          <w:b w:val="0"/>
          <w:i/>
          <w:sz w:val="24"/>
        </w:rPr>
        <w:t>Python para Data Science: e machine learning descomplicado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8 jul. 2021.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SWEIGART, Al. </w:t>
      </w:r>
      <w:r>
        <w:rPr>
          <w:rFonts w:ascii="Times New Roman" w:hAnsi="Times New Roman" w:eastAsia="Times New Roman" w:cs="Times New Roman"/>
          <w:b w:val="0"/>
          <w:i/>
          <w:sz w:val="24"/>
        </w:rPr>
        <w:t>Automatize tarefas maçantes com Python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10 ago. 2015.</w:t>
      </w:r>
    </w:p>
    <w:p>
      <w:pPr>
        <w:spacing w:lineRule="auto" w:line="276" w:after="60"/>
        <w:ind w:left="709" w:hanging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VANDERPLAS, Jake. </w:t>
      </w:r>
      <w:r>
        <w:rPr>
          <w:rFonts w:ascii="Times New Roman" w:hAnsi="Times New Roman" w:eastAsia="Times New Roman" w:cs="Times New Roman"/>
          <w:b w:val="0"/>
          <w:i/>
          <w:sz w:val="24"/>
        </w:rPr>
        <w:t>Guia do Python para data science: tradução da 2.ª edição — ferramentas essenciais para trabalhar com dados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30 abr. 2025.</w:t>
      </w:r>
    </w:p>
    <w:sectPr w:rsidR="00FC693F" w:rsidRPr="0006063C" w:rsidSect="00034616">
      <w:footerReference w:type="default" r:id="rId9"/>
      <w:type w:val="continuous"/>
      <w:pgSz w:w="12240" w:h="15840"/>
      <w:pgMar w:top="1134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rFonts w:ascii="Times New Roman" w:hAnsi="Times New Roman" w:eastAsia="Times New Roman" w:cs="Times New Roman"/>
          <w:sz w:val="22"/>
          <w:szCs w:val="22"/>
        </w:rPr>
        <w:t xml:space="preserve"> 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