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</w:rPr>
        <w:t>DISCIPLINA:</w:t>
      </w:r>
      <w:r>
        <w:rPr>
          <w:rFonts w:ascii="Times New Roman" w:hAnsi="Times New Roman" w:eastAsia="Times New Roman" w:cs="Times New Roman"/>
          <w:sz w:val="24"/>
        </w:rPr>
        <w:t xml:space="preserve"> Fundamentos da Ciência de Dados no Setor Público</w:t>
      </w:r>
    </w:p>
    <w:p>
      <w:pPr>
        <w:spacing w:after="6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</w:rPr>
        <w:t>CURSO:</w:t>
      </w:r>
      <w:r>
        <w:rPr>
          <w:rFonts w:ascii="Times New Roman" w:hAnsi="Times New Roman" w:eastAsia="Times New Roman" w:cs="Times New Roman"/>
          <w:sz w:val="24"/>
        </w:rPr>
        <w:t xml:space="preserve"> Mestrado em Administração Pública</w:t>
      </w:r>
    </w:p>
    <w:p>
      <w:pPr>
        <w:spacing w:after="6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</w:rPr>
        <w:t>ÁREA DE CONCENTRAÇÃO:</w:t>
      </w:r>
      <w:r>
        <w:rPr>
          <w:rFonts w:ascii="Times New Roman" w:hAnsi="Times New Roman" w:eastAsia="Times New Roman" w:cs="Times New Roman"/>
          <w:sz w:val="24"/>
        </w:rPr>
        <w:t xml:space="preserve"> Ciência de Dados e Inteligência Artificial</w:t>
      </w:r>
    </w:p>
    <w:p>
      <w:pPr>
        <w:spacing w:after="6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</w:rPr>
        <w:t>DOCENTE RESPONSÁVEL:</w:t>
      </w:r>
      <w:r>
        <w:rPr>
          <w:rFonts w:ascii="Times New Roman" w:hAnsi="Times New Roman" w:eastAsia="Times New Roman" w:cs="Times New Roman"/>
          <w:sz w:val="24"/>
        </w:rPr>
        <w:t xml:space="preserve"> Claudiomar Matias Rolim Filho</w:t>
      </w:r>
    </w:p>
    <w:p>
      <w:pPr>
        <w:spacing w:after="6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</w:rPr>
        <w:t>E-MAIL:</w:t>
      </w:r>
      <w:r>
        <w:rPr>
          <w:rFonts w:ascii="Times New Roman" w:hAnsi="Times New Roman" w:eastAsia="Times New Roman" w:cs="Times New Roman"/>
          <w:sz w:val="24"/>
        </w:rPr>
        <w:t xml:space="preserve"> claudiomar.filho@idp.edu.br</w:t>
      </w:r>
    </w:p>
    <w:p>
      <w:pPr>
        <w:spacing w:after="6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</w:rPr>
        <w:t>ANO E BIMESTRE DE REFERÊNCIA:</w:t>
      </w:r>
      <w:r>
        <w:rPr>
          <w:rFonts w:ascii="Times New Roman" w:hAnsi="Times New Roman" w:eastAsia="Times New Roman" w:cs="Times New Roman"/>
          <w:sz w:val="24"/>
        </w:rPr>
        <w:t xml:space="preserve"> 2026/1</w:t>
      </w:r>
    </w:p>
    <w:p>
      <w:pPr>
        <w:spacing w:before="160" w:after="240"/>
        <w:ind w:firstLine="0"/>
        <w:pBdr>
          <w:top w:val="nil"/>
          <w:left w:val="nil"/>
          <w:right w:val="nil"/>
          <w:bottom w:val="single" w:sz="12" w:space="1" w:color="2F5496"/>
        </w:pBdr>
      </w:pPr>
      <w:r>
        <w:rPr>
          <w:sz w:val="4"/>
        </w:rPr>
        <w:t xml:space="preserve"> </w:t>
      </w:r>
    </w:p>
    <w:p>
      <w:pPr>
        <w:spacing w:after="6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</w:rPr>
        <w:t>ENTREGA:</w:t>
      </w:r>
      <w:r>
        <w:rPr>
          <w:rFonts w:ascii="Times New Roman" w:hAnsi="Times New Roman" w:eastAsia="Times New Roman" w:cs="Times New Roman"/>
          <w:sz w:val="24"/>
        </w:rPr>
        <w:t xml:space="preserve"> dia 13/05/2026</w:t>
      </w:r>
    </w:p>
    <w:p>
      <w:pPr>
        <w:spacing w:before="120"/>
        <w:ind w:firstLine="0"/>
        <w:jc w:val="left"/>
        <w:sectPr>
          <w:pgSz w:w="12240" w:h="15840"/>
          <w:pgMar w:top="1134" w:right="1134" w:bottom="1134" w:left="1701" w:header="720" w:footer="720" w:gutter="0"/>
          <w:cols w:space="720"/>
          <w:docGrid w:linePitch="360"/>
        </w:sectPr>
      </w:pPr>
      <w:r>
        <w:rPr>
          <w:rFonts w:ascii="Times New Roman" w:hAnsi="Times New Roman" w:eastAsia="Times New Roman" w:cs="Times New Roman"/>
          <w:b/>
          <w:sz w:val="24"/>
        </w:rPr>
        <w:t xml:space="preserve">Nome do(a) aluno(a): 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>Renê Estevam Deckers</w:t>
      </w:r>
    </w:p>
    <w:p>
      <w:pPr>
        <w:pStyle w:val="Heading1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Pagamentos federais em investimentos e inversões financeiras (GND 4 e 5): relatório exploratório (2021–2025)</w:t>
      </w:r>
    </w:p>
    <w:p>
      <w:pPr>
        <w:pStyle w:val="Heading2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6"/>
        </w:rPr>
        <w:t>Introdução</w:t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No Brasil, a execução orçamentária federal está integrada a um sistema constitucional que, além de outros princípios da administração pública, fundamenta a publicidade e a eficiência em divulgações sobre as despesas e em sistemas de registro financeiro. Em geral, o SIAFI (Sistema Integrado de Administração Financeira) é a referência operacional para a maioria dos movimentos que são divulgados em portais de transparência e em conjuntos de dados abertos. Nesse contexto, o presente relatório delimita pagamentos que pertencem aos grupos da natureza da despesa (GND) 4 — investimentos, em sentido orçamentário — e 5 — inversões financeiras —, referentes ao governo central, entre 2021 e 2025. A avaliação se refere ao fluxo de caixa que foi liquidado: não se deve confundir isso com empenho, com a fase de liquidação jurídica isolada, nem com metas físicas ou os resultados das políticas públicas.</w:t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O propósito é descrever e interpretar agregados temporais, a composição entre grupos 4 e 5, a concentração institucional, a esfera e a função de governo, o padrão mensal de liquidação e indicadores regionais, sempre estabelecendo filtros claros de qualidade cadastral e definindo os limites metodológicos. Além disso, busca-se conectar os dados a reflexões sobre transparência, prestação de contas (accountability) e suas implicações no debate sobre políticas públicas, sem a intenção de testar hipóteses causais ou avaliar impactos sociais. O texto está estruturado em um problema e fundamentação, resultados exploratórios acompanhados de ilustrações, uma discussão sobre a governança da informação e a responsabilidade, uma conclusão e referências bibliográficas.</w:t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Operacionalmente, o trabalho assenta num pipeline reprodutível: leitura de ficheiros CSV e XLSX, normalização da variável valor_reais, armazenamento em Parquet para ágil reexecução, análise no notebook exploracao_investimentos.ipynb e, opcionalmente, exportação para DOCX por meio de scripts/export_relatorio_docx.py. Os acrônimos e expressões técnicas empregados no corpo do texto estão sucintamente definidos na tabela a seguir, para facilitar a leitura independente do relatório.</w:t>
      </w:r>
    </w:p>
    <w:p>
      <w:pPr>
        <w:pStyle w:val="Heading2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6"/>
        </w:rPr>
        <w:t>Nota sobre termos e siglas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Termo ou sigla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Significado (neste relatório)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R$ bi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Bilhões de reais (10⁹ R$).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Accountability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Prestação de contas a interlocutores.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GND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Natureza da despesa; 4 = invest., 5 = inv. financeiras.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SIAFI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Sistema Integrado de Administração Financeira.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Governo central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Recorte dos ficheiros (metadados).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Empenho / liquidação / pagamento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Compromisso → crédito reconhecido → caixa (foco aqui).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UO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Unidade orçamentária.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RP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Restos a pagar.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YoY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Variação vs ano anterior.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Decomposição YoY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Desdobrar variação (4/5, órgão, mês).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HHI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Herfindahl-Hirschman (concentração).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CV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Coeficiente de variação.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OSC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Organização da sociedade civil (sem fins lucrativos).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RTN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Resumo do Tesouro Nacional.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UF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Estado ou DF.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IBGE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Denominadores regionais (futuro).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Pearson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Correlação linear; não causalidade.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Snapshot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Corte temporal do ficheiro (2025).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Drill-down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Desagregar até ação/programa.</w:t>
            </w:r>
          </w:p>
        </w:tc>
      </w:tr>
    </w:tbl>
    <w:p/>
    <w:p>
      <w:pPr>
        <w:pStyle w:val="Heading2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6"/>
        </w:rPr>
        <w:t>1. Problema público e justificativa</w:t>
      </w:r>
    </w:p>
    <w:p>
      <w:pPr>
        <w:pStyle w:val="Heading3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1.1 Contexto e pergunta</w:t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GND 4/5 fazem distinções entre as naturezas orçamentárias; os dados referem-se a liquidações públicas, não sendo “obra entregue” nem resultado de política. Frequentemente, confunde-se caixa, empenho e resultado. Questão: de que maneira se distribuem os pagamentos por exercício, órgão máximo, função e macro-região, e que inferências apoiam a concentração, a sazonalidade e uma leitura crítica? Relevância: para a fiscalização e uma opinião bem-informada, embora com limites (cadastro geográfico, cinco anos nas correlações, assimetria por linha).</w:t>
      </w:r>
    </w:p>
    <w:p>
      <w:pPr>
        <w:pStyle w:val="Heading2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6"/>
        </w:rPr>
        <w:t>2. Bases de dados e preparação</w:t>
      </w:r>
    </w:p>
    <w:p>
      <w:pPr>
        <w:pStyle w:val="Heading3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2.1 Fontes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Fonte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Conteúdo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investimentos_2021.csv … 2024.csv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;, valores BR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investimentos-2025.xlsx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2025 numérico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metadados-investimentos.pdf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Definições e notas</w:t>
            </w:r>
          </w:p>
        </w:tc>
      </w:tr>
      <w:tr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data/investimentos_2021_2025.parquet</w:t>
            </w:r>
          </w:p>
        </w:tc>
        <w:tc>
          <w:tcPr>
            <w:tcW w:type="dxa" w:w="4702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Unificação (script)</w:t>
            </w:r>
          </w:p>
        </w:tc>
      </w:tr>
    </w:tbl>
    <w:p/>
    <w:p>
      <w:pPr>
        <w:pStyle w:val="Heading3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2.2 Variáveis e pipeline</w:t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Ano, mês, esfera, órgão máximo, UO, grupo 4/5, função/subfunção, programa/ação, região, UF, município, </w:t>
      </w:r>
      <w:r>
        <w:rPr>
          <w:rFonts w:ascii="Courier New" w:hAnsi="Courier New"/>
          <w:b w:val="0"/>
          <w:i w:val="0"/>
          <w:sz w:val="22"/>
        </w:rPr>
        <w:t>valor_reais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, </w:t>
      </w:r>
      <w:r>
        <w:rPr>
          <w:rFonts w:ascii="Courier New" w:hAnsi="Courier New"/>
          <w:b w:val="0"/>
          <w:i w:val="0"/>
          <w:sz w:val="22"/>
        </w:rPr>
        <w:t>_fonte_arquivo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>. Encodings UTF-8/UTF-8-SIG/LATIN-1; parsing monetário BR + Excel. Análise: agregados, HHI, sazonalidade, região × ano, Pearson (macro-regiões, rótulos espúrios excluídos).</w:t>
      </w:r>
    </w:p>
    <w:p>
      <w:pPr>
        <w:pStyle w:val="Heading3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2.3 Qualidade (síntese numérica)</w:t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243 259 linhas; Σ </w:t>
      </w:r>
      <w:r>
        <w:rPr>
          <w:rFonts w:ascii="Courier New" w:hAnsi="Courier New"/>
          <w:b w:val="0"/>
          <w:i w:val="0"/>
          <w:sz w:val="22"/>
        </w:rPr>
        <w:t>valor_reais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≈ 352,8×10⁹ R$; distribuição assimétrica (mediana 0; CV ≈ 22,5). Negativos ~0,27% (estornos) — manter nos totais. UF ausente: 29,0%; município: 78,6% — região como aproximação. Correlações: co-movimento, não efeito cruzado. Exercício 2025: corte temporal do ficheiro (snapshot); ver metadados.</w:t>
      </w:r>
    </w:p>
    <w:p>
      <w:pPr>
        <w:pStyle w:val="Heading2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6"/>
        </w:rPr>
        <w:t>3. Resultados da análise exploratória</w:t>
      </w:r>
    </w:p>
    <w:p>
      <w:pPr>
        <w:pStyle w:val="Heading3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3.1 Totais anuais e variação YoY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Ano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Total (R$ bi)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Variação % vs anterior</w:t>
            </w:r>
          </w:p>
        </w:tc>
      </w:tr>
      <w:tr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2021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56,83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2022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45,05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−20,7 %</w:t>
            </w:r>
          </w:p>
        </w:tc>
      </w:tr>
      <w:tr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2023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81,37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+80,6 %</w:t>
            </w:r>
          </w:p>
        </w:tc>
      </w:tr>
      <w:tr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2024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86,10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+5,8 %</w:t>
            </w:r>
          </w:p>
        </w:tc>
      </w:tr>
      <w:tr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2025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83,41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−3,1 %</w:t>
            </w:r>
          </w:p>
        </w:tc>
      </w:tr>
    </w:tbl>
    <w:p/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2022↓ e 2023↑: RP, </w:t>
      </w:r>
      <w:r>
        <w:rPr>
          <w:rFonts w:ascii="Times New Roman" w:hAnsi="Times New Roman" w:eastAsia="Times New Roman" w:cs="Times New Roman"/>
          <w:b w:val="0"/>
          <w:i/>
          <w:sz w:val="24"/>
        </w:rPr>
        <w:t>mix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4/5 e reclassificações — não bastam para rotular só “austeridade” ou “expansão”.</w:t>
      </w:r>
    </w:p>
    <w:p>
      <w:pPr>
        <w:pStyle w:val="Heading3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3.2 Composição % GND 4 versus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Ano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Inv. fin. (%)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Invest. (%)</w:t>
            </w:r>
          </w:p>
        </w:tc>
      </w:tr>
      <w:tr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2021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36,6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63,4</w:t>
            </w:r>
          </w:p>
        </w:tc>
      </w:tr>
      <w:tr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2022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9,8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90,2</w:t>
            </w:r>
          </w:p>
        </w:tc>
      </w:tr>
      <w:tr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2023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27,8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72,2</w:t>
            </w:r>
          </w:p>
        </w:tc>
      </w:tr>
      <w:tr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2024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30,2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69,8</w:t>
            </w:r>
          </w:p>
        </w:tc>
      </w:tr>
      <w:tr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2025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16,2</w:t>
            </w:r>
          </w:p>
        </w:tc>
        <w:tc>
          <w:tcPr>
            <w:tcW w:type="dxa" w:w="3135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83,8</w:t>
            </w:r>
          </w:p>
        </w:tc>
      </w:tr>
    </w:tbl>
    <w:p/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/>
          <w:sz w:val="24"/>
        </w:rPr>
        <w:t>Mix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instável: explicitar natureza contabilística e calendário no discurso sobre “investimento”.</w:t>
      </w:r>
    </w:p>
    <w:p>
      <w:pPr>
        <w:pStyle w:val="Heading3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3.3 Concentração (órgão máximo)</w:t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HHI ≈ 0,109. Pareto: 5 órgãos ≈ 66,9%; 10 ≈ 91,7%. Os órgãos mais relevantes são: Fazenda, Transportes, Defesa, Integração e Cidades — que são coerentes com o orçamento federal, mas não provam eficiência nem preferência isolada.</w:t>
      </w:r>
    </w:p>
    <w:p>
      <w:pPr>
        <w:pStyle w:val="Heading3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3.4 Esfera e função</w:t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Fiscal: ≈ 90,5%; Seguridade: ≈ 9,5%. Predominam encargos especiais, transporte, defesa nacional (rótulos agregados).</w:t>
      </w:r>
    </w:p>
    <w:p>
      <w:pPr>
        <w:pStyle w:val="Heading3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3.5 Região (após exclusões)</w:t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Excl.: SEM INFORMACAO, CODIGO INVALIDO, NACIONAL, EXTERIOR. R$ bi: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Ano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C-Oeste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Nordeste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Norte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Sudeste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Sul</w:t>
            </w:r>
          </w:p>
        </w:tc>
      </w:tr>
      <w:tr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2021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2,25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5,53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3,20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3,24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2,79</w:t>
            </w:r>
          </w:p>
        </w:tc>
      </w:tr>
      <w:tr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2022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2,40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6,08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3,35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3,54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2,68</w:t>
            </w:r>
          </w:p>
        </w:tc>
      </w:tr>
      <w:tr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2023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3,64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9,93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6,25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4,99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5,27</w:t>
            </w:r>
          </w:p>
        </w:tc>
      </w:tr>
      <w:tr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2024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4,01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9,75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6,53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4,47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20,92</w:t>
            </w:r>
          </w:p>
        </w:tc>
      </w:tr>
      <w:tr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2025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3,46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10,58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5,80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4,09</w:t>
            </w:r>
          </w:p>
        </w:tc>
        <w:tc>
          <w:tcPr>
            <w:tcW w:type="dxa" w:w="1567"/>
          </w:tcPr>
          <w:p>
            <w:pPr>
              <w:spacing w:lineRule="auto" w:line="276" w:after="6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</w:rPr>
              <w:t>6,13</w:t>
            </w:r>
          </w:p>
        </w:tc>
      </w:tr>
    </w:tbl>
    <w:p/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Sul/2024: reserva — </w:t>
      </w:r>
      <w:r>
        <w:rPr>
          <w:rFonts w:ascii="Times New Roman" w:hAnsi="Times New Roman" w:eastAsia="Times New Roman" w:cs="Times New Roman"/>
          <w:b w:val="0"/>
          <w:i/>
          <w:sz w:val="24"/>
        </w:rPr>
        <w:t>drill-down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+ fontes antes de narrativa regional forte.</w:t>
      </w:r>
    </w:p>
    <w:p>
      <w:pPr>
        <w:pStyle w:val="Heading3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3.6 Sazonalidade</w:t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Dezembro: ~18,5 %–29,4 % do caixa anual — fecho de exercício.</w:t>
      </w:r>
    </w:p>
    <w:p>
      <w:pPr>
        <w:pStyle w:val="Heading3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3.7 Figuras e interpretação</w:t>
      </w:r>
    </w:p>
    <w:p>
      <w:pPr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00000" cy="13738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evoluca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73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Níveis e YoY (tabela 3.1); sem desagregar 4/5 não se identifica o choque 2022/2023 internamente.</w:t>
      </w:r>
    </w:p>
    <w:p>
      <w:pPr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00000" cy="20398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composica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39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/>
          <w:sz w:val="24"/>
        </w:rPr>
        <w:t>Share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por ano; 2022 dominado por 4 vs 2021 com mais 5 — checar ações por trás das fatias.</w:t>
      </w:r>
    </w:p>
    <w:p>
      <w:pPr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00000" cy="27653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orgaos_sazonalidad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6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Órgãos (cf. 3.3) e soma mensal; dezembro = ritmo de exercício (cf. 3.6).</w:t>
      </w:r>
    </w:p>
    <w:p>
      <w:pPr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00000" cy="20317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regiao_an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31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Sul/2024 = hipótese de investigação, não prova de prioridade regional.</w:t>
      </w:r>
    </w:p>
    <w:p>
      <w:pPr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00000" cy="30874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correlacao_regio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087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Co-movimento em séries curtas; não causalidade; uso exploratório.</w:t>
      </w:r>
    </w:p>
    <w:p>
      <w:pPr>
        <w:pStyle w:val="Heading2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6"/>
        </w:rPr>
        <w:t>4. Contabilidade: accountability, governança e políticas públicas</w:t>
      </w:r>
    </w:p>
    <w:p>
      <w:pPr>
        <w:pStyle w:val="Heading3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4.1 Leitura integrada</w:t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A volatilidade, o </w:t>
      </w:r>
      <w:r>
        <w:rPr>
          <w:rFonts w:ascii="Times New Roman" w:hAnsi="Times New Roman" w:eastAsia="Times New Roman" w:cs="Times New Roman"/>
          <w:b w:val="0"/>
          <w:i/>
          <w:sz w:val="24"/>
        </w:rPr>
        <w:t>mix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4/5, a concentração, o mês de dezembro e a fraca leitura regional atenuam as “prioridades” que dependem apenas de caixa.</w:t>
      </w:r>
    </w:p>
    <w:p>
      <w:pPr>
        <w:pStyle w:val="Heading3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4.2 Accountability: vertical, horizontal, and social</w:t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A prestação de contas ocorre em três dimensões: vertical (entre níveis da hierarquia, entre o Executivo e o Legislativo, entre o Executivo e os Tribunais de Contas), horizontal (entre agências, entre diferentes partes do governo) e social (entre agências e a sociedade civil, entre agências e a imprensa, entre agências e especialistas, entre agências e ONGs), com os dados abertos destacando as dimensões social e horizontal. Transparência não é igual a contas efetivas desprovidas de um método e da conexão entre empenho, produto e meta, o que pode resultar em uma vigilância meramente simbólica. Cruzamento com o RTN, relatórios gerenciais, auditorias e avaliações.</w:t>
      </w:r>
    </w:p>
    <w:p>
      <w:pPr>
        <w:pStyle w:val="Heading3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4.3 Informação e sua governança</w:t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Lacunas UF/município criam desigualdade e impedem uma responsabilização territorial equitativa. Poucos órgãos, muita concentração: clássico do federal, mas perigo de titulares pontuais e outliers regionais.</w:t>
      </w:r>
    </w:p>
    <w:p>
      <w:pPr>
        <w:pStyle w:val="Heading3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4.4 Implicações e ética do território</w:t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Gestores: detalhar YoY (4/5, órgão, mês), monitorar programas, comparar liquidação com entrega real. Fiscalização externa: questões de auditoria, não verificação. Comunicação: legendas poderosas que vão além de "pagamentos". Quando se trata do território, não devemos empregar denominadores nem fazer comparações entre UFs, já que os mapas apenas funcionam como suposições.</w:t>
      </w:r>
    </w:p>
    <w:p>
      <w:pPr>
        <w:pStyle w:val="Heading2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6"/>
        </w:rPr>
        <w:t>Análises Finais</w:t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Esse mapeamento exploratório dos pagamentos federais em GND 4 e 5, entre 2021 e 2025, em regime de caixa do governo central, pode ser resumido em cinco grandes eixos. Primeiramente, constata-se uma grande volatilidade interanual do total, o que desaconselha tirar conclusões sobre uma tendência estrutural com base em um único ano. Em segundo lugar, a relação entre investimentos e inversões financeiras varia bastante: o debate público sobre “investimento” deve distinguir natureza orçamentária, calendário de liquidação e resultado de política. Em terceiro lugar, existe uma alta concentração em um pequeno número de órgãos máximos, o que é consistente com a estrutura do orçamento federal, mas ainda assim requer uma avaliação cuidadosa em relação aos programas e aos seus responsáveis. Quarto, a sazonalidade significativa em dezembro espelha o fechamento do exercício. Quinto, a leitura regional ainda depende de lacunas cadastrais e de eventos esporádicos, como se viu no Sul em 2024.</w:t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A reprodutibilidade técnica (Parquet, notebook e scripts) no que toca à prestação de contas e à governança do que foi produzido socialmente reforça o controle social ao se integrar a ecossistemas de informação mais amplos — RTN, relatórios de gestão, auditorias e, quando houver, avaliações de programas. A transparência dos dados é uma condição essencial, mas não é suficiente para garantir uma responsabilização eficaz: é fundamental ter a capacidade de análise, comparações apropriadas e canais institucionais para a resposta.</w:t>
      </w:r>
    </w:p>
    <w:p>
      <w:pPr>
        <w:spacing w:lineRule="auto" w:line="276" w:after="6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Entre as continuidades sugeridas para futuras pesquisas, está a proposta de relacionar os fluxos de caixa com empenhos e metas físicas dos programas; incluir denominadores regionais (por meio do IBGE) nas análises per capita ou relativas ao produto; e investigar, através de um detalhamento orçamentário, as ações que esclarecem outliers temporais e territoriais. Dessa forma, chega ao fim um ciclo de descrição e interpretação cautelosa dos dados, permitindo a entrada de investigações mais sistematizadas no campo da ciência de dados aplicada ao setor público.</w:t>
      </w:r>
    </w:p>
    <w:p>
      <w:pPr>
        <w:pStyle w:val="Heading2"/>
        <w:pageBreakBefore w:val="0"/>
        <w:spacing w:lineRule="auto" w:line="276" w:after="60"/>
        <w:ind w:firstLine="0"/>
        <w:jc w:val="left"/>
      </w:pPr>
      <w:r>
        <w:rPr>
          <w:rFonts w:ascii="Times New Roman" w:hAnsi="Times New Roman" w:eastAsia="Times New Roman" w:cs="Times New Roman"/>
          <w:sz w:val="26"/>
        </w:rPr>
        <w:t>Referências</w:t>
      </w:r>
    </w:p>
    <w:p>
      <w:pPr>
        <w:spacing w:lineRule="auto" w:line="276" w:after="60"/>
        <w:ind w:left="709" w:hanging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BRASIL. Constituição da República Federativa do Brasil, 1988 (arts. 37 e 6º). Ajustar ABNT.</w:t>
      </w:r>
    </w:p>
    <w:p>
      <w:pPr>
        <w:spacing w:lineRule="auto" w:line="276" w:after="60"/>
        <w:ind w:left="709" w:hanging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BRASIL. Portal da Transparência. https://www.portaldatransparencia.gov.br/ (https://www.portaldatransparencia.gov.br/) (acesso: 12 abril 2026).</w:t>
      </w:r>
    </w:p>
    <w:p>
      <w:pPr>
        <w:spacing w:lineRule="auto" w:line="276" w:after="60"/>
        <w:ind w:left="709" w:hanging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metadados-investimentos.pdf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(repositório).</w:t>
      </w:r>
    </w:p>
    <w:p>
      <w:pPr>
        <w:spacing w:lineRule="auto" w:line="276" w:after="60"/>
        <w:ind w:left="709" w:hanging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IBGE. https://www.ibge.gov.br/ (https://www.ibge.gov.br/) (acesso: 05 abril 2026).</w:t>
      </w:r>
    </w:p>
    <w:p>
      <w:pPr>
        <w:spacing w:lineRule="auto" w:line="276" w:after="60"/>
        <w:ind w:left="709" w:hanging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BRUCE, Andrew; BRUCE, Peter. </w:t>
      </w:r>
      <w:r>
        <w:rPr>
          <w:rFonts w:ascii="Times New Roman" w:hAnsi="Times New Roman" w:eastAsia="Times New Roman" w:cs="Times New Roman"/>
          <w:b w:val="0"/>
          <w:i/>
          <w:sz w:val="24"/>
        </w:rPr>
        <w:t>Estatística prática para cientistas de dados: 50 conceitos essenciais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>. 1 jul. 2019.</w:t>
      </w:r>
    </w:p>
    <w:p>
      <w:pPr>
        <w:spacing w:lineRule="auto" w:line="276" w:after="60"/>
        <w:ind w:left="709" w:hanging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DUARTE, Nancy. </w:t>
      </w:r>
      <w:r>
        <w:rPr>
          <w:rFonts w:ascii="Times New Roman" w:hAnsi="Times New Roman" w:eastAsia="Times New Roman" w:cs="Times New Roman"/>
          <w:b w:val="0"/>
          <w:i/>
          <w:sz w:val="24"/>
        </w:rPr>
        <w:t>Data Story: explique dados e inspire ações por meio de história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>. 25 jan. 2022.</w:t>
      </w:r>
    </w:p>
    <w:p>
      <w:pPr>
        <w:spacing w:lineRule="auto" w:line="276" w:after="60"/>
        <w:ind w:left="709" w:hanging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GRUS, Joel. </w:t>
      </w:r>
      <w:r>
        <w:rPr>
          <w:rFonts w:ascii="Times New Roman" w:hAnsi="Times New Roman" w:eastAsia="Times New Roman" w:cs="Times New Roman"/>
          <w:b w:val="0"/>
          <w:i/>
          <w:sz w:val="24"/>
        </w:rPr>
        <w:t>Data science do zero — 2.ª ed.: noções fundamentais com Python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>. 30 mar. 2021.</w:t>
      </w:r>
    </w:p>
    <w:p>
      <w:pPr>
        <w:spacing w:lineRule="auto" w:line="276" w:after="60"/>
        <w:ind w:left="709" w:hanging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MATTHES, Eric. </w:t>
      </w:r>
      <w:r>
        <w:rPr>
          <w:rFonts w:ascii="Times New Roman" w:hAnsi="Times New Roman" w:eastAsia="Times New Roman" w:cs="Times New Roman"/>
          <w:b w:val="0"/>
          <w:i/>
          <w:sz w:val="24"/>
        </w:rPr>
        <w:t>Curso intensivo de Python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>. 19 mai. 2016.</w:t>
      </w:r>
    </w:p>
    <w:p>
      <w:pPr>
        <w:spacing w:lineRule="auto" w:line="276" w:after="60"/>
        <w:ind w:left="709" w:hanging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NETTO, Amilcar; MACIEL, Francisco. </w:t>
      </w:r>
      <w:r>
        <w:rPr>
          <w:rFonts w:ascii="Times New Roman" w:hAnsi="Times New Roman" w:eastAsia="Times New Roman" w:cs="Times New Roman"/>
          <w:b w:val="0"/>
          <w:i/>
          <w:sz w:val="24"/>
        </w:rPr>
        <w:t>Python para Data Science: e machine learning descomplicado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>. 8 jul. 2021.</w:t>
      </w:r>
    </w:p>
    <w:p>
      <w:pPr>
        <w:spacing w:lineRule="auto" w:line="276" w:after="60"/>
        <w:ind w:left="709" w:hanging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SWEIGART, Al. </w:t>
      </w:r>
      <w:r>
        <w:rPr>
          <w:rFonts w:ascii="Times New Roman" w:hAnsi="Times New Roman" w:eastAsia="Times New Roman" w:cs="Times New Roman"/>
          <w:b w:val="0"/>
          <w:i/>
          <w:sz w:val="24"/>
        </w:rPr>
        <w:t>Automatize tarefas maçantes com Python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>. 10 ago. 2015.</w:t>
      </w:r>
    </w:p>
    <w:p>
      <w:pPr>
        <w:spacing w:lineRule="auto" w:line="276" w:after="60"/>
        <w:ind w:left="709" w:hanging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VANDERPLAS, Jake. </w:t>
      </w:r>
      <w:r>
        <w:rPr>
          <w:rFonts w:ascii="Times New Roman" w:hAnsi="Times New Roman" w:eastAsia="Times New Roman" w:cs="Times New Roman"/>
          <w:b w:val="0"/>
          <w:i/>
          <w:sz w:val="24"/>
        </w:rPr>
        <w:t>Guia do Python para data science: tradução da 2.ª edição — ferramentas essenciais para trabalhar com dados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>. 30 abr. 2025.</w:t>
      </w:r>
    </w:p>
    <w:sectPr w:rsidR="00FC693F" w:rsidRPr="0006063C" w:rsidSect="00034616">
      <w:footerReference w:type="default" r:id="rId9"/>
      <w:type w:val="continuous"/>
      <w:pgSz w:w="12240" w:h="15840"/>
      <w:pgMar w:top="1134" w:right="1134" w:bottom="1134" w:left="1701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 PAGE \* MERGEFORMAT ">
      <w:r>
        <w:rPr>
          <w:rFonts w:ascii="Times New Roman" w:hAnsi="Times New Roman" w:eastAsia="Times New Roman" w:cs="Times New Roman"/>
          <w:sz w:val="22"/>
          <w:szCs w:val="22"/>
        </w:rPr>
        <w:t xml:space="preserve"> 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