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Projeto final — Introdução ao Machine Learning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Disciplina: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Introdução ao Machine Learning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Curso: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Mestrado em Administração Pública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Área de concentração: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Ciência de Dados e Inteligência Artificial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Docente responsável: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Roberta Moreira Wichmann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Ano e bimestre de referência: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2026/1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Título do projeto: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Previsão de despesas em diárias e passagens com dados do SCDP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Autores: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Renê Estevam; Rodrigo Costa; Liandro Silva</w:t>
      </w:r>
    </w:p>
    <w:p>
      <w:pPr>
        <w:pStyle w:val="Heading2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1. Introdução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A modelagem está descrita no notebook </w:t>
      </w:r>
      <w:r>
        <w:rPr>
          <w:rFonts w:ascii="Times New Roman" w:hAnsi="Times New Roman" w:eastAsia="Times New Roman" w:cs="Times New Roman"/>
          <w:b w:val="0"/>
          <w:i/>
          <w:sz w:val="24"/>
        </w:rPr>
        <w:t>rene_estevam_deckers_atividade_2.ipynb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; este ficheiro é o relatório em texto. Os dados são do conjunto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Viagens a Serviço do Governo Federal (SCDP)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(dados.gov.br (https://dados.gov.br/dados/conjuntos-dados/viagens-a-servico-do-governo-federal-scdp)), no mesmo tipo de CSV já trabalhado na Atividade 1 (</w:t>
      </w:r>
      <w:r>
        <w:rPr>
          <w:rFonts w:ascii="Times New Roman" w:hAnsi="Times New Roman" w:eastAsia="Times New Roman" w:cs="Times New Roman"/>
          <w:b w:val="0"/>
          <w:i/>
          <w:sz w:val="24"/>
        </w:rPr>
        <w:t>rene_estevam_deckers.ipynb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), por exemplo </w:t>
      </w:r>
      <w:r>
        <w:rPr>
          <w:rFonts w:ascii="Courier New" w:hAnsi="Courier New"/>
          <w:b w:val="0"/>
          <w:i w:val="0"/>
          <w:sz w:val="22"/>
        </w:rPr>
        <w:t>base_rene_estevam_deckers.csv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Cada linha corresponde a um trecho de viagem ou a um lançamento (órgão, unidade gestora, datas, motivo, valores de diárias e de passagem, meio de transporte, origem e destino, entre outros campos). Uma viagem pode aparecer em mais do que uma linha. O foco é explorar padrões de gasto e apoiar a leitura dos custos, sem pretender substituir normas orçamentárias nem decisões administrativas.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O problema abordado é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>regressão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: estimar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total da despesa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em R$ com base nas outras variáveis do registo. No código, o alvo está em </w:t>
      </w:r>
      <w:r>
        <w:rPr>
          <w:rFonts w:ascii="Courier New" w:hAnsi="Courier New"/>
          <w:b w:val="0"/>
          <w:i w:val="0"/>
          <w:sz w:val="22"/>
        </w:rPr>
        <w:t>valor_total_num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. A descrição das 23 variáveis mantém-se no </w:t>
      </w:r>
      <w:r>
        <w:rPr>
          <w:rFonts w:ascii="Courier New" w:hAnsi="Courier New"/>
          <w:b w:val="0"/>
          <w:i w:val="0"/>
          <w:sz w:val="22"/>
        </w:rPr>
        <w:t>dicionario_rene_estevam_deckers.xlsx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da primeira entrega.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Na construção das preditoras (</w:t>
      </w:r>
      <w:r>
        <w:rPr>
          <w:rFonts w:ascii="Courier New" w:hAnsi="Courier New"/>
          <w:b w:val="0"/>
          <w:i w:val="0"/>
          <w:sz w:val="22"/>
        </w:rPr>
        <w:t>X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), retirámos parcelas monetárias que, na mesma linha, entram no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total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diárias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passagem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 e evitámos repetir o alvo na forma textual do total, para reduzir </w:t>
      </w:r>
      <w:r>
        <w:rPr>
          <w:rFonts w:ascii="Times New Roman" w:hAnsi="Times New Roman" w:eastAsia="Times New Roman" w:cs="Times New Roman"/>
          <w:b w:val="0"/>
          <w:i/>
          <w:sz w:val="24"/>
        </w:rPr>
        <w:t>data leakage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. Se essas parcelas entrassem como </w:t>
      </w:r>
      <w:r>
        <w:rPr>
          <w:rFonts w:ascii="Times New Roman" w:hAnsi="Times New Roman" w:eastAsia="Times New Roman" w:cs="Times New Roman"/>
          <w:b w:val="0"/>
          <w:i/>
          <w:sz w:val="24"/>
        </w:rPr>
        <w:t>features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, o modelo aproximava-se de reconstruir o próprio total em vez de aprender a relação com as características da viagem.</w:t>
      </w:r>
    </w:p>
    <w:p>
      <w:pPr>
        <w:pStyle w:val="Heading2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2. Metodologia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No </w:t>
      </w:r>
      <w:r>
        <w:rPr>
          <w:rFonts w:ascii="Times New Roman" w:hAnsi="Times New Roman" w:eastAsia="Times New Roman" w:cs="Times New Roman"/>
          <w:b w:val="0"/>
          <w:i/>
          <w:sz w:val="24"/>
        </w:rPr>
        <w:t>rene_estevam_deckers_atividade_2.ipynb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percorremos, passo a passo, análise descritiva inicial, divisão treino/teste, pré-processamento, escolha e comparação de modelos, métricas, ajuste de hiperparâmetros e avaliação final no conjunto de teste. O que segue resume as decisões principais; o código e as figuras completas ficam no notebook.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2.1. Análise descritiva preliminar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Reutilizámos a preparação da </w:t>
      </w:r>
      <w:r>
        <w:rPr>
          <w:rFonts w:ascii="Times New Roman" w:hAnsi="Times New Roman" w:eastAsia="Times New Roman" w:cs="Times New Roman"/>
          <w:b/>
          <w:i w:val="0"/>
          <w:sz w:val="24"/>
        </w:rPr>
        <w:t>Atividade 1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eastAsia="Times New Roman" w:cs="Times New Roman"/>
          <w:b w:val="0"/>
          <w:i/>
          <w:sz w:val="24"/>
        </w:rPr>
        <w:t>rene_estevam_deckers.ipynb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): importação do CSV, remoção de duplicatas e conversão para número dos campos de valores e de </w:t>
      </w:r>
      <w:r>
        <w:rPr>
          <w:rFonts w:ascii="Times New Roman" w:hAnsi="Times New Roman" w:eastAsia="Times New Roman" w:cs="Times New Roman"/>
          <w:b w:val="0"/>
          <w:i/>
          <w:sz w:val="24"/>
        </w:rPr>
        <w:t>Número diárias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para permitir estatísticas e gráficos coerentes. O conjunto final tem </w:t>
      </w:r>
      <w:r>
        <w:rPr>
          <w:rFonts w:ascii="Times New Roman" w:hAnsi="Times New Roman" w:eastAsia="Times New Roman" w:cs="Times New Roman"/>
          <w:b/>
          <w:i w:val="0"/>
          <w:sz w:val="24"/>
        </w:rPr>
        <w:t>cerca de 2,2 milhões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de registos.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total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(alvo) é assimétrico à direita (média acima da mediana, cauda longa), o que faz com que erros grandes pesem mais em métricas quadráticas.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passagem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mistura muitos zeros, valores positivos e, por vezes, valores negativos ligados a ajustes. Em </w:t>
      </w:r>
      <w:r>
        <w:rPr>
          <w:rFonts w:ascii="Times New Roman" w:hAnsi="Times New Roman" w:eastAsia="Times New Roman" w:cs="Times New Roman"/>
          <w:b/>
          <w:i w:val="0"/>
          <w:sz w:val="24"/>
        </w:rPr>
        <w:t>Município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i w:val="0"/>
          <w:sz w:val="24"/>
        </w:rPr>
        <w:t>UF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categoria de passagem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há muitos valores em falta; nos textos (</w:t>
      </w:r>
      <w:r>
        <w:rPr>
          <w:rFonts w:ascii="Times New Roman" w:hAnsi="Times New Roman" w:eastAsia="Times New Roman" w:cs="Times New Roman"/>
          <w:b w:val="0"/>
          <w:i/>
          <w:sz w:val="24"/>
        </w:rPr>
        <w:t>Cargo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  <w:sz w:val="24"/>
        </w:rPr>
        <w:t>Motivo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  <w:sz w:val="24"/>
        </w:rPr>
        <w:t>Meio de transporte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) foi preciso combinar imputação com codificação que não explodisse a dimensão.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Na correlação linear com o alvo, sobressaem a </w:t>
      </w:r>
      <w:r>
        <w:rPr>
          <w:rFonts w:ascii="Times New Roman" w:hAnsi="Times New Roman" w:eastAsia="Times New Roman" w:cs="Times New Roman"/>
          <w:b/>
          <w:i w:val="0"/>
          <w:sz w:val="24"/>
        </w:rPr>
        <w:t>duração em dias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(intervalo entre datas de fim e de início),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número de diárias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monetário das diárias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; estes dois últimos correlacionam bastante entre si, o que aperta modelos lineares simples sem regularização ou sem cuidado na escolha de variáveis. Os gráficos completos da descritiva estão na Atividade 1; aqui só retemos o que guiou a modelagem.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2.2. Divisão entre treino e teste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Definimos </w:t>
      </w:r>
      <w:r>
        <w:rPr>
          <w:rFonts w:ascii="Times New Roman" w:hAnsi="Times New Roman" w:eastAsia="Times New Roman" w:cs="Times New Roman"/>
          <w:b/>
          <w:i w:val="0"/>
          <w:sz w:val="24"/>
        </w:rPr>
        <w:t>80% treino / 20% teste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</w:t>
      </w:r>
      <w:r>
        <w:rPr>
          <w:rFonts w:ascii="Courier New" w:hAnsi="Courier New"/>
          <w:b w:val="0"/>
          <w:i w:val="0"/>
          <w:sz w:val="22"/>
        </w:rPr>
        <w:t>test_size=0.2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 e fixámos </w:t>
      </w:r>
      <w:r>
        <w:rPr>
          <w:rFonts w:ascii="Courier New" w:hAnsi="Courier New"/>
          <w:b/>
          <w:i w:val="0"/>
          <w:sz w:val="22"/>
        </w:rPr>
        <w:t>random_state=42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para o resultado poder ser repetido ao correr o mesmo código.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Como o alvo é contínuo e muito assimétrico, um </w:t>
      </w:r>
      <w:r>
        <w:rPr>
          <w:rFonts w:ascii="Times New Roman" w:hAnsi="Times New Roman" w:eastAsia="Times New Roman" w:cs="Times New Roman"/>
          <w:b w:val="0"/>
          <w:i/>
          <w:sz w:val="24"/>
        </w:rPr>
        <w:t>split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puramente aleatório pode desequilibrar, por acaso, a mistura de valores baixos, médios e altos entre treino e teste. Por isso usámos </w:t>
      </w:r>
      <w:r>
        <w:rPr>
          <w:rFonts w:ascii="Times New Roman" w:hAnsi="Times New Roman" w:eastAsia="Times New Roman" w:cs="Times New Roman"/>
          <w:b/>
          <w:i w:val="0"/>
          <w:sz w:val="24"/>
        </w:rPr>
        <w:t>estratificação por decis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do alvo (</w:t>
      </w:r>
      <w:r>
        <w:rPr>
          <w:rFonts w:ascii="Courier New" w:hAnsi="Courier New"/>
          <w:b w:val="0"/>
          <w:i w:val="0"/>
          <w:sz w:val="22"/>
        </w:rPr>
        <w:t>pd.qcut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com </w:t>
      </w:r>
      <w:r>
        <w:rPr>
          <w:rFonts w:ascii="Courier New" w:hAnsi="Courier New"/>
          <w:b w:val="0"/>
          <w:i w:val="0"/>
          <w:sz w:val="22"/>
        </w:rPr>
        <w:t>duplicates="drop"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quando há empates nos quantis) e passámos essa etiqueta ao </w:t>
      </w:r>
      <w:r>
        <w:rPr>
          <w:rFonts w:ascii="Courier New" w:hAnsi="Courier New"/>
          <w:b w:val="0"/>
          <w:i w:val="0"/>
          <w:sz w:val="22"/>
        </w:rPr>
        <w:t>stratify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de </w:t>
      </w:r>
      <w:r>
        <w:rPr>
          <w:rFonts w:ascii="Courier New" w:hAnsi="Courier New"/>
          <w:b w:val="0"/>
          <w:i w:val="0"/>
          <w:sz w:val="22"/>
        </w:rPr>
        <w:t>train_test_split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, para aproximar a distribuição do custo nos dois lados.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O conjunto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>teste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não entra no </w:t>
      </w:r>
      <w:r>
        <w:rPr>
          <w:rFonts w:ascii="Courier New" w:hAnsi="Courier New"/>
          <w:b w:val="0"/>
          <w:i w:val="0"/>
          <w:sz w:val="22"/>
        </w:rPr>
        <w:t>fit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do pré-processamento nem no treino dos modelos; serve só para a </w:t>
      </w:r>
      <w:r>
        <w:rPr>
          <w:rFonts w:ascii="Times New Roman" w:hAnsi="Times New Roman" w:eastAsia="Times New Roman" w:cs="Times New Roman"/>
          <w:b/>
          <w:i w:val="0"/>
          <w:sz w:val="24"/>
        </w:rPr>
        <w:t>avaliação final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. Linhas sem </w:t>
      </w:r>
      <w:r>
        <w:rPr>
          <w:rFonts w:ascii="Courier New" w:hAnsi="Courier New"/>
          <w:b w:val="0"/>
          <w:i w:val="0"/>
          <w:sz w:val="22"/>
        </w:rPr>
        <w:t>valor_total_num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saem antes da divisão. Em </w:t>
      </w:r>
      <w:r>
        <w:rPr>
          <w:rFonts w:ascii="Courier New" w:hAnsi="Courier New"/>
          <w:b w:val="0"/>
          <w:i w:val="0"/>
          <w:sz w:val="22"/>
        </w:rPr>
        <w:t>X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ficam as colunas úteis </w:t>
      </w:r>
      <w:r>
        <w:rPr>
          <w:rFonts w:ascii="Times New Roman" w:hAnsi="Times New Roman" w:eastAsia="Times New Roman" w:cs="Times New Roman"/>
          <w:b/>
          <w:i w:val="0"/>
          <w:sz w:val="24"/>
        </w:rPr>
        <w:t>exceto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o alvo numérico e a coluna textual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total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, quando existe.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2.3. Pré-processamento e transformações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Encaixámos pré-processamento e regressor num </w:t>
      </w:r>
      <w:r>
        <w:rPr>
          <w:rFonts w:ascii="Courier New" w:hAnsi="Courier New"/>
          <w:b/>
          <w:i w:val="0"/>
          <w:sz w:val="22"/>
        </w:rPr>
        <w:t>Pipeline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</w:t>
      </w:r>
      <w:r>
        <w:rPr>
          <w:rFonts w:ascii="Courier New" w:hAnsi="Courier New"/>
          <w:b w:val="0"/>
          <w:i w:val="0"/>
          <w:sz w:val="22"/>
        </w:rPr>
        <w:t>ColumnTransformer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+ modelo): medianas, modas, escalas e </w:t>
      </w:r>
      <w:r>
        <w:rPr>
          <w:rFonts w:ascii="Times New Roman" w:hAnsi="Times New Roman" w:eastAsia="Times New Roman" w:cs="Times New Roman"/>
          <w:b w:val="0"/>
          <w:i/>
          <w:sz w:val="24"/>
        </w:rPr>
        <w:t>one-hot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aprendem-se </w:t>
      </w:r>
      <w:r>
        <w:rPr>
          <w:rFonts w:ascii="Times New Roman" w:hAnsi="Times New Roman" w:eastAsia="Times New Roman" w:cs="Times New Roman"/>
          <w:b/>
          <w:i w:val="0"/>
          <w:sz w:val="24"/>
        </w:rPr>
        <w:t>só no treino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aplicam-se ao teste com </w:t>
      </w:r>
      <w:r>
        <w:rPr>
          <w:rFonts w:ascii="Courier New" w:hAnsi="Courier New"/>
          <w:b w:val="0"/>
          <w:i w:val="0"/>
          <w:sz w:val="22"/>
        </w:rPr>
        <w:t>transform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para não haver </w:t>
      </w:r>
      <w:r>
        <w:rPr>
          <w:rFonts w:ascii="Times New Roman" w:hAnsi="Times New Roman" w:eastAsia="Times New Roman" w:cs="Times New Roman"/>
          <w:b w:val="0"/>
          <w:i/>
          <w:sz w:val="24"/>
        </w:rPr>
        <w:t>data leakage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por estatísticas calculadas com linhas de avaliação.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Criámos </w:t>
      </w:r>
      <w:r>
        <w:rPr>
          <w:rFonts w:ascii="Courier New" w:hAnsi="Courier New"/>
          <w:b/>
          <w:i w:val="0"/>
          <w:sz w:val="22"/>
        </w:rPr>
        <w:t>duracao_dias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entre a data de fim e a de início (negativos cortados a zero), alinhado ao que na Fase 1 já se observava em relação ao custo. Tirámos também colunas de datas e textos redundantes ou difíceis de tratar no </w:t>
      </w:r>
      <w:r>
        <w:rPr>
          <w:rFonts w:ascii="Courier New" w:hAnsi="Courier New"/>
          <w:b w:val="0"/>
          <w:i w:val="0"/>
          <w:sz w:val="22"/>
        </w:rPr>
        <w:t>ColumnTransformer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Valor diárias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passagem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ficam de fora das preditoras porque, na mesma linha, entram no total; usá-las como </w:t>
      </w:r>
      <w:r>
        <w:rPr>
          <w:rFonts w:ascii="Times New Roman" w:hAnsi="Times New Roman" w:eastAsia="Times New Roman" w:cs="Times New Roman"/>
          <w:b w:val="0"/>
          <w:i/>
          <w:sz w:val="24"/>
        </w:rPr>
        <w:t>features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chega perto de “copiar” o alvo. </w:t>
      </w:r>
      <w:r>
        <w:rPr>
          <w:rFonts w:ascii="Times New Roman" w:hAnsi="Times New Roman" w:eastAsia="Times New Roman" w:cs="Times New Roman"/>
          <w:b/>
          <w:i w:val="0"/>
          <w:sz w:val="24"/>
        </w:rPr>
        <w:t>Nome servidor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saiu por ser identificador individual e pouco adequado a um modelo agregado de despesa, além da questão de privacidade. Mantivemos </w:t>
      </w:r>
      <w:r>
        <w:rPr>
          <w:rFonts w:ascii="Times New Roman" w:hAnsi="Times New Roman" w:eastAsia="Times New Roman" w:cs="Times New Roman"/>
          <w:b/>
          <w:i w:val="0"/>
          <w:sz w:val="24"/>
        </w:rPr>
        <w:t>Número diárias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como quantidade; tirar o valor monetário das diárias ajuda a não repetir informação entre número e montante.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Valores em falta: </w:t>
      </w:r>
      <w:r>
        <w:rPr>
          <w:rFonts w:ascii="Courier New" w:hAnsi="Courier New"/>
          <w:b w:val="0"/>
          <w:i w:val="0"/>
          <w:sz w:val="22"/>
        </w:rPr>
        <w:t>SimpleImputer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com </w:t>
      </w:r>
      <w:r>
        <w:rPr>
          <w:rFonts w:ascii="Times New Roman" w:hAnsi="Times New Roman" w:eastAsia="Times New Roman" w:cs="Times New Roman"/>
          <w:b/>
          <w:i w:val="0"/>
          <w:sz w:val="24"/>
        </w:rPr>
        <w:t>mediana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nos números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moda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nas categorias, ajustado no treino. Categorias: </w:t>
      </w:r>
      <w:r>
        <w:rPr>
          <w:rFonts w:ascii="Courier New" w:hAnsi="Courier New"/>
          <w:b w:val="0"/>
          <w:i w:val="0"/>
          <w:sz w:val="22"/>
        </w:rPr>
        <w:t>OneHotEncoder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eastAsia="Times New Roman" w:cs="Times New Roman"/>
          <w:b/>
          <w:i w:val="0"/>
          <w:sz w:val="24"/>
        </w:rPr>
        <w:t>até 25 categorias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por variável, </w:t>
      </w:r>
      <w:r>
        <w:rPr>
          <w:rFonts w:ascii="Courier New" w:hAnsi="Courier New"/>
          <w:b w:val="0"/>
          <w:i w:val="0"/>
          <w:sz w:val="22"/>
        </w:rPr>
        <w:t>handle_unknown='ignore'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saída </w:t>
      </w:r>
      <w:r>
        <w:rPr>
          <w:rFonts w:ascii="Times New Roman" w:hAnsi="Times New Roman" w:eastAsia="Times New Roman" w:cs="Times New Roman"/>
          <w:b/>
          <w:i w:val="0"/>
          <w:sz w:val="24"/>
        </w:rPr>
        <w:t>esparsa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quando o pacote permite), por causa do volume de linhas. Depois da imputação, as numéricas passam por </w:t>
      </w:r>
      <w:r>
        <w:rPr>
          <w:rFonts w:ascii="Courier New" w:hAnsi="Courier New"/>
          <w:b/>
          <w:i w:val="0"/>
          <w:sz w:val="22"/>
        </w:rPr>
        <w:t>StandardScaler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, o que ajuda o Ridge e coloca escalas mais parecidas.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HistGradientBoostingRegressor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RandomForestRegressor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(nas versões que usámos) pedem </w:t>
      </w:r>
      <w:r>
        <w:rPr>
          <w:rFonts w:ascii="Times New Roman" w:hAnsi="Times New Roman" w:eastAsia="Times New Roman" w:cs="Times New Roman"/>
          <w:b/>
          <w:i w:val="0"/>
          <w:sz w:val="24"/>
        </w:rPr>
        <w:t>matriz densa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depois do </w:t>
      </w:r>
      <w:r>
        <w:rPr>
          <w:rFonts w:ascii="Times New Roman" w:hAnsi="Times New Roman" w:eastAsia="Times New Roman" w:cs="Times New Roman"/>
          <w:b w:val="0"/>
          <w:i/>
          <w:sz w:val="24"/>
        </w:rPr>
        <w:t>one-hot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com </w:t>
      </w:r>
      <w:r>
        <w:rPr>
          <w:rFonts w:ascii="Courier New" w:hAnsi="Courier New"/>
          <w:b w:val="0"/>
          <w:i w:val="0"/>
          <w:sz w:val="22"/>
        </w:rPr>
        <w:t>.toarray()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muita RAM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. Daí o uso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>subamostras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</w:t>
      </w:r>
      <w:r>
        <w:rPr>
          <w:rFonts w:ascii="Courier New" w:hAnsi="Courier New"/>
          <w:b w:val="0"/>
          <w:i w:val="0"/>
          <w:sz w:val="22"/>
        </w:rPr>
        <w:t>AMOSTRA_CV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AMOSTRA_RF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, etc.) nas partes mais pesadas, como forma de caber na máquina disponível sem desistir do exercício.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2.4. Construção e escolha do modelo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Testámos três regressores com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mesmo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pré-processamento (</w:t>
      </w:r>
      <w:r>
        <w:rPr>
          <w:rFonts w:ascii="Courier New" w:hAnsi="Courier New"/>
          <w:b w:val="0"/>
          <w:i w:val="0"/>
          <w:sz w:val="22"/>
        </w:rPr>
        <w:t>clone(preprocessor)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+ estimador), para que a comparação não misture transformações diferentes.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Ridge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serve de referência </w:t>
      </w:r>
      <w:r>
        <w:rPr>
          <w:rFonts w:ascii="Times New Roman" w:hAnsi="Times New Roman" w:eastAsia="Times New Roman" w:cs="Times New Roman"/>
          <w:b/>
          <w:i w:val="0"/>
          <w:sz w:val="24"/>
        </w:rPr>
        <w:t>linear com regularização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(L2) e ainda lida bem com entrada esparsa do </w:t>
      </w:r>
      <w:r>
        <w:rPr>
          <w:rFonts w:ascii="Times New Roman" w:hAnsi="Times New Roman" w:eastAsia="Times New Roman" w:cs="Times New Roman"/>
          <w:b w:val="0"/>
          <w:i/>
          <w:sz w:val="24"/>
        </w:rPr>
        <w:t>one-hot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</w:rPr>
        <w:t>HistGradientBoostingRegressor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RandomForestRegressor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são </w:t>
      </w:r>
      <w:r>
        <w:rPr>
          <w:rFonts w:ascii="Times New Roman" w:hAnsi="Times New Roman" w:eastAsia="Times New Roman" w:cs="Times New Roman"/>
          <w:b/>
          <w:i w:val="0"/>
          <w:sz w:val="24"/>
        </w:rPr>
        <w:t>árvores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 w:val="0"/>
          <w:i/>
          <w:sz w:val="24"/>
        </w:rPr>
        <w:t>ensembles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, mais flexíveis quando há relações não lineares e cruzamentos entre categorias codificadas e variáveis numéricas.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No </w:t>
      </w:r>
      <w:r>
        <w:rPr>
          <w:rFonts w:ascii="Times New Roman" w:hAnsi="Times New Roman" w:eastAsia="Times New Roman" w:cs="Times New Roman"/>
          <w:b/>
          <w:i w:val="0"/>
          <w:sz w:val="24"/>
        </w:rPr>
        <w:t>treino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com </w:t>
      </w:r>
      <w:r>
        <w:rPr>
          <w:rFonts w:ascii="Courier New" w:hAnsi="Courier New"/>
          <w:b/>
          <w:i w:val="0"/>
          <w:sz w:val="22"/>
        </w:rPr>
        <w:t>cross_validate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(MSE negativo, de onde sai o RMSE, mais MAE e R² por </w:t>
      </w:r>
      <w:r>
        <w:rPr>
          <w:rFonts w:ascii="Times New Roman" w:hAnsi="Times New Roman" w:eastAsia="Times New Roman" w:cs="Times New Roman"/>
          <w:b w:val="0"/>
          <w:i/>
          <w:sz w:val="24"/>
        </w:rPr>
        <w:t>fold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), o teste continuou de fora. Na execução que está no notebook, a </w:t>
      </w:r>
      <w:r>
        <w:rPr>
          <w:rFonts w:ascii="Times New Roman" w:hAnsi="Times New Roman" w:eastAsia="Times New Roman" w:cs="Times New Roman"/>
          <w:b/>
          <w:i w:val="0"/>
          <w:sz w:val="24"/>
        </w:rPr>
        <w:t>Random Forest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teve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menor RMSE médio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na validação cruzada;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Ridge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ficou atrás, o que faz sentido com muitas </w:t>
      </w:r>
      <w:r>
        <w:rPr>
          <w:rFonts w:ascii="Times New Roman" w:hAnsi="Times New Roman" w:eastAsia="Times New Roman" w:cs="Times New Roman"/>
          <w:b w:val="0"/>
          <w:i/>
          <w:sz w:val="24"/>
        </w:rPr>
        <w:t>dummies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após </w:t>
      </w:r>
      <w:r>
        <w:rPr>
          <w:rFonts w:ascii="Times New Roman" w:hAnsi="Times New Roman" w:eastAsia="Times New Roman" w:cs="Times New Roman"/>
          <w:b w:val="0"/>
          <w:i/>
          <w:sz w:val="24"/>
        </w:rPr>
        <w:t>one-hot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com o formato do alvo.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2.5. Métricas utilizadas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Usámos </w:t>
      </w:r>
      <w:r>
        <w:rPr>
          <w:rFonts w:ascii="Times New Roman" w:hAnsi="Times New Roman" w:eastAsia="Times New Roman" w:cs="Times New Roman"/>
          <w:b/>
          <w:i w:val="0"/>
          <w:sz w:val="24"/>
        </w:rPr>
        <w:t>RMSE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(castiga erros grandes; mesma unidade do alvo), </w:t>
      </w:r>
      <w:r>
        <w:rPr>
          <w:rFonts w:ascii="Times New Roman" w:hAnsi="Times New Roman" w:eastAsia="Times New Roman" w:cs="Times New Roman"/>
          <w:b/>
          <w:i w:val="0"/>
          <w:sz w:val="24"/>
        </w:rPr>
        <w:t>MAE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(erro médio em R$, menos sensível a poucos valores muito extremos)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R²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(quanto da variância do alvo o modelo explica, no treino/CV ou no teste). As três métricas aparecem na CV e de novo na avaliação final no </w:t>
      </w:r>
      <w:r>
        <w:rPr>
          <w:rFonts w:ascii="Times New Roman" w:hAnsi="Times New Roman" w:eastAsia="Times New Roman" w:cs="Times New Roman"/>
          <w:b w:val="0"/>
          <w:i/>
          <w:sz w:val="24"/>
        </w:rPr>
        <w:t>hold-out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2.6. Otimização de hiperparâmetros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Corremos </w:t>
      </w:r>
      <w:r>
        <w:rPr>
          <w:rFonts w:ascii="Courier New" w:hAnsi="Courier New"/>
          <w:b/>
          <w:i w:val="0"/>
          <w:sz w:val="22"/>
        </w:rPr>
        <w:t>RandomizedSearchCV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numa </w:t>
      </w:r>
      <w:r>
        <w:rPr>
          <w:rFonts w:ascii="Times New Roman" w:hAnsi="Times New Roman" w:eastAsia="Times New Roman" w:cs="Times New Roman"/>
          <w:b/>
          <w:i w:val="0"/>
          <w:sz w:val="24"/>
        </w:rPr>
        <w:t>subamostra do treino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</w:t>
      </w:r>
      <w:r>
        <w:rPr>
          <w:rFonts w:ascii="Courier New" w:hAnsi="Courier New"/>
          <w:b w:val="0"/>
          <w:i w:val="0"/>
          <w:sz w:val="22"/>
        </w:rPr>
        <w:t>AMOSTRA_SEARCH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), com </w:t>
      </w:r>
      <w:r>
        <w:rPr>
          <w:rFonts w:ascii="Courier New" w:hAnsi="Courier New"/>
          <w:b w:val="0"/>
          <w:i w:val="0"/>
          <w:sz w:val="22"/>
        </w:rPr>
        <w:t>cv=3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Courier New" w:hAnsi="Courier New"/>
          <w:b w:val="0"/>
          <w:i w:val="0"/>
          <w:sz w:val="22"/>
        </w:rPr>
        <w:t>scoring='neg_mean_squared_error'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(o RMSE mostrado é a raiz, para ficar em R$). Preferimos </w:t>
      </w:r>
      <w:r>
        <w:rPr>
          <w:rFonts w:ascii="Times New Roman" w:hAnsi="Times New Roman" w:eastAsia="Times New Roman" w:cs="Times New Roman"/>
          <w:b/>
          <w:i w:val="0"/>
          <w:sz w:val="24"/>
        </w:rPr>
        <w:t>busca aleatória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a um </w:t>
      </w:r>
      <w:r>
        <w:rPr>
          <w:rFonts w:ascii="Times New Roman" w:hAnsi="Times New Roman" w:eastAsia="Times New Roman" w:cs="Times New Roman"/>
          <w:b w:val="0"/>
          <w:i/>
          <w:sz w:val="24"/>
        </w:rPr>
        <w:t>grid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completo, pelo tamanho do espaço de hiperparâmetros e pelo tempo de execução.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Afinámos em paralelo </w:t>
      </w:r>
      <w:r>
        <w:rPr>
          <w:rFonts w:ascii="Times New Roman" w:hAnsi="Times New Roman" w:eastAsia="Times New Roman" w:cs="Times New Roman"/>
          <w:b/>
          <w:i w:val="0"/>
          <w:sz w:val="24"/>
        </w:rPr>
        <w:t>Random Forest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i w:val="0"/>
          <w:sz w:val="24"/>
        </w:rPr>
        <w:t>HistGradientBoosting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Ridge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i w:val="0"/>
          <w:sz w:val="24"/>
        </w:rPr>
        <w:t>sem olhar para o teste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. Na execução de referência, os melhores RMSE na CV após a busca ficaram por volta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>1022,5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(RF), </w:t>
      </w:r>
      <w:r>
        <w:rPr>
          <w:rFonts w:ascii="Times New Roman" w:hAnsi="Times New Roman" w:eastAsia="Times New Roman" w:cs="Times New Roman"/>
          <w:b/>
          <w:i w:val="0"/>
          <w:sz w:val="24"/>
        </w:rPr>
        <w:t>1030,6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(HGB)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1256,6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(Ridge, com </w:t>
      </w:r>
      <w:r>
        <w:rPr>
          <w:rFonts w:ascii="Courier New" w:hAnsi="Courier New"/>
          <w:b w:val="0"/>
          <w:i w:val="0"/>
          <w:sz w:val="22"/>
        </w:rPr>
        <w:t>alpha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perto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). Como RF e HGB ficaram próximos na CV, e só há três </w:t>
      </w:r>
      <w:r>
        <w:rPr>
          <w:rFonts w:ascii="Times New Roman" w:hAnsi="Times New Roman" w:eastAsia="Times New Roman" w:cs="Times New Roman"/>
          <w:b w:val="0"/>
          <w:i/>
          <w:sz w:val="24"/>
        </w:rPr>
        <w:t>folds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tratámos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teste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como passo decisivo para escolher o modelo final.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2.7. Avaliação final do modelo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Com os </w:t>
      </w:r>
      <w:r>
        <w:rPr>
          <w:rFonts w:ascii="Times New Roman" w:hAnsi="Times New Roman" w:eastAsia="Times New Roman" w:cs="Times New Roman"/>
          <w:b w:val="0"/>
          <w:i/>
          <w:sz w:val="24"/>
        </w:rPr>
        <w:t>pipelines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que a busca escolheu, fizemos </w:t>
      </w:r>
      <w:r>
        <w:rPr>
          <w:rFonts w:ascii="Times New Roman" w:hAnsi="Times New Roman" w:eastAsia="Times New Roman" w:cs="Times New Roman"/>
          <w:b/>
          <w:i w:val="0"/>
          <w:sz w:val="24"/>
        </w:rPr>
        <w:t>uma única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avaliação no </w:t>
      </w:r>
      <w:r>
        <w:rPr>
          <w:rFonts w:ascii="Times New Roman" w:hAnsi="Times New Roman" w:eastAsia="Times New Roman" w:cs="Times New Roman"/>
          <w:b/>
          <w:i w:val="0"/>
          <w:sz w:val="24"/>
        </w:rPr>
        <w:t>conjunto de teste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da secção 2.2: voltámos a calcular RMSE, MAE e R² e gerámos gráficos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resíduos </w:t>
      </w:r>
      <w:r>
        <w:rPr>
          <w:rFonts w:ascii="Times New Roman" w:hAnsi="Times New Roman" w:eastAsia="Times New Roman" w:cs="Times New Roman"/>
          <w:b/>
          <w:i/>
          <w:sz w:val="24"/>
        </w:rPr>
        <w:t>vs</w:t>
      </w: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 predito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predito </w:t>
      </w:r>
      <w:r>
        <w:rPr>
          <w:rFonts w:ascii="Times New Roman" w:hAnsi="Times New Roman" w:eastAsia="Times New Roman" w:cs="Times New Roman"/>
          <w:b/>
          <w:i/>
          <w:sz w:val="24"/>
        </w:rPr>
        <w:t>vs</w:t>
      </w: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 real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(com amostragem quando o número de pontos atrapalha o gráfico). Não faz sentido voltar a mexer nos hiperparâmetros à luz do teste — isso deixaria de ser uma leitura imparcial da generalização —, por isso o teste foi usado </w:t>
      </w:r>
      <w:r>
        <w:rPr>
          <w:rFonts w:ascii="Times New Roman" w:hAnsi="Times New Roman" w:eastAsia="Times New Roman" w:cs="Times New Roman"/>
          <w:b/>
          <w:i w:val="0"/>
          <w:sz w:val="24"/>
        </w:rPr>
        <w:t>uma vez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, como se costuma recomendar neste tipo de trabalho.</w:t>
      </w:r>
    </w:p>
    <w:p>
      <w:pPr>
        <w:pStyle w:val="Heading2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3. Resultados e discussões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3.1. Resultados da descritiva preliminar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Os pontos descritivos que mais influenciaram a modelagem já estão resumidos em 2.1 (forma do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total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zeros e ajustes no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passagem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falhas em campos geográficos, ligação do custo à </w:t>
      </w:r>
      <w:r>
        <w:rPr>
          <w:rFonts w:ascii="Times New Roman" w:hAnsi="Times New Roman" w:eastAsia="Times New Roman" w:cs="Times New Roman"/>
          <w:b/>
          <w:i w:val="0"/>
          <w:sz w:val="24"/>
        </w:rPr>
        <w:t>duração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às </w:t>
      </w:r>
      <w:r>
        <w:rPr>
          <w:rFonts w:ascii="Times New Roman" w:hAnsi="Times New Roman" w:eastAsia="Times New Roman" w:cs="Times New Roman"/>
          <w:b/>
          <w:i w:val="0"/>
          <w:sz w:val="24"/>
        </w:rPr>
        <w:t>diárias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e decisão de não usar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monetário das diárias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como preditora). Não repetimos aqui os gráficos; eles continuam no notebook da Atividade 1.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3.2. Resultados dos modelos testados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Na validação cruzada do treino, a </w:t>
      </w:r>
      <w:r>
        <w:rPr>
          <w:rFonts w:ascii="Times New Roman" w:hAnsi="Times New Roman" w:eastAsia="Times New Roman" w:cs="Times New Roman"/>
          <w:b/>
          <w:i w:val="0"/>
          <w:sz w:val="24"/>
        </w:rPr>
        <w:t>Random Forest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teve o menor RMSE médio em relação ao HistGradientBoosting e ao Ridge; o Ridge ficou claramente atrás. Em todos os modelos, o RMSE médio por </w:t>
      </w:r>
      <w:r>
        <w:rPr>
          <w:rFonts w:ascii="Times New Roman" w:hAnsi="Times New Roman" w:eastAsia="Times New Roman" w:cs="Times New Roman"/>
          <w:b w:val="0"/>
          <w:i/>
          <w:sz w:val="24"/>
        </w:rPr>
        <w:t>fold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foi maior que o MAE, o que indica </w:t>
      </w:r>
      <w:r>
        <w:rPr>
          <w:rFonts w:ascii="Times New Roman" w:hAnsi="Times New Roman" w:eastAsia="Times New Roman" w:cs="Times New Roman"/>
          <w:b/>
          <w:i w:val="0"/>
          <w:sz w:val="24"/>
        </w:rPr>
        <w:t>alguns erros bem grandes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coerente com a </w:t>
      </w:r>
      <w:r>
        <w:rPr>
          <w:rFonts w:ascii="Times New Roman" w:hAnsi="Times New Roman" w:eastAsia="Times New Roman" w:cs="Times New Roman"/>
          <w:b/>
          <w:i w:val="0"/>
          <w:sz w:val="24"/>
        </w:rPr>
        <w:t>cauda longa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do alvo.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Depois da busca de hiperparâmetros, a RF continuou na frente na CV; o Ridge não recuperou.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No </w:t>
      </w:r>
      <w:r>
        <w:rPr>
          <w:rFonts w:ascii="Times New Roman" w:hAnsi="Times New Roman" w:eastAsia="Times New Roman" w:cs="Times New Roman"/>
          <w:b/>
          <w:i w:val="0"/>
          <w:sz w:val="24"/>
        </w:rPr>
        <w:t>teste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(números da execução registada no notebook):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Modelo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RMSE (teste)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MAE (teste)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R² (teste)</w:t>
            </w:r>
          </w:p>
        </w:tc>
      </w:tr>
      <w:tr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**Random Forest**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812,04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302,96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0,9623</w:t>
            </w:r>
          </w:p>
        </w:tc>
      </w:tr>
      <w:tr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Ridge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1191,81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465,22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0,9188</w:t>
            </w:r>
          </w:p>
        </w:tc>
      </w:tr>
      <w:tr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HistGradientBoosting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1247,47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390,12</w:t>
            </w:r>
          </w:p>
        </w:tc>
        <w:tc>
          <w:tcPr>
            <w:tcW w:type="dxa" w:w="2351"/>
          </w:tcPr>
          <w:p>
            <w:pPr>
              <w:spacing w:lineRule="auto" w:line="360" w:after="12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≈ 0,9110</w:t>
            </w:r>
          </w:p>
        </w:tc>
      </w:tr>
    </w:tbl>
    <w:p/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O MAE da RF no teste ficou na ordem dos </w:t>
      </w:r>
      <w:r>
        <w:rPr>
          <w:rFonts w:ascii="Times New Roman" w:hAnsi="Times New Roman" w:eastAsia="Times New Roman" w:cs="Times New Roman"/>
          <w:b/>
          <w:i w:val="0"/>
          <w:sz w:val="24"/>
        </w:rPr>
        <w:t>R$ 303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por linha em média; o RMSE maior diz que ainda há registos em que o erro dispara.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A </w:t>
      </w:r>
      <w:r>
        <w:rPr>
          <w:rFonts w:ascii="Times New Roman" w:hAnsi="Times New Roman" w:eastAsia="Times New Roman" w:cs="Times New Roman"/>
          <w:b/>
          <w:i w:val="0"/>
          <w:sz w:val="24"/>
        </w:rPr>
        <w:t>Figura 1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ajuda a ver o erro </w:t>
      </w:r>
      <w:r>
        <w:rPr>
          <w:rFonts w:ascii="Times New Roman" w:hAnsi="Times New Roman" w:eastAsia="Times New Roman" w:cs="Times New Roman"/>
          <w:b/>
          <w:i w:val="0"/>
          <w:sz w:val="24"/>
        </w:rPr>
        <w:t>linha a linha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no teste: em cada ponto, o eixo vertical é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resíduo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(valor observado menos valor predito pela Random Forest) e o horizontal é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próprio valor predito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. Espera-se uma nuvem em torno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>zero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; se o espalhamento </w:t>
      </w:r>
      <w:r>
        <w:rPr>
          <w:rFonts w:ascii="Times New Roman" w:hAnsi="Times New Roman" w:eastAsia="Times New Roman" w:cs="Times New Roman"/>
          <w:b/>
          <w:i w:val="0"/>
          <w:sz w:val="24"/>
        </w:rPr>
        <w:t>crescer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quando o predito aumenta, isso indica que o modelo erra mais nos totais mais altos (ideia retomada na secção 3.3).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88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os_vs_predito_r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8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 w:cs="Times New Roman"/>
          <w:i/>
          <w:sz w:val="24"/>
        </w:rPr>
        <w:t>Figura 1 — Resíduos (observado − predito) em função do valor predito; Random Forest, conjunto de teste.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A </w:t>
      </w:r>
      <w:r>
        <w:rPr>
          <w:rFonts w:ascii="Times New Roman" w:hAnsi="Times New Roman" w:eastAsia="Times New Roman" w:cs="Times New Roman"/>
          <w:b/>
          <w:i w:val="0"/>
          <w:sz w:val="24"/>
        </w:rPr>
        <w:t>Figura 2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compara </w:t>
      </w:r>
      <w:r>
        <w:rPr>
          <w:rFonts w:ascii="Times New Roman" w:hAnsi="Times New Roman" w:eastAsia="Times New Roman" w:cs="Times New Roman"/>
          <w:b/>
          <w:i w:val="0"/>
          <w:sz w:val="24"/>
        </w:rPr>
        <w:t>total observado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total predito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numa </w:t>
      </w:r>
      <w:r>
        <w:rPr>
          <w:rFonts w:ascii="Times New Roman" w:hAnsi="Times New Roman" w:eastAsia="Times New Roman" w:cs="Times New Roman"/>
          <w:b/>
          <w:i w:val="0"/>
          <w:sz w:val="24"/>
        </w:rPr>
        <w:t>amostra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de linhas (o volume completo tornaria o gráfico ilegível). A referência visual é a </w:t>
      </w:r>
      <w:r>
        <w:rPr>
          <w:rFonts w:ascii="Times New Roman" w:hAnsi="Times New Roman" w:eastAsia="Times New Roman" w:cs="Times New Roman"/>
          <w:b/>
          <w:i w:val="0"/>
          <w:sz w:val="24"/>
        </w:rPr>
        <w:t>diagonal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onde predito = observado: quanto mais os pontos se aproximam dela, melhor o ajuste; desvios para baixo ou para cima mostram sub ou superestimação.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187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to_vs_real_r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1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 w:cs="Times New Roman"/>
          <w:i/>
          <w:sz w:val="24"/>
        </w:rPr>
        <w:t>Figura 2 — Valores observados versus preditos (amostra); Random Forest.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3.3. Discussão crítica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No teste, a </w:t>
      </w:r>
      <w:r>
        <w:rPr>
          <w:rFonts w:ascii="Times New Roman" w:hAnsi="Times New Roman" w:eastAsia="Times New Roman" w:cs="Times New Roman"/>
          <w:b/>
          <w:i w:val="0"/>
          <w:sz w:val="24"/>
        </w:rPr>
        <w:t>Random Forest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foi melhor nos três indicadores do que o Ridge e o HistGradientBoosting. Modelos com </w:t>
      </w:r>
      <w:r>
        <w:rPr>
          <w:rFonts w:ascii="Times New Roman" w:hAnsi="Times New Roman" w:eastAsia="Times New Roman" w:cs="Times New Roman"/>
          <w:b/>
          <w:i w:val="0"/>
          <w:sz w:val="24"/>
        </w:rPr>
        <w:t>muitas árvores em conjunto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costumam lidar melhor com </w:t>
      </w:r>
      <w:r>
        <w:rPr>
          <w:rFonts w:ascii="Times New Roman" w:hAnsi="Times New Roman" w:eastAsia="Times New Roman" w:cs="Times New Roman"/>
          <w:b/>
          <w:i w:val="0"/>
          <w:sz w:val="24"/>
        </w:rPr>
        <w:t>cruzamentos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curvas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quando há muitas categorias depois do </w:t>
      </w:r>
      <w:r>
        <w:rPr>
          <w:rFonts w:ascii="Times New Roman" w:hAnsi="Times New Roman" w:eastAsia="Times New Roman" w:cs="Times New Roman"/>
          <w:b w:val="0"/>
          <w:i/>
          <w:sz w:val="24"/>
        </w:rPr>
        <w:t>one-hot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situação em que um modelo </w:t>
      </w:r>
      <w:r>
        <w:rPr>
          <w:rFonts w:ascii="Times New Roman" w:hAnsi="Times New Roman" w:eastAsia="Times New Roman" w:cs="Times New Roman"/>
          <w:b/>
          <w:i w:val="0"/>
          <w:sz w:val="24"/>
        </w:rPr>
        <w:t>só linear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costuma sofrer. O HistGradientBoosting chegou perto da RF na CV, mas </w:t>
      </w:r>
      <w:r>
        <w:rPr>
          <w:rFonts w:ascii="Times New Roman" w:hAnsi="Times New Roman" w:eastAsia="Times New Roman" w:cs="Times New Roman"/>
          <w:b/>
          <w:i w:val="0"/>
          <w:sz w:val="24"/>
        </w:rPr>
        <w:t>não acompanhou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no </w:t>
      </w:r>
      <w:r>
        <w:rPr>
          <w:rFonts w:ascii="Times New Roman" w:hAnsi="Times New Roman" w:eastAsia="Times New Roman" w:cs="Times New Roman"/>
          <w:b w:val="0"/>
          <w:i/>
          <w:sz w:val="24"/>
        </w:rPr>
        <w:t>hold-out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desta corrida; com poucos </w:t>
      </w:r>
      <w:r>
        <w:rPr>
          <w:rFonts w:ascii="Times New Roman" w:hAnsi="Times New Roman" w:eastAsia="Times New Roman" w:cs="Times New Roman"/>
          <w:b w:val="0"/>
          <w:i/>
          <w:sz w:val="24"/>
        </w:rPr>
        <w:t>folds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busca aleatória, o teste acabou por desempatar.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Os resíduos parecem mais espalhados quando o valor predito é alto (</w:t>
      </w:r>
      <w:r>
        <w:rPr>
          <w:rFonts w:ascii="Times New Roman" w:hAnsi="Times New Roman" w:eastAsia="Times New Roman" w:cs="Times New Roman"/>
          <w:b/>
          <w:i w:val="0"/>
          <w:sz w:val="24"/>
        </w:rPr>
        <w:t>heterocedasticidade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). No gráfico </w:t>
      </w: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predito </w:t>
      </w:r>
      <w:r>
        <w:rPr>
          <w:rFonts w:ascii="Times New Roman" w:hAnsi="Times New Roman" w:eastAsia="Times New Roman" w:cs="Times New Roman"/>
          <w:b/>
          <w:i/>
          <w:sz w:val="24"/>
        </w:rPr>
        <w:t>vs</w:t>
      </w: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 observado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o miolo acompanha a diagonal; nos totais muito altos o modelo tende a </w:t>
      </w:r>
      <w:r>
        <w:rPr>
          <w:rFonts w:ascii="Times New Roman" w:hAnsi="Times New Roman" w:eastAsia="Times New Roman" w:cs="Times New Roman"/>
          <w:b/>
          <w:i w:val="0"/>
          <w:sz w:val="24"/>
        </w:rPr>
        <w:t>subestimar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, o que é frequente quando a função de perda é quadrática.</w:t>
      </w:r>
    </w:p>
    <w:p>
      <w:pPr>
        <w:pStyle w:val="Heading3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3.4. Limitações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Linhas da </w:t>
      </w:r>
      <w:r>
        <w:rPr>
          <w:rFonts w:ascii="Times New Roman" w:hAnsi="Times New Roman" w:eastAsia="Times New Roman" w:cs="Times New Roman"/>
          <w:b/>
          <w:i w:val="0"/>
          <w:sz w:val="24"/>
        </w:rPr>
        <w:t>mesma viagem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podem estar ligadas entre si; aqui tratámo-las como independentes, o que é uma </w:t>
      </w:r>
      <w:r>
        <w:rPr>
          <w:rFonts w:ascii="Times New Roman" w:hAnsi="Times New Roman" w:eastAsia="Times New Roman" w:cs="Times New Roman"/>
          <w:b/>
          <w:i w:val="0"/>
          <w:sz w:val="24"/>
        </w:rPr>
        <w:t>simplificação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. A CV e a busca de hiperparâmetros correram sobre </w:t>
      </w:r>
      <w:r>
        <w:rPr>
          <w:rFonts w:ascii="Times New Roman" w:hAnsi="Times New Roman" w:eastAsia="Times New Roman" w:cs="Times New Roman"/>
          <w:b/>
          <w:i w:val="0"/>
          <w:sz w:val="24"/>
        </w:rPr>
        <w:t>subamostras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por </w:t>
      </w:r>
      <w:r>
        <w:rPr>
          <w:rFonts w:ascii="Times New Roman" w:hAnsi="Times New Roman" w:eastAsia="Times New Roman" w:cs="Times New Roman"/>
          <w:b/>
          <w:i w:val="0"/>
          <w:sz w:val="24"/>
        </w:rPr>
        <w:t>memória e tempo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por isso os números podem mudar um pouco com outra semente ou outro recorte. Não fizemos </w:t>
      </w:r>
      <w:r>
        <w:rPr>
          <w:rFonts w:ascii="Times New Roman" w:hAnsi="Times New Roman" w:eastAsia="Times New Roman" w:cs="Times New Roman"/>
          <w:b/>
          <w:i w:val="0"/>
          <w:sz w:val="24"/>
        </w:rPr>
        <w:t>corte temporal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entre treino e teste: o modelo descreve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período coberto pelo ficheiro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mas não simula de forma rigorosa uma previsão “para a frente”. Por último, a Random Forest </w:t>
      </w:r>
      <w:r>
        <w:rPr>
          <w:rFonts w:ascii="Times New Roman" w:hAnsi="Times New Roman" w:eastAsia="Times New Roman" w:cs="Times New Roman"/>
          <w:b/>
          <w:i w:val="0"/>
          <w:sz w:val="24"/>
        </w:rPr>
        <w:t>não dá coeficientes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fáceis de ler como numa regressão; para uso institucional mais fino, faria sentido olhar para </w:t>
      </w:r>
      <w:r>
        <w:rPr>
          <w:rFonts w:ascii="Times New Roman" w:hAnsi="Times New Roman" w:eastAsia="Times New Roman" w:cs="Times New Roman"/>
          <w:b/>
          <w:i w:val="0"/>
          <w:sz w:val="24"/>
        </w:rPr>
        <w:t>importância de variáveis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ou para </w:t>
      </w:r>
      <w:r>
        <w:rPr>
          <w:rFonts w:ascii="Times New Roman" w:hAnsi="Times New Roman" w:eastAsia="Times New Roman" w:cs="Times New Roman"/>
          <w:b/>
          <w:i w:val="0"/>
          <w:sz w:val="24"/>
        </w:rPr>
        <w:t>SHAP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numa amostra.</w:t>
      </w:r>
    </w:p>
    <w:p>
      <w:pPr>
        <w:pStyle w:val="Heading2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4. Conclusão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Na exploração inicial, o </w:t>
      </w:r>
      <w:r>
        <w:rPr>
          <w:rFonts w:ascii="Times New Roman" w:hAnsi="Times New Roman" w:eastAsia="Times New Roman" w:cs="Times New Roman"/>
          <w:b/>
          <w:i w:val="0"/>
          <w:sz w:val="24"/>
        </w:rPr>
        <w:t>Valor total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já aparecia assimétrico e ligado à </w:t>
      </w:r>
      <w:r>
        <w:rPr>
          <w:rFonts w:ascii="Times New Roman" w:hAnsi="Times New Roman" w:eastAsia="Times New Roman" w:cs="Times New Roman"/>
          <w:b/>
          <w:i w:val="0"/>
          <w:sz w:val="24"/>
        </w:rPr>
        <w:t>duração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ao </w:t>
      </w:r>
      <w:r>
        <w:rPr>
          <w:rFonts w:ascii="Times New Roman" w:hAnsi="Times New Roman" w:eastAsia="Times New Roman" w:cs="Times New Roman"/>
          <w:b/>
          <w:i w:val="0"/>
          <w:sz w:val="24"/>
        </w:rPr>
        <w:t>número de diárias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. O uso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>Pipeline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com transformações ajustadas só no treino e sem preditoras que “reconstruam” o total, foi </w:t>
      </w:r>
      <w:r>
        <w:rPr>
          <w:rFonts w:ascii="Times New Roman" w:hAnsi="Times New Roman" w:eastAsia="Times New Roman" w:cs="Times New Roman"/>
          <w:b/>
          <w:i w:val="0"/>
          <w:sz w:val="24"/>
        </w:rPr>
        <w:t>central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para não enganar na leitura das métricas no teste.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Entre </w:t>
      </w:r>
      <w:r>
        <w:rPr>
          <w:rFonts w:ascii="Times New Roman" w:hAnsi="Times New Roman" w:eastAsia="Times New Roman" w:cs="Times New Roman"/>
          <w:b/>
          <w:i w:val="0"/>
          <w:sz w:val="24"/>
        </w:rPr>
        <w:t>Ridge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i w:val="0"/>
          <w:sz w:val="24"/>
        </w:rPr>
        <w:t>HistGradientBoosting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Random Forest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a última — com hiperparâmetros vindos da </w:t>
      </w:r>
      <w:r>
        <w:rPr>
          <w:rFonts w:ascii="Courier New" w:hAnsi="Courier New"/>
          <w:b/>
          <w:i w:val="0"/>
          <w:sz w:val="22"/>
        </w:rPr>
        <w:t>RandomizedSearchCV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— foi a que </w:t>
      </w:r>
      <w:r>
        <w:rPr>
          <w:rFonts w:ascii="Times New Roman" w:hAnsi="Times New Roman" w:eastAsia="Times New Roman" w:cs="Times New Roman"/>
          <w:b/>
          <w:i w:val="0"/>
          <w:sz w:val="24"/>
        </w:rPr>
        <w:t>melhor se saiu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no teste (RMSE ≈ 812, MAE ≈ 303, R² ≈ 0,96), ainda com </w:t>
      </w:r>
      <w:r>
        <w:rPr>
          <w:rFonts w:ascii="Times New Roman" w:hAnsi="Times New Roman" w:eastAsia="Times New Roman" w:cs="Times New Roman"/>
          <w:b/>
          <w:i w:val="0"/>
          <w:sz w:val="24"/>
        </w:rPr>
        <w:t>erros maiores nos valores muito altos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</w:t>
      </w:r>
    </w:p>
    <w:p>
      <w:pPr>
        <w:spacing w:lineRule="auto" w:line="360" w:after="12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Como continuações possíveis (não desenvolvidas neste relatório), caberia testar transformação do alvo (por exemplo </w:t>
      </w:r>
      <w:r>
        <w:rPr>
          <w:rFonts w:ascii="Courier New" w:hAnsi="Courier New"/>
          <w:b w:val="0"/>
          <w:i w:val="0"/>
          <w:sz w:val="22"/>
        </w:rPr>
        <w:t>log1p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), validação por </w:t>
      </w:r>
      <w:r>
        <w:rPr>
          <w:rFonts w:ascii="Times New Roman" w:hAnsi="Times New Roman" w:eastAsia="Times New Roman" w:cs="Times New Roman"/>
          <w:b/>
          <w:i w:val="0"/>
          <w:sz w:val="24"/>
        </w:rPr>
        <w:t>período temporal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  <w:sz w:val="24"/>
        </w:rPr>
        <w:t>boosting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em maior escala com </w:t>
      </w:r>
      <w:r>
        <w:rPr>
          <w:rFonts w:ascii="Times New Roman" w:hAnsi="Times New Roman" w:eastAsia="Times New Roman" w:cs="Times New Roman"/>
          <w:b/>
          <w:i w:val="0"/>
          <w:sz w:val="24"/>
        </w:rPr>
        <w:t>XGBoost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i w:val="0"/>
          <w:sz w:val="24"/>
        </w:rPr>
        <w:t>LightGBM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i w:val="0"/>
          <w:sz w:val="24"/>
        </w:rPr>
        <w:t>CatBoost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(habitualmente com </w:t>
      </w:r>
      <w:r>
        <w:rPr>
          <w:rFonts w:ascii="Times New Roman" w:hAnsi="Times New Roman" w:eastAsia="Times New Roman" w:cs="Times New Roman"/>
          <w:b/>
          <w:i w:val="0"/>
          <w:sz w:val="24"/>
        </w:rPr>
        <w:t>uso de GPU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e memória suficiente), e ferramentas de </w:t>
      </w:r>
      <w:r>
        <w:rPr>
          <w:rFonts w:ascii="Times New Roman" w:hAnsi="Times New Roman" w:eastAsia="Times New Roman" w:cs="Times New Roman"/>
          <w:b/>
          <w:i w:val="0"/>
          <w:sz w:val="24"/>
        </w:rPr>
        <w:t>explicabilidade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(importância por permutação, SHAP) numa amostra.</w:t>
      </w:r>
    </w:p>
    <w:p>
      <w:pPr>
        <w:pStyle w:val="Heading2"/>
        <w:spacing w:lineRule="auto" w:line="360" w:after="12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5. Referências</w:t>
      </w:r>
    </w:p>
    <w:p>
      <w:pPr>
        <w:spacing w:lineRule="auto" w:line="360" w:after="12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BRASIL. </w:t>
      </w:r>
      <w:r>
        <w:rPr>
          <w:rFonts w:ascii="Times New Roman" w:hAnsi="Times New Roman" w:eastAsia="Times New Roman" w:cs="Times New Roman"/>
          <w:b/>
          <w:i w:val="0"/>
          <w:sz w:val="24"/>
        </w:rPr>
        <w:t>Conjunto de dados: Viagens a serviço do governo federal – SCDP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Portal Brasileiro de Dados Abertos, 2026. Disponível em: https://dados.gov.br/dados/conjuntos-dados/viagens-a-servico-do-governo-federal-scdp (https://dados.gov.br/dados/conjuntos-dados/viagens-a-servico-do-governo-federal-scdp). Acesso em: 16 abr. 2026.</w:t>
      </w:r>
    </w:p>
    <w:p>
      <w:pPr>
        <w:spacing w:lineRule="auto" w:line="360" w:after="12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GRUS, J. </w:t>
      </w:r>
      <w:r>
        <w:rPr>
          <w:rFonts w:ascii="Times New Roman" w:hAnsi="Times New Roman" w:eastAsia="Times New Roman" w:cs="Times New Roman"/>
          <w:b/>
          <w:i w:val="0"/>
          <w:sz w:val="24"/>
        </w:rPr>
        <w:t>Data science do zero: noções fundamentais com Python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2. ed. São Paulo: Alta Books, 2021. 416 p. ISBN 978-85-5081-176-5.</w:t>
      </w:r>
    </w:p>
    <w:p>
      <w:pPr>
        <w:spacing w:lineRule="auto" w:line="360" w:after="12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HARRISON, M. </w:t>
      </w:r>
      <w:r>
        <w:rPr>
          <w:rFonts w:ascii="Times New Roman" w:hAnsi="Times New Roman" w:eastAsia="Times New Roman" w:cs="Times New Roman"/>
          <w:b/>
          <w:i w:val="0"/>
          <w:sz w:val="24"/>
        </w:rPr>
        <w:t>Machine learning – guia de referência rápida: trabalhando com dados estruturados em Python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São Paulo: Novatec, 2019. 272 p. ISBN 978-85-7522-817-3.</w:t>
      </w:r>
    </w:p>
    <w:p>
      <w:pPr>
        <w:spacing w:lineRule="auto" w:line="360" w:after="12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HUYEN, C. </w:t>
      </w:r>
      <w:r>
        <w:rPr>
          <w:rFonts w:ascii="Times New Roman" w:hAnsi="Times New Roman" w:eastAsia="Times New Roman" w:cs="Times New Roman"/>
          <w:b/>
          <w:i w:val="0"/>
          <w:sz w:val="24"/>
        </w:rPr>
        <w:t>Projetando sistemas de machine learning: processo interativo para aplicações prontas para produção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São Paulo: Alta Books, 2024. 384 p. ISBN 978-85-5081-967-9.</w:t>
      </w:r>
    </w:p>
    <w:p>
      <w:pPr>
        <w:spacing w:lineRule="auto" w:line="360" w:after="12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WICHMANN, Roberta Moreira. </w:t>
      </w:r>
      <w:r>
        <w:rPr>
          <w:rFonts w:ascii="Times New Roman" w:hAnsi="Times New Roman" w:eastAsia="Times New Roman" w:cs="Times New Roman"/>
          <w:b/>
          <w:i w:val="0"/>
          <w:sz w:val="24"/>
        </w:rPr>
        <w:t>Introdução ao Machine Learning: slides de aula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2026. Material didático do Mestrado em Administração Pública. [S.l.: s.n.], 2026.</w:t>
      </w:r>
    </w:p>
    <w:p>
      <w:pPr>
        <w:spacing w:lineRule="auto" w:line="360" w:after="12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The Matplotlib Development Team. </w:t>
      </w:r>
      <w:r>
        <w:rPr>
          <w:rFonts w:ascii="Times New Roman" w:hAnsi="Times New Roman" w:eastAsia="Times New Roman" w:cs="Times New Roman"/>
          <w:b/>
          <w:i w:val="0"/>
          <w:sz w:val="24"/>
        </w:rPr>
        <w:t>Matplotlib: visualization with Python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Disponível em: https://matplotlib.org (https://matplotlib.org). Acesso em: 16 abr. 2026.</w:t>
      </w:r>
    </w:p>
    <w:p>
      <w:pPr>
        <w:spacing w:lineRule="auto" w:line="360" w:after="12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Documentação oficial: </w:t>
      </w:r>
      <w:r>
        <w:rPr>
          <w:rFonts w:ascii="Times New Roman" w:hAnsi="Times New Roman" w:eastAsia="Times New Roman" w:cs="Times New Roman"/>
          <w:b/>
          <w:i w:val="0"/>
          <w:sz w:val="24"/>
        </w:rPr>
        <w:t>scikit-learn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— User Guide. Disponível em: https://scikit-learn.org/stable/user_guide.html (https://scikit-learn.org/stable/user_guide.html). Acesso em: 16 abr. 2026.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