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NEXO - AI Architecture Specification</w:t>
      </w:r>
    </w:p>
    <w:p>
      <w:r>
        <w:t>Versão 1.0</w:t>
        <w:br/>
        <w:t>Objetivo: Definir a arquitetura dos agentes de IA, orquestração, memória e execução.</w:t>
      </w:r>
    </w:p>
    <w:p>
      <w:pPr>
        <w:pStyle w:val="Heading2"/>
      </w:pPr>
      <w:r>
        <w:t>1. Objetivos</w:t>
      </w:r>
    </w:p>
    <w:p>
      <w:r>
        <w:t>Criar uma camada de IA desacoplada, escalável e independente do provedor de modelos, capaz de operar agentes especializados, memória, ferramentas e supervisão.</w:t>
      </w:r>
    </w:p>
    <w:p>
      <w:pPr>
        <w:pStyle w:val="Heading2"/>
      </w:pPr>
      <w:r>
        <w:t>2. Princípios</w:t>
      </w:r>
    </w:p>
    <w:p>
      <w:pPr>
        <w:pStyle w:val="ListBullet"/>
      </w:pPr>
      <w:r>
        <w:t>Provider-agnostic (troca de modelo sem alterar regras de negócio)</w:t>
      </w:r>
    </w:p>
    <w:p>
      <w:pPr>
        <w:pStyle w:val="ListBullet"/>
      </w:pPr>
      <w:r>
        <w:t>Agentes especializados por função</w:t>
      </w:r>
    </w:p>
    <w:p>
      <w:pPr>
        <w:pStyle w:val="ListBullet"/>
      </w:pPr>
      <w:r>
        <w:t>Orquestração central</w:t>
      </w:r>
    </w:p>
    <w:p>
      <w:pPr>
        <w:pStyle w:val="ListBullet"/>
      </w:pPr>
      <w:r>
        <w:t>Contexto e memória persistentes</w:t>
      </w:r>
    </w:p>
    <w:p>
      <w:pPr>
        <w:pStyle w:val="ListBullet"/>
      </w:pPr>
      <w:r>
        <w:t>Supervisão antes do envio</w:t>
      </w:r>
    </w:p>
    <w:p>
      <w:pPr>
        <w:pStyle w:val="ListBullet"/>
      </w:pPr>
      <w:r>
        <w:t>Custos monitorados em tempo real</w:t>
      </w:r>
    </w:p>
    <w:p>
      <w:pPr>
        <w:pStyle w:val="Heading2"/>
      </w:pPr>
      <w:r>
        <w:t>3. Arquitetura de Agentes</w:t>
      </w:r>
    </w:p>
    <w:p>
      <w:pPr>
        <w:pStyle w:val="ListBullet"/>
      </w:pPr>
      <w:r>
        <w:t>Reception Agent</w:t>
      </w:r>
    </w:p>
    <w:p>
      <w:pPr>
        <w:pStyle w:val="ListBullet"/>
      </w:pPr>
      <w:r>
        <w:t>Classifier Agent</w:t>
      </w:r>
    </w:p>
    <w:p>
      <w:pPr>
        <w:pStyle w:val="ListBullet"/>
      </w:pPr>
      <w:r>
        <w:t>Memory Agent</w:t>
      </w:r>
    </w:p>
    <w:p>
      <w:pPr>
        <w:pStyle w:val="ListBullet"/>
      </w:pPr>
      <w:r>
        <w:t>Knowledge Agent</w:t>
      </w:r>
    </w:p>
    <w:p>
      <w:pPr>
        <w:pStyle w:val="ListBullet"/>
      </w:pPr>
      <w:r>
        <w:t>Workflow Agent</w:t>
      </w:r>
    </w:p>
    <w:p>
      <w:pPr>
        <w:pStyle w:val="ListBullet"/>
      </w:pPr>
      <w:r>
        <w:t>CRM Agent</w:t>
      </w:r>
    </w:p>
    <w:p>
      <w:pPr>
        <w:pStyle w:val="ListBullet"/>
      </w:pPr>
      <w:r>
        <w:t>Voice Agent</w:t>
      </w:r>
    </w:p>
    <w:p>
      <w:pPr>
        <w:pStyle w:val="ListBullet"/>
      </w:pPr>
      <w:r>
        <w:t>Supervisor Agent</w:t>
      </w:r>
    </w:p>
    <w:p>
      <w:pPr>
        <w:pStyle w:val="ListBullet"/>
      </w:pPr>
      <w:r>
        <w:t>Analytics Agent</w:t>
      </w:r>
    </w:p>
    <w:p>
      <w:pPr>
        <w:pStyle w:val="Heading2"/>
      </w:pPr>
      <w:r>
        <w:t>4. Fluxo de Execução</w:t>
      </w:r>
    </w:p>
    <w:p>
      <w:r>
        <w:t>Mensagem → Normalização → Classificador → Memória → Base de Conhecimento → Ferramentas → Geração de Resposta → Supervisor → Canal → CRM → Analytics.</w:t>
      </w:r>
    </w:p>
    <w:p>
      <w:pPr>
        <w:pStyle w:val="Heading2"/>
      </w:pPr>
      <w:r>
        <w:t>5. Memória</w:t>
      </w:r>
    </w:p>
    <w:p>
      <w:r>
        <w:t>A memória deverá possuir:</w:t>
        <w:br/>
        <w:t>- memória de curto prazo (conversa atual);</w:t>
        <w:br/>
        <w:t>- memória de médio prazo (histórico do cliente);</w:t>
        <w:br/>
        <w:t>- memória de longo prazo (preferências e fatos persistentes);</w:t>
        <w:br/>
        <w:t>- memória organizacional (documentos e regras da empresa).</w:t>
      </w:r>
    </w:p>
    <w:p>
      <w:pPr>
        <w:pStyle w:val="Heading2"/>
      </w:pPr>
      <w:r>
        <w:t>6. Ferramentas</w:t>
      </w:r>
    </w:p>
    <w:p>
      <w:pPr>
        <w:pStyle w:val="ListBullet"/>
      </w:pPr>
      <w:r>
        <w:t>CRM</w:t>
      </w:r>
    </w:p>
    <w:p>
      <w:pPr>
        <w:pStyle w:val="ListBullet"/>
      </w:pPr>
      <w:r>
        <w:t>Calendário</w:t>
      </w:r>
    </w:p>
    <w:p>
      <w:pPr>
        <w:pStyle w:val="ListBullet"/>
      </w:pPr>
      <w:r>
        <w:t>ERP</w:t>
      </w:r>
    </w:p>
    <w:p>
      <w:pPr>
        <w:pStyle w:val="ListBullet"/>
      </w:pPr>
      <w:r>
        <w:t>Gateway de Pagamento</w:t>
      </w:r>
    </w:p>
    <w:p>
      <w:pPr>
        <w:pStyle w:val="ListBullet"/>
      </w:pPr>
      <w:r>
        <w:t>Consulta HTTP</w:t>
      </w:r>
    </w:p>
    <w:p>
      <w:pPr>
        <w:pStyle w:val="ListBullet"/>
      </w:pPr>
      <w:r>
        <w:t>Banco de Dados</w:t>
      </w:r>
    </w:p>
    <w:p>
      <w:pPr>
        <w:pStyle w:val="ListBullet"/>
      </w:pPr>
      <w:r>
        <w:t>Flow Builder</w:t>
      </w:r>
    </w:p>
    <w:p>
      <w:pPr>
        <w:pStyle w:val="ListBullet"/>
      </w:pPr>
      <w:r>
        <w:t>Knowledge Base</w:t>
      </w:r>
    </w:p>
    <w:p>
      <w:pPr>
        <w:pStyle w:val="ListBullet"/>
      </w:pPr>
      <w:r>
        <w:t>Analytics</w:t>
      </w:r>
    </w:p>
    <w:p>
      <w:pPr>
        <w:pStyle w:val="ListBullet"/>
      </w:pPr>
      <w:r>
        <w:t>Notificações</w:t>
      </w:r>
    </w:p>
    <w:p>
      <w:pPr>
        <w:pStyle w:val="Heading2"/>
      </w:pPr>
      <w:r>
        <w:t>7. Supervisor</w:t>
      </w:r>
    </w:p>
    <w:p>
      <w:r>
        <w:t>Toda resposta poderá ser validada por um supervisor de IA antes do envio. O supervisor verifica confiança, políticas, tom de voz, informações sensíveis e necessidade de encaminhamento humano.</w:t>
      </w:r>
    </w:p>
    <w:p>
      <w:pPr>
        <w:pStyle w:val="Heading2"/>
      </w:pPr>
      <w:r>
        <w:t>8. Fallback</w:t>
      </w:r>
    </w:p>
    <w:p>
      <w:r>
        <w:t>Quando a IA não possuir confiança suficiente:</w:t>
        <w:br/>
        <w:t>- solicitar esclarecimentos;</w:t>
        <w:br/>
        <w:t>- consultar novas fontes;</w:t>
        <w:br/>
        <w:t>- transferir para humano;</w:t>
        <w:br/>
        <w:t>- registrar motivo da falha.</w:t>
      </w:r>
    </w:p>
    <w:p>
      <w:pPr>
        <w:pStyle w:val="Heading2"/>
      </w:pPr>
      <w:r>
        <w:t>9. Observabilidade</w:t>
      </w:r>
    </w:p>
    <w:p>
      <w:r>
        <w:t>Registrar tokens, latência, custo, modelo utilizado, ferramentas chamadas, tempo de resposta, falhas, retries e indicadores por agente.</w:t>
      </w:r>
    </w:p>
    <w:p>
      <w:pPr>
        <w:pStyle w:val="Heading2"/>
      </w:pPr>
      <w:r>
        <w:t>10. Critérios</w:t>
      </w:r>
    </w:p>
    <w:p>
      <w:r>
        <w:t>Toda nova capacidade de IA deverá possuir testes, avaliação de qualidade, monitoramento de custo, documentação e possibilidade de desativação por organização.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