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NEXO Foundation Architecture v2.0</w:t>
      </w:r>
    </w:p>
    <w:p>
      <w:r>
        <w:rPr>
          <w:b/>
        </w:rPr>
        <w:t>Status:</w:t>
      </w:r>
      <w:r>
        <w:t xml:space="preserve"> Proposta para aprovação  </w:t>
      </w:r>
    </w:p>
    <w:p>
      <w:r>
        <w:rPr>
          <w:b/>
        </w:rPr>
        <w:t>Data:</w:t>
      </w:r>
      <w:r>
        <w:t xml:space="preserve"> 15 de julho de 2026  </w:t>
      </w:r>
    </w:p>
    <w:p>
      <w:r>
        <w:rPr>
          <w:b/>
        </w:rPr>
        <w:t>Responsável:</w:t>
      </w:r>
      <w:r>
        <w:t xml:space="preserve"> Arquitetura Principal do NEXO  </w:t>
      </w:r>
    </w:p>
    <w:p>
      <w:r>
        <w:rPr>
          <w:b/>
        </w:rPr>
        <w:t>Escopo:</w:t>
      </w:r>
      <w:r>
        <w:t xml:space="preserve"> Baseline definitiva de arquitetura e plano da Fase 0  </w:t>
      </w:r>
    </w:p>
    <w:p>
      <w:r>
        <w:rPr>
          <w:b/>
        </w:rPr>
        <w:t>Substitui, quando houver divergência:</w:t>
      </w:r>
      <w:r>
        <w:t xml:space="preserve"> roadmaps e decisões de fundação presentes nos documentos v1.0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1. Propósito e autoridade</w:t>
      </w:r>
    </w:p>
    <w:p>
      <w:r>
        <w:t>Este documento consolida a arquitetura de fundação do NEXO antes do início da implementação. Ele incorpora a documentação v1.0, as decisões aprovadas após o diagnóstico inicial e as novas decisões de Domain Driven Design, arquitetura orientada a eventos, camadas de provedores e feature flags.</w:t>
      </w:r>
    </w:p>
    <w:p>
      <w:r>
        <w:t>O NEXO é uma plataforma SaaS Enterprise omnichannel, multiempresa e orientada por inteligência artificial para atendimento, relacionamento, vendas, automações e operação empresarial. A arquitetura deve permitir evolução incremental sem comprometer isolamento entre organizações, segurança, auditabilidade, disponibilidade ou independência de provedores.</w:t>
      </w:r>
    </w:p>
    <w:p>
      <w:pPr>
        <w:pStyle w:val="Heading2"/>
      </w:pPr>
      <w:r>
        <w:t>1.1 Ordem de precedência</w:t>
      </w:r>
    </w:p>
    <w:p>
      <w:r>
        <w:t>Em caso de conflito, aplica-se a seguinte ordem:</w:t>
      </w:r>
    </w:p>
    <w:p>
      <w:pPr>
        <w:pStyle w:val="ListNumber"/>
      </w:pPr>
      <w:r>
        <w:t>NEXO Constitution e requisitos de segurança.</w:t>
      </w:r>
    </w:p>
    <w:p>
      <w:pPr>
        <w:pStyle w:val="ListNumber"/>
      </w:pPr>
      <w:r>
        <w:t>Este documento, após aprovação.</w:t>
      </w:r>
    </w:p>
    <w:p>
      <w:pPr>
        <w:pStyle w:val="ListNumber"/>
      </w:pPr>
      <w:r>
        <w:t>NEXO Master Product &amp; Engineering Specification consolidada v1.0.</w:t>
      </w:r>
    </w:p>
    <w:p>
      <w:pPr>
        <w:pStyle w:val="ListNumber"/>
      </w:pPr>
      <w:r>
        <w:t>Especificações especializadas v1.0 de banco, API, IA, voz, workflow, testes e DevOps.</w:t>
      </w:r>
    </w:p>
    <w:p>
      <w:pPr>
        <w:pStyle w:val="ListNumber"/>
      </w:pPr>
      <w:r>
        <w:t>PRD e Master Blueprint v1.0.</w:t>
      </w:r>
    </w:p>
    <w:p>
      <w:pPr>
        <w:pStyle w:val="ListNumber"/>
      </w:pPr>
      <w:r>
        <w:t>Referências Stitch, exclusivamente como direção de UX e identidade visual.</w:t>
      </w:r>
    </w:p>
    <w:p>
      <w:r>
        <w:t>Mudanças posteriores em arquitetura, segurança, banco, contratos públicos, tenancy ou Definition of Done exigem ADR ou revisão de ADR existente antes da implementação.</w:t>
      </w:r>
    </w:p>
    <w:p>
      <w:pPr>
        <w:pStyle w:val="Heading2"/>
      </w:pPr>
      <w:r>
        <w:t>1.2 Princípios mandatórios</w:t>
      </w:r>
    </w:p>
    <w:p>
      <w:pPr>
        <w:pStyle w:val="ListBullet"/>
      </w:pPr>
      <w:r>
        <w:t>Segurança, privacidade, observabilidade e multi-tenancy por padrão.</w:t>
      </w:r>
    </w:p>
    <w:p>
      <w:pPr>
        <w:pStyle w:val="ListBullet"/>
      </w:pPr>
      <w:r>
        <w:t xml:space="preserve">TypeScript em modo </w:t>
      </w:r>
      <w:r>
        <w:rPr>
          <w:rFonts w:ascii="Consolas" w:hAnsi="Consolas"/>
          <w:color w:val="3730A3"/>
          <w:sz w:val="17"/>
        </w:rPr>
        <w:t>strict</w:t>
      </w:r>
      <w:r>
        <w:t xml:space="preserve"> em todo código de produção e teste.</w:t>
      </w:r>
    </w:p>
    <w:p>
      <w:pPr>
        <w:pStyle w:val="ListBullet"/>
      </w:pPr>
      <w:r>
        <w:t>DDD com Bounded Contexts e fronteiras explícitas.</w:t>
      </w:r>
    </w:p>
    <w:p>
      <w:pPr>
        <w:pStyle w:val="ListBullet"/>
      </w:pPr>
      <w:r>
        <w:t>Modular Monolith como arquitetura inicial de backend.</w:t>
      </w:r>
    </w:p>
    <w:p>
      <w:pPr>
        <w:pStyle w:val="ListBullet"/>
      </w:pPr>
      <w:r>
        <w:t>Comunicação síncrona por contratos públicos e comunicação assíncrona por eventos quando apropriado.</w:t>
      </w:r>
    </w:p>
    <w:p>
      <w:pPr>
        <w:pStyle w:val="ListBullet"/>
      </w:pPr>
      <w:r>
        <w:t>Nenhum domínio acessa diretamente implementações internas ou tabelas privadas de outro domínio.</w:t>
      </w:r>
    </w:p>
    <w:p>
      <w:pPr>
        <w:pStyle w:val="ListBullet"/>
      </w:pPr>
      <w:r>
        <w:t>API-first, contratos versionados e documentação OpenAPI.</w:t>
      </w:r>
    </w:p>
    <w:p>
      <w:pPr>
        <w:pStyle w:val="ListBullet"/>
      </w:pPr>
      <w:r>
        <w:t>Provider-agnostic para IA, canais, armazenamento e demais integrações externas relevantes.</w:t>
      </w:r>
    </w:p>
    <w:p>
      <w:pPr>
        <w:pStyle w:val="ListBullet"/>
      </w:pPr>
      <w:r>
        <w:t>Idempotência em operações críticas, webhooks, jobs e consumidores de eventos.</w:t>
      </w:r>
    </w:p>
    <w:p>
      <w:pPr>
        <w:pStyle w:val="ListBullet"/>
      </w:pPr>
      <w:r>
        <w:t>Compatibilidade preservada ou breaking change documentada com migração.</w:t>
      </w:r>
    </w:p>
    <w:p>
      <w:pPr>
        <w:pStyle w:val="ListBullet"/>
      </w:pPr>
      <w:r>
        <w:t>Código simples, reutilizável, testável e proporcional ao problema.</w:t>
      </w:r>
    </w:p>
    <w:p>
      <w:pPr>
        <w:pStyle w:val="ListBullet"/>
      </w:pPr>
      <w:r>
        <w:t>Sem credenciais, tokens ou dados sensíveis no repositório.</w:t>
      </w:r>
    </w:p>
    <w:p>
      <w:pPr>
        <w:pStyle w:val="ListBullet"/>
      </w:pPr>
      <w:r>
        <w:t>Nenhuma fase é concluída sem seus gates de qualidade e evidências.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2. Arquitetura final</w:t>
      </w:r>
    </w:p>
    <w:p>
      <w:pPr>
        <w:pStyle w:val="Heading2"/>
      </w:pPr>
      <w:r>
        <w:t>2.1 Estilo arquitetural</w:t>
      </w:r>
    </w:p>
    <w:p>
      <w:r>
        <w:t xml:space="preserve">O NEXO começará como um </w:t>
      </w:r>
      <w:r>
        <w:rPr>
          <w:b/>
        </w:rPr>
        <w:t>Modular Monolith orientado por domínios</w:t>
      </w:r>
      <w:r>
        <w:t>, implantado por meio de quatro aplicações independentes em um monorepo:</w:t>
      </w:r>
    </w:p>
    <w:p>
      <w:pPr>
        <w:pStyle w:val="ListBullet"/>
      </w:pPr>
      <w:r>
        <w:rPr>
          <w:b/>
        </w:rPr>
        <w:t>Web:</w:t>
      </w:r>
      <w:r>
        <w:t xml:space="preserve"> experiência Next.js para usuários e administradores.</w:t>
      </w:r>
    </w:p>
    <w:p>
      <w:pPr>
        <w:pStyle w:val="ListBullet"/>
      </w:pPr>
      <w:r>
        <w:rPr>
          <w:b/>
        </w:rPr>
        <w:t>API:</w:t>
      </w:r>
      <w:r>
        <w:t xml:space="preserve"> aplicação NestJS com módulos de domínio e APIs REST/WebSocket.</w:t>
      </w:r>
    </w:p>
    <w:p>
      <w:pPr>
        <w:pStyle w:val="ListBullet"/>
      </w:pPr>
      <w:r>
        <w:rPr>
          <w:b/>
        </w:rPr>
        <w:t>Worker:</w:t>
      </w:r>
      <w:r>
        <w:t xml:space="preserve"> processamento assíncrono, filas, eventos, IA, mídia e automações.</w:t>
      </w:r>
    </w:p>
    <w:p>
      <w:pPr>
        <w:pStyle w:val="ListBullet"/>
      </w:pPr>
      <w:r>
        <w:rPr>
          <w:b/>
        </w:rPr>
        <w:t>Webhook Gateway:</w:t>
      </w:r>
      <w:r>
        <w:t xml:space="preserve"> borda pública para webhooks, validação, deduplicação, normalização inicial e entrega confiável ao núcleo.</w:t>
      </w:r>
    </w:p>
    <w:p>
      <w:r>
        <w:t>O banco PostgreSQL será compartilhado fisicamente no início, mas terá ownership lógico por contexto. Redis suportará cache, rate limiting, coordenação efêmera e BullMQ. Armazenamento de objetos será compatível com S3. Processos serão containerizados e horizontalmente escaláveis.</w:t>
      </w:r>
    </w:p>
    <w:p>
      <w:r>
        <w:t>O monólito modular não autoriza acoplamento irrestrito. Cada contexto é tratado como possível candidato a extração futura. Contratos, eventos e ownership de dados devem possibilitar essa evolução sem reescrever regras de negócio.</w:t>
      </w:r>
    </w:p>
    <w:p>
      <w:pPr>
        <w:pStyle w:val="Heading2"/>
      </w:pPr>
      <w:r>
        <w:t>2.2 Camadas internas de cada contexto</w:t>
      </w:r>
    </w:p>
    <w:p>
      <w:r>
        <w:t>Cada Bounded Context seguirá, quando fizer sentido, quatro camadas:</w:t>
      </w:r>
    </w:p>
    <w:p>
      <w:pPr>
        <w:pStyle w:val="ListNumber"/>
      </w:pPr>
      <w:r>
        <w:rPr>
          <w:b/>
        </w:rPr>
        <w:t>Domain:</w:t>
      </w:r>
      <w:r>
        <w:t xml:space="preserve"> entidades, value objects, agregados, domain services, eventos e regras invariantes; sem dependência de frameworks ou infraestrutura.</w:t>
      </w:r>
    </w:p>
    <w:p>
      <w:pPr>
        <w:pStyle w:val="ListNumber"/>
      </w:pPr>
      <w:r>
        <w:rPr>
          <w:b/>
        </w:rPr>
        <w:t>Application:</w:t>
      </w:r>
      <w:r>
        <w:t xml:space="preserve"> casos de uso, commands, queries, ports, políticas de autorização e coordenação transacional.</w:t>
      </w:r>
    </w:p>
    <w:p>
      <w:pPr>
        <w:pStyle w:val="ListNumber"/>
      </w:pPr>
      <w:r>
        <w:rPr>
          <w:b/>
        </w:rPr>
        <w:t>Infrastructure:</w:t>
      </w:r>
      <w:r>
        <w:t xml:space="preserve"> Prisma, filas, cache, provedores, clientes HTTP e implementações de ports.</w:t>
      </w:r>
    </w:p>
    <w:p>
      <w:pPr>
        <w:pStyle w:val="ListNumber"/>
      </w:pPr>
      <w:r>
        <w:rPr>
          <w:b/>
        </w:rPr>
        <w:t>Interfaces:</w:t>
      </w:r>
      <w:r>
        <w:t xml:space="preserve"> controllers, schemas de transporte, consumers, presenters e adapters de entrada.</w:t>
      </w:r>
    </w:p>
    <w:p>
      <w:r>
        <w:t>Nem todo módulo precisa de todas as abstrações. CRUD simples não deve receber complexidade artificial, mas nenhuma regra central pode ficar presa em controller, ORM ou SDK externo.</w:t>
      </w:r>
    </w:p>
    <w:p>
      <w:pPr>
        <w:pStyle w:val="Heading2"/>
      </w:pPr>
      <w:r>
        <w:t>2.3 Fluxo de dependências</w:t>
      </w:r>
    </w:p>
    <w:p>
      <w:r>
        <w:t>As dependências apontam para dentro:</w:t>
      </w:r>
    </w:p>
    <w:p>
      <w:pPr>
        <w:keepLines/>
        <w:ind w:left="360" w:right="360"/>
      </w:pPr>
      <w:r>
        <w:rPr>
          <w:rFonts w:ascii="Consolas" w:hAnsi="Consolas"/>
          <w:color w:val="1E1B4B"/>
          <w:sz w:val="15"/>
        </w:rPr>
        <w:t>Interfaces -&gt; Application -&gt; Domain</w:t>
        <w:br/>
        <w:t>Infrastructure -&gt; Application/Domain ports</w:t>
        <w:br/>
        <w:t>Domain -&gt; nenhuma camada externa</w:t>
      </w:r>
    </w:p>
    <w:p>
      <w:r>
        <w:t>Frameworks e provedores são detalhes externos. O domínio não importa NestJS, Prisma, BullMQ, SDKs de IA, SDKs da Meta ou bibliotecas de transporte.</w:t>
      </w:r>
    </w:p>
    <w:p>
      <w:pPr>
        <w:pStyle w:val="Heading2"/>
      </w:pPr>
      <w:r>
        <w:t>2.4 Integração entre contextos</w:t>
      </w:r>
    </w:p>
    <w:p>
      <w:r>
        <w:t>São permitidas:</w:t>
      </w:r>
    </w:p>
    <w:p>
      <w:pPr>
        <w:pStyle w:val="ListBullet"/>
      </w:pPr>
      <w:r>
        <w:t>chamadas a contratos públicos da camada Application;</w:t>
      </w:r>
    </w:p>
    <w:p>
      <w:pPr>
        <w:pStyle w:val="ListBullet"/>
      </w:pPr>
      <w:r>
        <w:t>eventos de domínio ou integração publicados no Event Bus;</w:t>
      </w:r>
    </w:p>
    <w:p>
      <w:pPr>
        <w:pStyle w:val="ListBullet"/>
      </w:pPr>
      <w:r>
        <w:t>leitura por projeções explicitamente publicadas;</w:t>
      </w:r>
    </w:p>
    <w:p>
      <w:pPr>
        <w:pStyle w:val="ListBullet"/>
      </w:pPr>
      <w:r>
        <w:t>APIs internas versionadas quando houver separação de processo.</w:t>
      </w:r>
    </w:p>
    <w:p>
      <w:r>
        <w:t>São proibidas:</w:t>
      </w:r>
    </w:p>
    <w:p>
      <w:pPr>
        <w:pStyle w:val="ListBullet"/>
      </w:pPr>
      <w:r>
        <w:t>importação de repositórios internos de outro contexto;</w:t>
      </w:r>
    </w:p>
    <w:p>
      <w:pPr>
        <w:pStyle w:val="ListBullet"/>
      </w:pPr>
      <w:r>
        <w:t>acesso direto às tabelas pertencentes a outro contexto;</w:t>
      </w:r>
    </w:p>
    <w:p>
      <w:pPr>
        <w:pStyle w:val="ListBullet"/>
      </w:pPr>
      <w:r>
        <w:t>importação de arquivos por caminhos internos não exportados;</w:t>
      </w:r>
    </w:p>
    <w:p>
      <w:pPr>
        <w:pStyle w:val="ListBullet"/>
      </w:pPr>
      <w:r>
        <w:t>compartilhamento de entidades de domínio entre contextos;</w:t>
      </w:r>
    </w:p>
    <w:p>
      <w:pPr>
        <w:pStyle w:val="ListBullet"/>
      </w:pPr>
      <w:r>
        <w:t>ciclos de dependência;</w:t>
      </w:r>
    </w:p>
    <w:p>
      <w:pPr>
        <w:pStyle w:val="ListBullet"/>
      </w:pPr>
      <w:r>
        <w:t>uso de eventos como chamada remota síncrona disfarçada.</w:t>
      </w:r>
    </w:p>
    <w:p>
      <w:r>
        <w:t>Objetos compartilhados serão limitados a primitivas técnicas, IDs tipados, envelopes de eventos, erros comuns e utilitários sem regras de negócio.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3. Bounded Contexts</w:t>
      </w:r>
    </w:p>
    <w:p>
      <w:pPr>
        <w:pStyle w:val="Heading2"/>
      </w:pPr>
      <w:r>
        <w:t>3.1 Identity</w:t>
      </w:r>
    </w:p>
    <w:p>
      <w:r>
        <w:t>Responsável por identidade global, credenciais, login, sessões, refresh token rotativo, MFA, passkeys futuras, recuperação de acesso e segurança de autenticação.</w:t>
      </w:r>
    </w:p>
    <w:p>
      <w:r>
        <w:t>Não decide permissões de uma organização isoladamente; fornece a identidade autenticada para Organization e Platform aplicarem autorização contextual.</w:t>
      </w:r>
    </w:p>
    <w:p>
      <w:pPr>
        <w:pStyle w:val="Heading2"/>
      </w:pPr>
      <w:r>
        <w:t>3.2 Organization</w:t>
      </w:r>
    </w:p>
    <w:p>
      <w:r>
        <w:t>Responsável por organizações, memberships, equipes, convites, papéis, permissões, políticas ABAC, configurações por tenant e ciclo de vida organizacional.</w:t>
      </w:r>
    </w:p>
    <w:p>
      <w:r>
        <w:t xml:space="preserve">É a fonte de verdade para a relação N:N entre </w:t>
      </w:r>
      <w:r>
        <w:rPr>
          <w:rFonts w:ascii="Consolas" w:hAnsi="Consolas"/>
          <w:color w:val="3730A3"/>
          <w:sz w:val="17"/>
        </w:rPr>
        <w:t>User</w:t>
      </w:r>
      <w:r>
        <w:t xml:space="preserve"> e </w:t>
      </w:r>
      <w:r>
        <w:rPr>
          <w:rFonts w:ascii="Consolas" w:hAnsi="Consolas"/>
          <w:color w:val="3730A3"/>
          <w:sz w:val="17"/>
        </w:rPr>
        <w:t>Organization</w:t>
      </w:r>
      <w:r>
        <w:t xml:space="preserve"> por </w:t>
      </w:r>
      <w:r>
        <w:rPr>
          <w:rFonts w:ascii="Consolas" w:hAnsi="Consolas"/>
          <w:color w:val="3730A3"/>
          <w:sz w:val="17"/>
        </w:rPr>
        <w:t>Membership</w:t>
      </w:r>
      <w:r>
        <w:t>.</w:t>
      </w:r>
    </w:p>
    <w:p>
      <w:pPr>
        <w:pStyle w:val="Heading2"/>
      </w:pPr>
      <w:r>
        <w:t>3.3 Inbox</w:t>
      </w:r>
    </w:p>
    <w:p>
      <w:r>
        <w:t>Responsável por contatos operacionais, conversas, mensagens normalizadas, anexos, etiquetas, notas, atribuições, filas de atendimento, estados da conversa e tempo real.</w:t>
      </w:r>
    </w:p>
    <w:p>
      <w:r>
        <w:t>Não conhece SDKs ou payloads específicos de WhatsApp e Instagram. Consome e produz contratos normalizados pela Channel Provider Layer.</w:t>
      </w:r>
    </w:p>
    <w:p>
      <w:pPr>
        <w:pStyle w:val="Heading2"/>
      </w:pPr>
      <w:r>
        <w:t>3.4 CRM</w:t>
      </w:r>
    </w:p>
    <w:p>
      <w:r>
        <w:t>Responsável por empresas, oportunidades, pipelines, estágios, atividades comerciais e visão de relacionamento. Contatos compartilhados com Inbox terão identidade canônica e contratos explícitos, sem acesso cruzado a tabelas.</w:t>
      </w:r>
    </w:p>
    <w:p>
      <w:pPr>
        <w:pStyle w:val="Heading2"/>
      </w:pPr>
      <w:r>
        <w:t>3.5 AI</w:t>
      </w:r>
    </w:p>
    <w:p>
      <w:r>
        <w:t>Responsável por agentes, prompts, orquestração, execução de ferramentas, memória coordenada, supervisão, políticas de confiança, custos e avaliações. Acessa modelos apenas pela AI Provider Layer.</w:t>
      </w:r>
    </w:p>
    <w:p>
      <w:pPr>
        <w:pStyle w:val="Heading2"/>
      </w:pPr>
      <w:r>
        <w:t>3.6 Voice</w:t>
      </w:r>
    </w:p>
    <w:p>
      <w:r>
        <w:t>Responsável por áudio, conversão, transcrição, síntese, perfis de voz, cache de voz, política de retenção, métricas e fallback de provedores.</w:t>
      </w:r>
    </w:p>
    <w:p>
      <w:pPr>
        <w:pStyle w:val="Heading2"/>
      </w:pPr>
      <w:r>
        <w:t>3.7 Workflow</w:t>
      </w:r>
    </w:p>
    <w:p>
      <w:r>
        <w:t>Responsável por definições, versões, publicação, triggers, nodes, execuções, variáveis, retries, delays, dead-letter handling e rollback lógico de fluxos.</w:t>
      </w:r>
    </w:p>
    <w:p>
      <w:pPr>
        <w:pStyle w:val="Heading2"/>
      </w:pPr>
      <w:r>
        <w:t>3.8 Analytics</w:t>
      </w:r>
    </w:p>
    <w:p>
      <w:r>
        <w:t>Responsável por ingestão de eventos analíticos, métricas, projeções, dashboards e relatórios. Deve preferir eventos e projeções, evitando consultas operacionais invasivas nos contextos produtores.</w:t>
      </w:r>
    </w:p>
    <w:p>
      <w:pPr>
        <w:pStyle w:val="Heading2"/>
      </w:pPr>
      <w:r>
        <w:t>3.9 Billing</w:t>
      </w:r>
    </w:p>
    <w:p>
      <w:r>
        <w:t>Responsável por planos, subscriptions, entitlements, consumo faturável, cobrança, invoices e integração com gateways. Decisões de acesso a funcionalidades são publicadas como entitlements e não consultadas diretamente em tabelas financeiras.</w:t>
      </w:r>
    </w:p>
    <w:p>
      <w:pPr>
        <w:pStyle w:val="Heading2"/>
      </w:pPr>
      <w:r>
        <w:t>3.10 Marketplace</w:t>
      </w:r>
    </w:p>
    <w:p>
      <w:r>
        <w:t>Responsável por catálogo, instalação, configuração, versionamento e ciclo de vida de integrações e extensões. Segredos de instalações são armazenados criptografados e referenciados, nunca retornados ao frontend.</w:t>
      </w:r>
    </w:p>
    <w:p>
      <w:pPr>
        <w:pStyle w:val="Heading2"/>
      </w:pPr>
      <w:r>
        <w:t>3.11 Notification</w:t>
      </w:r>
    </w:p>
    <w:p>
      <w:r>
        <w:t>Responsável por notificações internas e externas, preferências, templates, entrega, retries e histórico. Não substitui mensagens de atendimento do Inbox.</w:t>
      </w:r>
    </w:p>
    <w:p>
      <w:pPr>
        <w:pStyle w:val="Heading2"/>
      </w:pPr>
      <w:r>
        <w:t>3.12 Knowledge</w:t>
      </w:r>
    </w:p>
    <w:p>
      <w:r>
        <w:t>Responsável por fontes, ingestão, parsing, chunks, embeddings, indexação, versionamento, escopo, recuperação, exclusão e rastreabilidade de conhecimento. A geração de respostas continua pertencendo ao contexto AI.</w:t>
      </w:r>
    </w:p>
    <w:p>
      <w:pPr>
        <w:pStyle w:val="Heading2"/>
      </w:pPr>
      <w:r>
        <w:t>3.13 Platform</w:t>
      </w:r>
    </w:p>
    <w:p>
      <w:r>
        <w:t>Responsável por capacidades transversais governadas: API keys, feature flags, auditoria, configuração técnica, health, idempotency records e políticas operacionais. Observabilidade técnica é oferecida como package compartilhado, mas sua governança pertence a Platform.</w:t>
      </w:r>
    </w:p>
    <w:p>
      <w:pPr>
        <w:pStyle w:val="Heading2"/>
      </w:pPr>
      <w:r>
        <w:t>3.14 Context map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0E7FF"/>
          </w:tcPr>
          <w:p>
            <w:r>
              <w:rPr>
                <w:b/>
                <w:color w:val="312E81"/>
                <w:sz w:val="16"/>
              </w:rPr>
              <w:t>Contexto consumidor</w:t>
            </w:r>
          </w:p>
        </w:tc>
        <w:tc>
          <w:tcPr>
            <w:tcW w:type="dxa" w:w="3312"/>
            <w:vAlign w:val="center"/>
            <w:shd w:fill="E0E7FF"/>
          </w:tcPr>
          <w:p>
            <w:r>
              <w:rPr>
                <w:b/>
                <w:color w:val="312E81"/>
                <w:sz w:val="16"/>
              </w:rPr>
              <w:t>Contexto fornecedor</w:t>
            </w:r>
          </w:p>
        </w:tc>
        <w:tc>
          <w:tcPr>
            <w:tcW w:type="dxa" w:w="3312"/>
            <w:vAlign w:val="center"/>
            <w:shd w:fill="E0E7FF"/>
          </w:tcPr>
          <w:p>
            <w:r>
              <w:rPr>
                <w:b/>
                <w:color w:val="312E81"/>
                <w:sz w:val="16"/>
              </w:rPr>
              <w:t>Integração preferencial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Organization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Identity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contrato de identidade e eventos de usuário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Inbox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Organization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autorização e configuração por contrato público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Inbox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Platform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feature flags, auditoria e idempotência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Inbox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Channel Layer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mensagens normalizadas por port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CRM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Inbox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eventos de contato e conversa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Inbox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contexto conversacional por query pública e eventos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Knowledge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retrieval port com escopo tenant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Organization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políticas, limites e autorização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Voice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texto/resposta por contrato público ou evento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Workflow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demais contextos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commands públicos e eventos, nunca repositórios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Analytics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todos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eventos de integração versionados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Billing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Organization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lifecycle e ownership por eventos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Platform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todos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contratos transversais governados</w:t>
            </w:r>
          </w:p>
        </w:tc>
      </w:tr>
    </w:tbl>
    <w:p>
      <w:pPr>
        <w:spacing w:after="20"/>
      </w:pPr>
    </w:p>
    <w:p>
      <w:pPr>
        <w:pBdr>
          <w:bottom w:val="single" w:sz="6" w:color="C7D2FE"/>
        </w:pBdr>
      </w:pPr>
    </w:p>
    <w:p>
      <w:pPr>
        <w:pStyle w:val="Heading1"/>
      </w:pPr>
      <w:r>
        <w:t>4. Event Bus</w:t>
      </w:r>
    </w:p>
    <w:p>
      <w:pPr>
        <w:pStyle w:val="Heading2"/>
      </w:pPr>
      <w:r>
        <w:t>4.1 Objetivo</w:t>
      </w:r>
    </w:p>
    <w:p>
      <w:r>
        <w:t>O Event Bus desacopla comunicação assíncrona entre contextos e prepara a arquitetura para distribuição futura. A Application Layer depende apenas de uma port, nunca de BullMQ, Redis, Kafka ou outro broker.</w:t>
      </w:r>
    </w:p>
    <w:p>
      <w:pPr>
        <w:pStyle w:val="Heading2"/>
      </w:pPr>
      <w:r>
        <w:t>4.2 Contrato mínimo</w:t>
      </w:r>
    </w:p>
    <w:p>
      <w:r>
        <w:t>O contrato deverá suportar:</w:t>
      </w:r>
    </w:p>
    <w:p>
      <w:pPr>
        <w:pStyle w:val="ListBullet"/>
      </w:pPr>
      <w:r>
        <w:t>publicação de um ou vários eventos;</w:t>
      </w:r>
    </w:p>
    <w:p>
      <w:pPr>
        <w:pStyle w:val="ListBullet"/>
      </w:pPr>
      <w:r>
        <w:t>assinatura por tipo e versão;</w:t>
      </w:r>
    </w:p>
    <w:p>
      <w:pPr>
        <w:pStyle w:val="ListBullet"/>
      </w:pPr>
      <w:r>
        <w:t>envelope padronizado;</w:t>
      </w:r>
    </w:p>
    <w:p>
      <w:pPr>
        <w:pStyle w:val="ListBullet"/>
      </w:pPr>
      <w:r>
        <w:t>correlação e causação;</w:t>
      </w:r>
    </w:p>
    <w:p>
      <w:pPr>
        <w:pStyle w:val="ListBullet"/>
      </w:pPr>
      <w:r>
        <w:t>contexto de tenant;</w:t>
      </w:r>
    </w:p>
    <w:p>
      <w:pPr>
        <w:pStyle w:val="ListBullet"/>
      </w:pPr>
      <w:r>
        <w:t>idempotência do consumidor;</w:t>
      </w:r>
    </w:p>
    <w:p>
      <w:pPr>
        <w:pStyle w:val="ListBullet"/>
      </w:pPr>
      <w:r>
        <w:t>retries e dead-letter policy;</w:t>
      </w:r>
    </w:p>
    <w:p>
      <w:pPr>
        <w:pStyle w:val="ListBullet"/>
      </w:pPr>
      <w:r>
        <w:t>observabilidade e propagação de trace;</w:t>
      </w:r>
    </w:p>
    <w:p>
      <w:pPr>
        <w:pStyle w:val="ListBullet"/>
      </w:pPr>
      <w:r>
        <w:t>adaptadores in-memory para testes e broker-backed para execução real.</w:t>
      </w:r>
    </w:p>
    <w:p>
      <w:r>
        <w:t>Envelope conceitual:</w:t>
      </w:r>
    </w:p>
    <w:p>
      <w:pPr>
        <w:keepLines/>
        <w:ind w:left="360" w:right="360"/>
      </w:pPr>
      <w:r>
        <w:rPr>
          <w:rFonts w:ascii="Consolas" w:hAnsi="Consolas"/>
          <w:color w:val="1E1B4B"/>
          <w:sz w:val="15"/>
        </w:rPr>
        <w:t>eventId, eventType, eventVersion, occurredAt,</w:t>
        <w:br/>
        <w:t>organizationId?, actorId?, correlationId, causationId?,</w:t>
        <w:br/>
        <w:t>source, payload, metadata</w:t>
      </w:r>
    </w:p>
    <w:p>
      <w:r>
        <w:rPr>
          <w:rFonts w:ascii="Consolas" w:hAnsi="Consolas"/>
          <w:color w:val="3730A3"/>
          <w:sz w:val="17"/>
        </w:rPr>
        <w:t>organizationId</w:t>
      </w:r>
      <w:r>
        <w:t xml:space="preserve"> é obrigatório para eventos tenant-owned e ausente somente em eventos realmente globais.</w:t>
      </w:r>
    </w:p>
    <w:p>
      <w:pPr>
        <w:pStyle w:val="Heading2"/>
      </w:pPr>
      <w:r>
        <w:t>4.3 Tipos de eventos</w:t>
      </w:r>
    </w:p>
    <w:p>
      <w:pPr>
        <w:pStyle w:val="ListBullet"/>
      </w:pPr>
      <w:r>
        <w:rPr>
          <w:b/>
        </w:rPr>
        <w:t>Domain Event:</w:t>
      </w:r>
      <w:r>
        <w:t xml:space="preserve"> fato interno relevante a um agregado; pode permanecer no processo.</w:t>
      </w:r>
    </w:p>
    <w:p>
      <w:pPr>
        <w:pStyle w:val="ListBullet"/>
      </w:pPr>
      <w:r>
        <w:rPr>
          <w:b/>
        </w:rPr>
        <w:t>Integration Event:</w:t>
      </w:r>
      <w:r>
        <w:t xml:space="preserve"> contrato público, serializável, versionado e estável entre contextos/processos.</w:t>
      </w:r>
    </w:p>
    <w:p>
      <w:r>
        <w:t>Domain Events não devem expor diretamente entidades ou detalhes internos. A conversão para Integration Event ocorre na camada Application.</w:t>
      </w:r>
    </w:p>
    <w:p>
      <w:pPr>
        <w:pStyle w:val="Heading2"/>
      </w:pPr>
      <w:r>
        <w:t>4.4 Catálogo inicial</w:t>
      </w:r>
    </w:p>
    <w:p>
      <w:pPr>
        <w:pStyle w:val="ListBullet"/>
      </w:pPr>
      <w:r>
        <w:rPr>
          <w:rFonts w:ascii="Consolas" w:hAnsi="Consolas"/>
          <w:color w:val="3730A3"/>
          <w:sz w:val="17"/>
        </w:rPr>
        <w:t>ConversationCreated.v1</w:t>
      </w:r>
    </w:p>
    <w:p>
      <w:pPr>
        <w:pStyle w:val="ListBullet"/>
      </w:pPr>
      <w:r>
        <w:rPr>
          <w:rFonts w:ascii="Consolas" w:hAnsi="Consolas"/>
          <w:color w:val="3730A3"/>
          <w:sz w:val="17"/>
        </w:rPr>
        <w:t>MessageReceived.v1</w:t>
      </w:r>
    </w:p>
    <w:p>
      <w:pPr>
        <w:pStyle w:val="ListBullet"/>
      </w:pPr>
      <w:r>
        <w:rPr>
          <w:rFonts w:ascii="Consolas" w:hAnsi="Consolas"/>
          <w:color w:val="3730A3"/>
          <w:sz w:val="17"/>
        </w:rPr>
        <w:t>MessageSent.v1</w:t>
      </w:r>
    </w:p>
    <w:p>
      <w:pPr>
        <w:pStyle w:val="ListBullet"/>
      </w:pPr>
      <w:r>
        <w:rPr>
          <w:rFonts w:ascii="Consolas" w:hAnsi="Consolas"/>
          <w:color w:val="3730A3"/>
          <w:sz w:val="17"/>
        </w:rPr>
        <w:t>ContactCreated.v1</w:t>
      </w:r>
    </w:p>
    <w:p>
      <w:pPr>
        <w:pStyle w:val="ListBullet"/>
      </w:pPr>
      <w:r>
        <w:rPr>
          <w:rFonts w:ascii="Consolas" w:hAnsi="Consolas"/>
          <w:color w:val="3730A3"/>
          <w:sz w:val="17"/>
        </w:rPr>
        <w:t>WorkflowStarted.v1</w:t>
      </w:r>
    </w:p>
    <w:p>
      <w:pPr>
        <w:pStyle w:val="ListBullet"/>
      </w:pPr>
      <w:r>
        <w:rPr>
          <w:rFonts w:ascii="Consolas" w:hAnsi="Consolas"/>
          <w:color w:val="3730A3"/>
          <w:sz w:val="17"/>
        </w:rPr>
        <w:t>WorkflowCompleted.v1</w:t>
      </w:r>
    </w:p>
    <w:p>
      <w:pPr>
        <w:pStyle w:val="ListBullet"/>
      </w:pPr>
      <w:r>
        <w:rPr>
          <w:rFonts w:ascii="Consolas" w:hAnsi="Consolas"/>
          <w:color w:val="3730A3"/>
          <w:sz w:val="17"/>
        </w:rPr>
        <w:t>AgentAssigned.v1</w:t>
      </w:r>
    </w:p>
    <w:p>
      <w:pPr>
        <w:pStyle w:val="ListBullet"/>
      </w:pPr>
      <w:r>
        <w:rPr>
          <w:rFonts w:ascii="Consolas" w:hAnsi="Consolas"/>
          <w:color w:val="3730A3"/>
          <w:sz w:val="17"/>
        </w:rPr>
        <w:t>AgentResponded.v1</w:t>
      </w:r>
    </w:p>
    <w:p>
      <w:pPr>
        <w:pStyle w:val="ListBullet"/>
      </w:pPr>
      <w:r>
        <w:rPr>
          <w:rFonts w:ascii="Consolas" w:hAnsi="Consolas"/>
          <w:color w:val="3730A3"/>
          <w:sz w:val="17"/>
        </w:rPr>
        <w:t>KnowledgeUpdated.v1</w:t>
      </w:r>
    </w:p>
    <w:p>
      <w:pPr>
        <w:pStyle w:val="ListBullet"/>
      </w:pPr>
      <w:r>
        <w:rPr>
          <w:rFonts w:ascii="Consolas" w:hAnsi="Consolas"/>
          <w:color w:val="3730A3"/>
          <w:sz w:val="17"/>
        </w:rPr>
        <w:t>AudioProcessed.v1</w:t>
      </w:r>
    </w:p>
    <w:p>
      <w:pPr>
        <w:pStyle w:val="ListBullet"/>
      </w:pPr>
      <w:r>
        <w:rPr>
          <w:rFonts w:ascii="Consolas" w:hAnsi="Consolas"/>
          <w:color w:val="3730A3"/>
          <w:sz w:val="17"/>
        </w:rPr>
        <w:t>OrganizationCreated.v1</w:t>
      </w:r>
    </w:p>
    <w:p>
      <w:pPr>
        <w:pStyle w:val="ListBullet"/>
      </w:pPr>
      <w:r>
        <w:rPr>
          <w:rFonts w:ascii="Consolas" w:hAnsi="Consolas"/>
          <w:color w:val="3730A3"/>
          <w:sz w:val="17"/>
        </w:rPr>
        <w:t>UserInvited.v1</w:t>
      </w:r>
    </w:p>
    <w:p>
      <w:r>
        <w:t>Cada evento terá owner, schema, semântica, política de dados sensíveis e compatibilidade documentados antes do uso.</w:t>
      </w:r>
    </w:p>
    <w:p>
      <w:pPr>
        <w:pStyle w:val="Heading2"/>
      </w:pPr>
      <w:r>
        <w:t>4.5 Garantias e consistência</w:t>
      </w:r>
    </w:p>
    <w:p>
      <w:pPr>
        <w:pStyle w:val="ListBullet"/>
      </w:pPr>
      <w:r>
        <w:t xml:space="preserve">Entrega padrão: </w:t>
      </w:r>
      <w:r>
        <w:rPr>
          <w:b/>
        </w:rPr>
        <w:t>at least once</w:t>
      </w:r>
      <w:r>
        <w:t>.</w:t>
      </w:r>
    </w:p>
    <w:p>
      <w:pPr>
        <w:pStyle w:val="ListBullet"/>
      </w:pPr>
      <w:r>
        <w:t>Consumidores obrigatoriamente idempotentes.</w:t>
      </w:r>
    </w:p>
    <w:p>
      <w:pPr>
        <w:pStyle w:val="ListBullet"/>
      </w:pPr>
      <w:r>
        <w:t>Ordem global não é garantida; quando necessária, usar chave de agregação e versão.</w:t>
      </w:r>
    </w:p>
    <w:p>
      <w:pPr>
        <w:pStyle w:val="ListBullet"/>
      </w:pPr>
      <w:r>
        <w:t>Alterações de banco e publicação confiável usarão Transactional Outbox.</w:t>
      </w:r>
    </w:p>
    <w:p>
      <w:pPr>
        <w:pStyle w:val="ListBullet"/>
      </w:pPr>
      <w:r>
        <w:t>Processamento de inbox utilizará Inbox/Processed Messages para deduplicação.</w:t>
      </w:r>
    </w:p>
    <w:p>
      <w:pPr>
        <w:pStyle w:val="ListBullet"/>
      </w:pPr>
      <w:r>
        <w:t>Falhas permanentes irão para dead-letter queue com alerta e ferramenta de replay auditado.</w:t>
      </w:r>
    </w:p>
    <w:p>
      <w:pPr>
        <w:pStyle w:val="ListBullet"/>
      </w:pPr>
      <w:r>
        <w:t>Consistência entre contextos será eventual e visível nos estados de UI quando relevante.</w:t>
      </w:r>
    </w:p>
    <w:p>
      <w:pPr>
        <w:pStyle w:val="Heading2"/>
      </w:pPr>
      <w:r>
        <w:t>4.6 Versionamento</w:t>
      </w:r>
    </w:p>
    <w:p>
      <w:r>
        <w:t>Mudanças aditivas compatíveis permanecem na mesma versão. Remoção, mudança de tipo ou semântica exige nova versão. Consumidores devem tolerar campos adicionais. Eventos não podem conter segredos nem payloads completos desnecessários.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5. Provider Layers</w:t>
      </w:r>
    </w:p>
    <w:p>
      <w:pPr>
        <w:pStyle w:val="Heading2"/>
      </w:pPr>
      <w:r>
        <w:t>5.1 AI Provider Layer</w:t>
      </w:r>
    </w:p>
    <w:p>
      <w:r>
        <w:t>O contexto AI define ports para capacidades, não para marcas de fornecedores:</w:t>
      </w:r>
    </w:p>
    <w:p>
      <w:pPr>
        <w:pStyle w:val="ListBullet"/>
      </w:pPr>
      <w:r>
        <w:t>geração de texto e structured output;</w:t>
      </w:r>
    </w:p>
    <w:p>
      <w:pPr>
        <w:pStyle w:val="ListBullet"/>
      </w:pPr>
      <w:r>
        <w:t>streaming;</w:t>
      </w:r>
    </w:p>
    <w:p>
      <w:pPr>
        <w:pStyle w:val="ListBullet"/>
      </w:pPr>
      <w:r>
        <w:t>embeddings;</w:t>
      </w:r>
    </w:p>
    <w:p>
      <w:pPr>
        <w:pStyle w:val="ListBullet"/>
      </w:pPr>
      <w:r>
        <w:t>uso de ferramentas;</w:t>
      </w:r>
    </w:p>
    <w:p>
      <w:pPr>
        <w:pStyle w:val="ListBullet"/>
      </w:pPr>
      <w:r>
        <w:t>transcrição e síntese quando compartilhadas com Voice;</w:t>
      </w:r>
    </w:p>
    <w:p>
      <w:pPr>
        <w:pStyle w:val="ListBullet"/>
      </w:pPr>
      <w:r>
        <w:t>contagem de tokens e estimativa de custo;</w:t>
      </w:r>
    </w:p>
    <w:p>
      <w:pPr>
        <w:pStyle w:val="ListBullet"/>
      </w:pPr>
      <w:r>
        <w:t>modelos/capabilities disponíveis;</w:t>
      </w:r>
    </w:p>
    <w:p>
      <w:pPr>
        <w:pStyle w:val="ListBullet"/>
      </w:pPr>
      <w:r>
        <w:t>cancelamento, timeout e retry policy.</w:t>
      </w:r>
    </w:p>
    <w:p>
      <w:r>
        <w:t>Adapters traduzem contratos internos para SDKs externos. Regras de prompt, segurança, memória, supervisão e ferramentas permanecem fora dos adapters.</w:t>
      </w:r>
    </w:p>
    <w:p>
      <w:r>
        <w:t>Seleção de provedor será baseada em capability, política da organização, região, custo, disponibilidade e feature flag. Fallback não poderá repetir automaticamente operações não idempotentes.</w:t>
      </w:r>
    </w:p>
    <w:p>
      <w:pPr>
        <w:pStyle w:val="Heading2"/>
      </w:pPr>
      <w:r>
        <w:t>5.2 Channel Provider Layer</w:t>
      </w:r>
    </w:p>
    <w:p>
      <w:r>
        <w:t>A camada de canais define ports normalizadas para:</w:t>
      </w:r>
    </w:p>
    <w:p>
      <w:pPr>
        <w:pStyle w:val="ListBullet"/>
      </w:pPr>
      <w:r>
        <w:t>validar e interpretar webhook;</w:t>
      </w:r>
    </w:p>
    <w:p>
      <w:pPr>
        <w:pStyle w:val="ListBullet"/>
      </w:pPr>
      <w:r>
        <w:t>resolver identidade do canal;</w:t>
      </w:r>
    </w:p>
    <w:p>
      <w:pPr>
        <w:pStyle w:val="ListBullet"/>
      </w:pPr>
      <w:r>
        <w:t>receber mensagens e status;</w:t>
      </w:r>
    </w:p>
    <w:p>
      <w:pPr>
        <w:pStyle w:val="ListBullet"/>
      </w:pPr>
      <w:r>
        <w:t>enviar texto, mídia, templates e reações suportadas;</w:t>
      </w:r>
    </w:p>
    <w:p>
      <w:pPr>
        <w:pStyle w:val="ListBullet"/>
      </w:pPr>
      <w:r>
        <w:t>obter capabilities e limites;</w:t>
      </w:r>
    </w:p>
    <w:p>
      <w:pPr>
        <w:pStyle w:val="ListBullet"/>
      </w:pPr>
      <w:r>
        <w:t>baixar mídia de forma segura;</w:t>
      </w:r>
    </w:p>
    <w:p>
      <w:pPr>
        <w:pStyle w:val="ListBullet"/>
      </w:pPr>
      <w:r>
        <w:t>normalizar erros, delivery receipts e rate limits.</w:t>
      </w:r>
    </w:p>
    <w:p>
      <w:r>
        <w:t>Os primeiros adapters serão WhatsApp Business Platform e Instagram Messaging por APIs oficiais da Meta. Tokens, assinaturas e payloads da Meta permanecem dentro dos adapters e do Webhook Gateway.</w:t>
      </w:r>
    </w:p>
    <w:p>
      <w:r>
        <w:t>Inbox trabalha apenas com mensagens, participantes, conversas e capabilities normalizadas. Funcionalidades específicas de canal devem ser expostas como capabilities, nunca por condicionais espalhadas no domínio.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6. Modelo de tenancy e autorização</w:t>
      </w:r>
    </w:p>
    <w:p>
      <w:pPr>
        <w:pStyle w:val="Heading2"/>
      </w:pPr>
      <w:r>
        <w:t>6.1 Identidade e membership</w:t>
      </w:r>
    </w:p>
    <w:p>
      <w:pPr>
        <w:pStyle w:val="ListBullet"/>
      </w:pPr>
      <w:r>
        <w:rPr>
          <w:rFonts w:ascii="Consolas" w:hAnsi="Consolas"/>
          <w:color w:val="3730A3"/>
          <w:sz w:val="17"/>
        </w:rPr>
        <w:t>User</w:t>
      </w:r>
      <w:r>
        <w:t xml:space="preserve"> representa identidade global e não pertence exclusivamente a uma organização.</w:t>
      </w:r>
    </w:p>
    <w:p>
      <w:pPr>
        <w:pStyle w:val="ListBullet"/>
      </w:pPr>
      <w:r>
        <w:rPr>
          <w:rFonts w:ascii="Consolas" w:hAnsi="Consolas"/>
          <w:color w:val="3730A3"/>
          <w:sz w:val="17"/>
        </w:rPr>
        <w:t>Organization</w:t>
      </w:r>
      <w:r>
        <w:t xml:space="preserve"> representa o tenant e limite primário de isolamento.</w:t>
      </w:r>
    </w:p>
    <w:p>
      <w:pPr>
        <w:pStyle w:val="ListBullet"/>
      </w:pPr>
      <w:r>
        <w:rPr>
          <w:rFonts w:ascii="Consolas" w:hAnsi="Consolas"/>
          <w:color w:val="3730A3"/>
          <w:sz w:val="17"/>
        </w:rPr>
        <w:t>Membership</w:t>
      </w:r>
      <w:r>
        <w:t xml:space="preserve"> liga User e Organization, contendo estado, papéis e atributos contextuais.</w:t>
      </w:r>
    </w:p>
    <w:p>
      <w:pPr>
        <w:pStyle w:val="ListBullet"/>
      </w:pPr>
      <w:r>
        <w:t>Um User pode participar de várias Organizations.</w:t>
      </w:r>
    </w:p>
    <w:p>
      <w:pPr>
        <w:pStyle w:val="ListBullet"/>
      </w:pPr>
      <w:r>
        <w:t>Uma Organization pode possuir vários Users por Membership.</w:t>
      </w:r>
    </w:p>
    <w:p>
      <w:pPr>
        <w:pStyle w:val="ListBullet"/>
      </w:pPr>
      <w:r>
        <w:t>Team membership é escopada à organização.</w:t>
      </w:r>
    </w:p>
    <w:p>
      <w:pPr>
        <w:pStyle w:val="Heading2"/>
      </w:pPr>
      <w:r>
        <w:t>6.2 Ownership de dados</w:t>
      </w:r>
    </w:p>
    <w:p>
      <w:r>
        <w:t xml:space="preserve">Toda entidade tenant-owned possui </w:t>
      </w:r>
      <w:r>
        <w:rPr>
          <w:rFonts w:ascii="Consolas" w:hAnsi="Consolas"/>
          <w:color w:val="3730A3"/>
          <w:sz w:val="17"/>
        </w:rPr>
        <w:t>organizationId</w:t>
      </w:r>
      <w:r>
        <w:t xml:space="preserve"> obrigatório e imutável após criação, salvo migração administrativa explícita e auditada. Entidades globais — como identidade, catálogo global ou metadados operacionais — documentam por que não possuem tenant.</w:t>
      </w:r>
    </w:p>
    <w:p>
      <w:r>
        <w:t xml:space="preserve">O </w:t>
      </w:r>
      <w:r>
        <w:rPr>
          <w:rFonts w:ascii="Consolas" w:hAnsi="Consolas"/>
          <w:color w:val="3730A3"/>
          <w:sz w:val="17"/>
        </w:rPr>
        <w:t>organizationId</w:t>
      </w:r>
      <w:r>
        <w:t xml:space="preserve"> recebido do cliente nunca será considerado confiável isoladamente. O tenant efetivo deriva de sessão autenticada, membership ativa e contexto autorizado.</w:t>
      </w:r>
    </w:p>
    <w:p>
      <w:pPr>
        <w:pStyle w:val="Heading2"/>
      </w:pPr>
      <w:r>
        <w:t>6.3 Isolamento em profundidade</w:t>
      </w:r>
    </w:p>
    <w:p>
      <w:pPr>
        <w:pStyle w:val="ListBullet"/>
      </w:pPr>
      <w:r>
        <w:t>filtro tenant obrigatório nos repositórios;</w:t>
      </w:r>
    </w:p>
    <w:p>
      <w:pPr>
        <w:pStyle w:val="ListBullet"/>
      </w:pPr>
      <w:r>
        <w:t>constraints e chaves compostas quando impedirem referência cruzada;</w:t>
      </w:r>
    </w:p>
    <w:p>
      <w:pPr>
        <w:pStyle w:val="ListBullet"/>
      </w:pPr>
      <w:r>
        <w:t>políticas de autorização em casos de uso;</w:t>
      </w:r>
    </w:p>
    <w:p>
      <w:pPr>
        <w:pStyle w:val="ListBullet"/>
      </w:pPr>
      <w:r>
        <w:t>testes negativos de cross-tenant access;</w:t>
      </w:r>
    </w:p>
    <w:p>
      <w:pPr>
        <w:pStyle w:val="ListBullet"/>
      </w:pPr>
      <w:r>
        <w:t>tenant em cache keys, filas, logs, métricas e object storage paths;</w:t>
      </w:r>
    </w:p>
    <w:p>
      <w:pPr>
        <w:pStyle w:val="ListBullet"/>
      </w:pPr>
      <w:r>
        <w:t>URLs de objetos temporárias e escopadas;</w:t>
      </w:r>
    </w:p>
    <w:p>
      <w:pPr>
        <w:pStyle w:val="ListBullet"/>
      </w:pPr>
      <w:r>
        <w:t>jobs e eventos sempre carregam contexto tenant quando aplicável;</w:t>
      </w:r>
    </w:p>
    <w:p>
      <w:pPr>
        <w:pStyle w:val="ListBullet"/>
      </w:pPr>
      <w:r>
        <w:t>auditoria de acesso e mudanças críticas.</w:t>
      </w:r>
    </w:p>
    <w:p>
      <w:r>
        <w:t>Row-Level Security poderá ser adicionada como defesa adicional, sem substituir autorização na aplicação. Sua adoção será validada por domínio devido ao impacto em pooling, migrações e operações administrativas.</w:t>
      </w:r>
    </w:p>
    <w:p>
      <w:pPr>
        <w:pStyle w:val="Heading2"/>
      </w:pPr>
      <w:r>
        <w:t>6.4 RBAC e ABAC</w:t>
      </w:r>
    </w:p>
    <w:p>
      <w:r>
        <w:t>RBAC define capacidades gerais por papel. ABAC restringe a ação por organização, equipe, canal, recurso, propriedade, estado e demais atributos. Negação é o padrão. Autorizações críticas ocorrem no backend e não apenas na interface.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7. Feature Flags</w:t>
      </w:r>
    </w:p>
    <w:p>
      <w:r>
        <w:t>Feature Flags são capacidade nativa do contexto Platform.</w:t>
      </w:r>
    </w:p>
    <w:p>
      <w:pPr>
        <w:pStyle w:val="Heading2"/>
      </w:pPr>
      <w:r>
        <w:t>7.1 Escopos</w:t>
      </w:r>
    </w:p>
    <w:p>
      <w:pPr>
        <w:pStyle w:val="ListBullet"/>
      </w:pPr>
      <w:r>
        <w:t>global;</w:t>
      </w:r>
    </w:p>
    <w:p>
      <w:pPr>
        <w:pStyle w:val="ListBullet"/>
      </w:pPr>
      <w:r>
        <w:t>ambiente;</w:t>
      </w:r>
    </w:p>
    <w:p>
      <w:pPr>
        <w:pStyle w:val="ListBullet"/>
      </w:pPr>
      <w:r>
        <w:t>plano/entitlement;</w:t>
      </w:r>
    </w:p>
    <w:p>
      <w:pPr>
        <w:pStyle w:val="ListBullet"/>
      </w:pPr>
      <w:r>
        <w:t>organização;</w:t>
      </w:r>
    </w:p>
    <w:p>
      <w:pPr>
        <w:pStyle w:val="ListBullet"/>
      </w:pPr>
      <w:r>
        <w:t>grupo ou membership, somente quando justificado;</w:t>
      </w:r>
    </w:p>
    <w:p>
      <w:pPr>
        <w:pStyle w:val="ListBullet"/>
      </w:pPr>
      <w:r>
        <w:t>rollout percentual determinístico.</w:t>
      </w:r>
    </w:p>
    <w:p>
      <w:pPr>
        <w:pStyle w:val="Heading2"/>
      </w:pPr>
      <w:r>
        <w:t>7.2 Regras</w:t>
      </w:r>
    </w:p>
    <w:p>
      <w:pPr>
        <w:pStyle w:val="ListBullet"/>
      </w:pPr>
      <w:r>
        <w:t>funcionalidades relevantes devem possuir kill switch quando houver risco operacional;</w:t>
      </w:r>
    </w:p>
    <w:p>
      <w:pPr>
        <w:pStyle w:val="ListBullet"/>
      </w:pPr>
      <w:r>
        <w:t>avaliação server-side é a fonte de verdade;</w:t>
      </w:r>
    </w:p>
    <w:p>
      <w:pPr>
        <w:pStyle w:val="ListBullet"/>
      </w:pPr>
      <w:r>
        <w:t>frontend pode receber somente flags seguras e necessárias à apresentação;</w:t>
      </w:r>
    </w:p>
    <w:p>
      <w:pPr>
        <w:pStyle w:val="ListBullet"/>
      </w:pPr>
      <w:r>
        <w:t>flags possuem owner, descrição, tipo, valor padrão, data de expiração e plano de remoção;</w:t>
      </w:r>
    </w:p>
    <w:p>
      <w:pPr>
        <w:pStyle w:val="ListBullet"/>
      </w:pPr>
      <w:r>
        <w:t>flags não substituem autorização nem entitlements de billing;</w:t>
      </w:r>
    </w:p>
    <w:p>
      <w:pPr>
        <w:pStyle w:val="ListBullet"/>
      </w:pPr>
      <w:r>
        <w:t>alterações críticas são auditadas;</w:t>
      </w:r>
    </w:p>
    <w:p>
      <w:pPr>
        <w:pStyle w:val="ListBullet"/>
      </w:pPr>
      <w:r>
        <w:t>indisponibilidade do serviço usa defaults seguros;</w:t>
      </w:r>
    </w:p>
    <w:p>
      <w:pPr>
        <w:pStyle w:val="ListBullet"/>
      </w:pPr>
      <w:r>
        <w:t>valores secretos nunca são armazenados como flags.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8. Estrutura definitiva do monorepo</w:t>
      </w:r>
    </w:p>
    <w:p>
      <w:pPr>
        <w:keepLines/>
        <w:ind w:left="360" w:right="360"/>
      </w:pPr>
      <w:r>
        <w:rPr>
          <w:rFonts w:ascii="Consolas" w:hAnsi="Consolas"/>
          <w:color w:val="1E1B4B"/>
          <w:sz w:val="15"/>
        </w:rPr>
        <w:t>nexo/</w:t>
        <w:br/>
        <w:t>├─ apps/</w:t>
        <w:br/>
        <w:t>│  ├─ web/</w:t>
        <w:br/>
        <w:t>│  ├─ api/</w:t>
        <w:br/>
        <w:t>│  ├─ worker/</w:t>
        <w:br/>
        <w:t>│  └─ webhook-gateway/</w:t>
        <w:br/>
        <w:t>├─ packages/</w:t>
        <w:br/>
        <w:t>│  ├─ database/</w:t>
        <w:br/>
        <w:t>│  ├─ auth/</w:t>
        <w:br/>
        <w:t>│  ├─ ai/</w:t>
        <w:br/>
        <w:t>│  ├─ channels/</w:t>
        <w:br/>
        <w:t>│  ├─ voice/</w:t>
        <w:br/>
        <w:t>│  ├─ workflows/</w:t>
        <w:br/>
        <w:t>│  ├─ events/</w:t>
        <w:br/>
        <w:t>│  ├─ feature-flags/</w:t>
        <w:br/>
        <w:t>│  ├─ ui/</w:t>
        <w:br/>
        <w:t>│  ├─ config/</w:t>
        <w:br/>
        <w:t>│  ├─ observability/</w:t>
        <w:br/>
        <w:t>│  ├─ testing/</w:t>
        <w:br/>
        <w:t>│  └─ shared/</w:t>
        <w:br/>
        <w:t>├─ docs/</w:t>
        <w:br/>
        <w:t>│  ├─ adr/</w:t>
        <w:br/>
        <w:t>│  ├─ architecture/</w:t>
        <w:br/>
        <w:t>│  ├─ api/</w:t>
        <w:br/>
        <w:t>│  ├─ events/</w:t>
        <w:br/>
        <w:t>│  ├─ reports/</w:t>
        <w:br/>
        <w:t>│  ├─ runbooks/</w:t>
        <w:br/>
        <w:t>│  └─ security/</w:t>
        <w:br/>
        <w:t>├─ tooling/</w:t>
        <w:br/>
        <w:t>│  ├─ eslint/</w:t>
        <w:br/>
        <w:t>│  ├─ typescript/</w:t>
        <w:br/>
        <w:t>│  └─ scripts/</w:t>
        <w:br/>
        <w:t>├─ infrastructure/</w:t>
        <w:br/>
        <w:t>│  ├─ docker/</w:t>
        <w:br/>
        <w:t>│  └─ environments/</w:t>
        <w:br/>
        <w:t>├─ .github/workflows/</w:t>
        <w:br/>
        <w:t>├─ package.json</w:t>
        <w:br/>
        <w:t>├─ workspace configuration</w:t>
        <w:br/>
        <w:t>├─ task orchestration configuration</w:t>
        <w:br/>
        <w:t>└─ README.md</w:t>
      </w:r>
    </w:p>
    <w:p>
      <w:r>
        <w:t xml:space="preserve">Os Bounded Contexts residirão inicialmente em </w:t>
      </w:r>
      <w:r>
        <w:rPr>
          <w:rFonts w:ascii="Consolas" w:hAnsi="Consolas"/>
          <w:color w:val="3730A3"/>
          <w:sz w:val="17"/>
        </w:rPr>
        <w:t>apps/api/src/contexts</w:t>
      </w:r>
      <w:r>
        <w:t xml:space="preserve"> e terão exports públicos explícitos. Packages não serão criados apenas para refletir organogramas; serão extraídos quando houver reutilização real entre processos ou uma fronteira técnica estável.</w:t>
      </w:r>
    </w:p>
    <w:p>
      <w:r>
        <w:rPr>
          <w:rFonts w:ascii="Consolas" w:hAnsi="Consolas"/>
          <w:color w:val="3730A3"/>
          <w:sz w:val="17"/>
        </w:rPr>
        <w:t>shared</w:t>
      </w:r>
      <w:r>
        <w:t xml:space="preserve"> será pequeno e não poderá virar depósito de regras de negócio. </w:t>
      </w:r>
      <w:r>
        <w:rPr>
          <w:rFonts w:ascii="Consolas" w:hAnsi="Consolas"/>
          <w:color w:val="3730A3"/>
          <w:sz w:val="17"/>
        </w:rPr>
        <w:t>database</w:t>
      </w:r>
      <w:r>
        <w:t xml:space="preserve"> conterá client, migrations e suporte técnico; models Prisma não serão usados como entidades de domínio. </w:t>
      </w:r>
      <w:r>
        <w:rPr>
          <w:rFonts w:ascii="Consolas" w:hAnsi="Consolas"/>
          <w:color w:val="3730A3"/>
          <w:sz w:val="17"/>
        </w:rPr>
        <w:t>auth</w:t>
      </w:r>
      <w:r>
        <w:t xml:space="preserve"> fornecerá primitives e integrações técnicas, enquanto os contextos Identity e Organization manterão suas regras.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9. Convenções de desenvolvimento</w:t>
      </w:r>
    </w:p>
    <w:p>
      <w:pPr>
        <w:pStyle w:val="Heading2"/>
      </w:pPr>
      <w:r>
        <w:t>9.1 TypeScript e código</w:t>
      </w:r>
    </w:p>
    <w:p>
      <w:pPr>
        <w:pStyle w:val="ListBullet"/>
      </w:pPr>
      <w:r>
        <w:rPr>
          <w:rFonts w:ascii="Consolas" w:hAnsi="Consolas"/>
          <w:color w:val="3730A3"/>
          <w:sz w:val="17"/>
        </w:rPr>
        <w:t>strict</w:t>
      </w:r>
      <w:r>
        <w:t xml:space="preserve"> e opções adicionais de segurança habilitadas.</w:t>
      </w:r>
    </w:p>
    <w:p>
      <w:pPr>
        <w:pStyle w:val="ListBullet"/>
      </w:pPr>
      <w:r>
        <w:t xml:space="preserve">Sem </w:t>
      </w:r>
      <w:r>
        <w:rPr>
          <w:rFonts w:ascii="Consolas" w:hAnsi="Consolas"/>
          <w:color w:val="3730A3"/>
          <w:sz w:val="17"/>
        </w:rPr>
        <w:t>any</w:t>
      </w:r>
      <w:r>
        <w:t xml:space="preserve"> explícito, salvo boundary documentada e validada.</w:t>
      </w:r>
    </w:p>
    <w:p>
      <w:pPr>
        <w:pStyle w:val="ListBullet"/>
      </w:pPr>
      <w:r>
        <w:t xml:space="preserve">Dados externos começam como </w:t>
      </w:r>
      <w:r>
        <w:rPr>
          <w:rFonts w:ascii="Consolas" w:hAnsi="Consolas"/>
          <w:color w:val="3730A3"/>
          <w:sz w:val="17"/>
        </w:rPr>
        <w:t>unknown</w:t>
      </w:r>
      <w:r>
        <w:t xml:space="preserve"> e são validados.</w:t>
      </w:r>
    </w:p>
    <w:p>
      <w:pPr>
        <w:pStyle w:val="ListBullet"/>
      </w:pPr>
      <w:r>
        <w:t xml:space="preserve">Nomes de código, eventos e APIs em inglês; conteúdo de produto inicialmente em </w:t>
      </w:r>
      <w:r>
        <w:rPr>
          <w:rFonts w:ascii="Consolas" w:hAnsi="Consolas"/>
          <w:color w:val="3730A3"/>
          <w:sz w:val="17"/>
        </w:rPr>
        <w:t>pt-BR</w:t>
      </w:r>
      <w:r>
        <w:t>.</w:t>
      </w:r>
    </w:p>
    <w:p>
      <w:pPr>
        <w:pStyle w:val="ListBullet"/>
      </w:pPr>
      <w:r>
        <w:t>Composição preferida à herança.</w:t>
      </w:r>
    </w:p>
    <w:p>
      <w:pPr>
        <w:pStyle w:val="ListBullet"/>
      </w:pPr>
      <w:r>
        <w:t>Imports por API pública, nunca por caminhos internos de outro contexto.</w:t>
      </w:r>
    </w:p>
    <w:p>
      <w:pPr>
        <w:pStyle w:val="ListBullet"/>
      </w:pPr>
      <w:r>
        <w:t>Erros de domínio tipados e respostas HTTP padronizadas.</w:t>
      </w:r>
    </w:p>
    <w:p>
      <w:pPr>
        <w:pStyle w:val="ListBullet"/>
      </w:pPr>
      <w:r>
        <w:t>Tempo, IDs, randomness e provedores externos abstraídos quando afetarem testes.</w:t>
      </w:r>
    </w:p>
    <w:p>
      <w:pPr>
        <w:pStyle w:val="Heading2"/>
      </w:pPr>
      <w:r>
        <w:t>9.2 APIs</w:t>
      </w:r>
    </w:p>
    <w:p>
      <w:pPr>
        <w:pStyle w:val="ListBullet"/>
      </w:pPr>
      <w:r>
        <w:t xml:space="preserve">REST versionado em </w:t>
      </w:r>
      <w:r>
        <w:rPr>
          <w:rFonts w:ascii="Consolas" w:hAnsi="Consolas"/>
          <w:color w:val="3730A3"/>
          <w:sz w:val="17"/>
        </w:rPr>
        <w:t>/v1</w:t>
      </w:r>
      <w:r>
        <w:t xml:space="preserve"> para operações de negócio.</w:t>
      </w:r>
    </w:p>
    <w:p>
      <w:pPr>
        <w:pStyle w:val="ListBullet"/>
      </w:pPr>
      <w:r>
        <w:t>OpenAPI gerado e validado em CI.</w:t>
      </w:r>
    </w:p>
    <w:p>
      <w:pPr>
        <w:pStyle w:val="ListBullet"/>
      </w:pPr>
      <w:r>
        <w:t>paginação cursor-based para feeds de grande volume; offset apenas onde adequado;</w:t>
      </w:r>
    </w:p>
    <w:p>
      <w:pPr>
        <w:pStyle w:val="ListBullet"/>
      </w:pPr>
      <w:r>
        <w:t>idempotency key em comandos críticos;</w:t>
      </w:r>
    </w:p>
    <w:p>
      <w:pPr>
        <w:pStyle w:val="ListBullet"/>
      </w:pPr>
      <w:r>
        <w:t>correlation ID em toda requisição;</w:t>
      </w:r>
    </w:p>
    <w:p>
      <w:pPr>
        <w:pStyle w:val="ListBullet"/>
      </w:pPr>
      <w:r>
        <w:t>validação de entrada e output contracts;</w:t>
      </w:r>
    </w:p>
    <w:p>
      <w:pPr>
        <w:pStyle w:val="ListBullet"/>
      </w:pPr>
      <w:r>
        <w:t>erros no formato padronizado, sem detalhes internos;</w:t>
      </w:r>
    </w:p>
    <w:p>
      <w:pPr>
        <w:pStyle w:val="ListBullet"/>
      </w:pPr>
      <w:r>
        <w:t>WebSockets autenticados, autorizados e escopados por tenant;</w:t>
      </w:r>
    </w:p>
    <w:p>
      <w:pPr>
        <w:pStyle w:val="ListBullet"/>
      </w:pPr>
      <w:r>
        <w:t>webhooks assinados, deduplicados e com replay protection.</w:t>
      </w:r>
    </w:p>
    <w:p>
      <w:pPr>
        <w:pStyle w:val="Heading2"/>
      </w:pPr>
      <w:r>
        <w:t>9.3 Banco</w:t>
      </w:r>
    </w:p>
    <w:p>
      <w:pPr>
        <w:pStyle w:val="ListBullet"/>
      </w:pPr>
      <w:r>
        <w:t>PostgreSQL e Prisma Migrate.</w:t>
      </w:r>
    </w:p>
    <w:p>
      <w:pPr>
        <w:pStyle w:val="ListBullet"/>
      </w:pPr>
      <w:r>
        <w:t>UUIDs para entidades de negócio; estratégia exata definida no ADR-010.</w:t>
      </w:r>
    </w:p>
    <w:p>
      <w:pPr>
        <w:pStyle w:val="ListBullet"/>
      </w:pPr>
      <w:r>
        <w:t>migrations imutáveis após publicação.</w:t>
      </w:r>
    </w:p>
    <w:p>
      <w:pPr>
        <w:pStyle w:val="ListBullet"/>
      </w:pPr>
      <w:r>
        <w:t>foreign keys, constraints e índices explícitos.</w:t>
      </w:r>
    </w:p>
    <w:p>
      <w:pPr>
        <w:pStyle w:val="ListBullet"/>
      </w:pPr>
      <w:r>
        <w:t>timestamps em UTC.</w:t>
      </w:r>
    </w:p>
    <w:p>
      <w:pPr>
        <w:pStyle w:val="ListBullet"/>
      </w:pPr>
      <w:r>
        <w:t>optimistic concurrency para agregados concorridos.</w:t>
      </w:r>
    </w:p>
    <w:p>
      <w:pPr>
        <w:pStyle w:val="ListBullet"/>
      </w:pPr>
      <w:r>
        <w:t>soft delete somente com requisito de recuperação ou retenção.</w:t>
      </w:r>
    </w:p>
    <w:p>
      <w:pPr>
        <w:pStyle w:val="ListBullet"/>
      </w:pPr>
      <w:r>
        <w:t>JSON somente com justificativa e schema validável.</w:t>
      </w:r>
    </w:p>
    <w:p>
      <w:pPr>
        <w:pStyle w:val="ListBullet"/>
      </w:pPr>
      <w:r>
        <w:t>nenhuma consulta cross-context sem contrato/projeção aprovada.</w:t>
      </w:r>
    </w:p>
    <w:p>
      <w:pPr>
        <w:pStyle w:val="Heading2"/>
      </w:pPr>
      <w:r>
        <w:t>9.4 Eventos e jobs</w:t>
      </w:r>
    </w:p>
    <w:p>
      <w:pPr>
        <w:pStyle w:val="ListBullet"/>
      </w:pPr>
      <w:r>
        <w:t>nomes no passado para fatos ocorridos;</w:t>
      </w:r>
    </w:p>
    <w:p>
      <w:pPr>
        <w:pStyle w:val="ListBullet"/>
      </w:pPr>
      <w:r>
        <w:t>schemas versionados;</w:t>
      </w:r>
    </w:p>
    <w:p>
      <w:pPr>
        <w:pStyle w:val="ListBullet"/>
      </w:pPr>
      <w:r>
        <w:t>consumers idempotentes;</w:t>
      </w:r>
    </w:p>
    <w:p>
      <w:pPr>
        <w:pStyle w:val="ListBullet"/>
      </w:pPr>
      <w:r>
        <w:t>timeouts, retries exponenciais com jitter e limites;</w:t>
      </w:r>
    </w:p>
    <w:p>
      <w:pPr>
        <w:pStyle w:val="ListBullet"/>
      </w:pPr>
      <w:r>
        <w:t>dead-letter queue observável;</w:t>
      </w:r>
    </w:p>
    <w:p>
      <w:pPr>
        <w:pStyle w:val="ListBullet"/>
      </w:pPr>
      <w:r>
        <w:t>payload mínimo e sem segredos;</w:t>
      </w:r>
    </w:p>
    <w:p>
      <w:pPr>
        <w:pStyle w:val="ListBullet"/>
      </w:pPr>
      <w:r>
        <w:t>correlação propagada entre request, event e job.</w:t>
      </w:r>
    </w:p>
    <w:p>
      <w:pPr>
        <w:pStyle w:val="Heading2"/>
      </w:pPr>
      <w:r>
        <w:t>9.5 Testes</w:t>
      </w:r>
    </w:p>
    <w:p>
      <w:pPr>
        <w:pStyle w:val="ListBullet"/>
      </w:pPr>
      <w:r>
        <w:t>unitários para regras e value objects;</w:t>
      </w:r>
    </w:p>
    <w:p>
      <w:pPr>
        <w:pStyle w:val="ListBullet"/>
      </w:pPr>
      <w:r>
        <w:t>integração com dependências reais containerizadas para banco, Redis e filas;</w:t>
      </w:r>
    </w:p>
    <w:p>
      <w:pPr>
        <w:pStyle w:val="ListBullet"/>
      </w:pPr>
      <w:r>
        <w:t>contract tests para ports e adapters;</w:t>
      </w:r>
    </w:p>
    <w:p>
      <w:pPr>
        <w:pStyle w:val="ListBullet"/>
      </w:pPr>
      <w:r>
        <w:t>E2E para fluxos críticos;</w:t>
      </w:r>
    </w:p>
    <w:p>
      <w:pPr>
        <w:pStyle w:val="ListBullet"/>
      </w:pPr>
      <w:r>
        <w:t>testes arquiteturais para boundaries e ciclos;</w:t>
      </w:r>
    </w:p>
    <w:p>
      <w:pPr>
        <w:pStyle w:val="ListBullet"/>
      </w:pPr>
      <w:r>
        <w:t>testes negativos de autorização e isolamento tenant;</w:t>
      </w:r>
    </w:p>
    <w:p>
      <w:pPr>
        <w:pStyle w:val="ListBullet"/>
      </w:pPr>
      <w:r>
        <w:t>regras de negócio com meta de pelo menos 90% de lines e branches;</w:t>
      </w:r>
    </w:p>
    <w:p>
      <w:pPr>
        <w:pStyle w:val="ListBullet"/>
      </w:pPr>
      <w:r>
        <w:t>serviços críticos com meta de pelo menos 95% de lines e branches;</w:t>
      </w:r>
    </w:p>
    <w:p>
      <w:pPr>
        <w:pStyle w:val="ListBullet"/>
      </w:pPr>
      <w:r>
        <w:t>correção de bug sempre inclui teste de regressão.</w:t>
      </w:r>
    </w:p>
    <w:p>
      <w:pPr>
        <w:pStyle w:val="Heading2"/>
      </w:pPr>
      <w:r>
        <w:t>9.6 Git e documentação</w:t>
      </w:r>
    </w:p>
    <w:p>
      <w:pPr>
        <w:pStyle w:val="ListBullet"/>
      </w:pPr>
      <w:r>
        <w:t>Conventional Commits.</w:t>
      </w:r>
    </w:p>
    <w:p>
      <w:pPr>
        <w:pStyle w:val="ListBullet"/>
      </w:pPr>
      <w:r>
        <w:t>branches com escopo pequeno.</w:t>
      </w:r>
    </w:p>
    <w:p>
      <w:pPr>
        <w:pStyle w:val="ListBullet"/>
      </w:pPr>
      <w:r>
        <w:t>ADR antes da decisão arquitetural relevante.</w:t>
      </w:r>
    </w:p>
    <w:p>
      <w:pPr>
        <w:pStyle w:val="ListBullet"/>
      </w:pPr>
      <w:r>
        <w:t>documentação e changelog atualizados na mesma mudança.</w:t>
      </w:r>
    </w:p>
    <w:p>
      <w:pPr>
        <w:pStyle w:val="ListBullet"/>
      </w:pPr>
      <w:r>
        <w:t>nenhum commit sem revisão do diff e execução dos gates aplicáveis.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10. Estratégia de escalabilidade</w:t>
      </w:r>
    </w:p>
    <w:p>
      <w:pPr>
        <w:pStyle w:val="Heading2"/>
      </w:pPr>
      <w:r>
        <w:t>10.1 Aplicações stateless</w:t>
      </w:r>
    </w:p>
    <w:p>
      <w:r>
        <w:t>API e Webhook Gateway serão stateless. Sessões, idempotência, rate limits e coordenação não dependerão de memória local. Isso permite réplicas horizontais.</w:t>
      </w:r>
    </w:p>
    <w:p>
      <w:pPr>
        <w:pStyle w:val="Heading2"/>
      </w:pPr>
      <w:r>
        <w:t>10.2 Worker e filas</w:t>
      </w:r>
    </w:p>
    <w:p>
      <w:r>
        <w:t>Workers serão escalados por tipo de fila, backlog, latência e custo. Concorrência terá limites por organização e provedor para evitar noisy neighbor e rate-limit externo.</w:t>
      </w:r>
    </w:p>
    <w:p>
      <w:pPr>
        <w:pStyle w:val="Heading2"/>
      </w:pPr>
      <w:r>
        <w:t>10.3 Banco</w:t>
      </w:r>
    </w:p>
    <w:p>
      <w:r>
        <w:t>A evolução prevista é:</w:t>
      </w:r>
    </w:p>
    <w:p>
      <w:pPr>
        <w:pStyle w:val="ListNumber"/>
      </w:pPr>
      <w:r>
        <w:t>índices e queries orientados por métricas;</w:t>
      </w:r>
    </w:p>
    <w:p>
      <w:pPr>
        <w:pStyle w:val="ListNumber"/>
      </w:pPr>
      <w:r>
        <w:t>pooling e limites de conexão;</w:t>
      </w:r>
    </w:p>
    <w:p>
      <w:pPr>
        <w:pStyle w:val="ListNumber"/>
      </w:pPr>
      <w:r>
        <w:t>read replicas para cargas analíticas compatíveis;</w:t>
      </w:r>
    </w:p>
    <w:p>
      <w:pPr>
        <w:pStyle w:val="ListNumber"/>
      </w:pPr>
      <w:r>
        <w:t>particionamento de tabelas de alto volume, como eventos e mensagens, quando medido;</w:t>
      </w:r>
    </w:p>
    <w:p>
      <w:pPr>
        <w:pStyle w:val="ListNumber"/>
      </w:pPr>
      <w:r>
        <w:t>extração de storage analítico;</w:t>
      </w:r>
    </w:p>
    <w:p>
      <w:pPr>
        <w:pStyle w:val="ListNumber"/>
      </w:pPr>
      <w:r>
        <w:t>sharding apenas diante de necessidade comprovada.</w:t>
      </w:r>
    </w:p>
    <w:p>
      <w:pPr>
        <w:pStyle w:val="Heading2"/>
      </w:pPr>
      <w:r>
        <w:t>10.4 Cache</w:t>
      </w:r>
    </w:p>
    <w:p>
      <w:r>
        <w:t>Cache será aplicado somente com estratégia de invalidação, TTL e chave tenant-aware. Redis não será fonte primária de verdade para dados de negócio.</w:t>
      </w:r>
    </w:p>
    <w:p>
      <w:pPr>
        <w:pStyle w:val="Heading2"/>
      </w:pPr>
      <w:r>
        <w:t>10.5 Extração futura de serviços</w:t>
      </w:r>
    </w:p>
    <w:p>
      <w:r>
        <w:t>Um contexto somente será extraído do monólito quando houver evidência de pelo menos um fator: necessidade de escala independente, isolamento de falhas, requisito regulatório, ritmo de entrega incompatível ou tecnologia especializada. A extração seguirá contratos existentes, outbox e migração incremental.</w:t>
      </w:r>
    </w:p>
    <w:p>
      <w:pPr>
        <w:pStyle w:val="Heading2"/>
      </w:pPr>
      <w:r>
        <w:t>10.6 Resiliência</w:t>
      </w:r>
    </w:p>
    <w:p>
      <w:pPr>
        <w:pStyle w:val="ListBullet"/>
      </w:pPr>
      <w:r>
        <w:t>timeouts explícitos;</w:t>
      </w:r>
    </w:p>
    <w:p>
      <w:pPr>
        <w:pStyle w:val="ListBullet"/>
      </w:pPr>
      <w:r>
        <w:t>retries somente em falhas transitórias e operações seguras;</w:t>
      </w:r>
    </w:p>
    <w:p>
      <w:pPr>
        <w:pStyle w:val="ListBullet"/>
      </w:pPr>
      <w:r>
        <w:t>circuit breakers onde integrações externas justificarem;</w:t>
      </w:r>
    </w:p>
    <w:p>
      <w:pPr>
        <w:pStyle w:val="ListBullet"/>
      </w:pPr>
      <w:r>
        <w:t>bulkheads por provedor e organização;</w:t>
      </w:r>
    </w:p>
    <w:p>
      <w:pPr>
        <w:pStyle w:val="ListBullet"/>
      </w:pPr>
      <w:r>
        <w:t>backpressure em filas;</w:t>
      </w:r>
    </w:p>
    <w:p>
      <w:pPr>
        <w:pStyle w:val="ListBullet"/>
      </w:pPr>
      <w:r>
        <w:t>graceful shutdown;</w:t>
      </w:r>
    </w:p>
    <w:p>
      <w:pPr>
        <w:pStyle w:val="ListBullet"/>
      </w:pPr>
      <w:r>
        <w:t>health/readiness checks distintos;</w:t>
      </w:r>
    </w:p>
    <w:p>
      <w:pPr>
        <w:pStyle w:val="ListBullet"/>
      </w:pPr>
      <w:r>
        <w:t>degradação controlada por feature flags.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11. Segurança, privacidade e observabilidade</w:t>
      </w:r>
    </w:p>
    <w:p>
      <w:pPr>
        <w:pStyle w:val="Heading2"/>
      </w:pPr>
      <w:r>
        <w:t>11.1 Segurança</w:t>
      </w:r>
    </w:p>
    <w:p>
      <w:pPr>
        <w:pStyle w:val="ListBullet"/>
      </w:pPr>
      <w:r>
        <w:t>access token curto e refresh token rotativo;</w:t>
      </w:r>
    </w:p>
    <w:p>
      <w:pPr>
        <w:pStyle w:val="ListBullet"/>
      </w:pPr>
      <w:r>
        <w:t>sessões revogáveis;</w:t>
      </w:r>
    </w:p>
    <w:p>
      <w:pPr>
        <w:pStyle w:val="ListBullet"/>
      </w:pPr>
      <w:r>
        <w:t>MFA e passkeys conforme roadmap;</w:t>
      </w:r>
    </w:p>
    <w:p>
      <w:pPr>
        <w:pStyle w:val="ListBullet"/>
      </w:pPr>
      <w:r>
        <w:t>hash de credenciais com algoritmo moderno e parâmetros versionados;</w:t>
      </w:r>
    </w:p>
    <w:p>
      <w:pPr>
        <w:pStyle w:val="ListBullet"/>
      </w:pPr>
      <w:r>
        <w:t>segredos em cofre por ambiente;</w:t>
      </w:r>
    </w:p>
    <w:p>
      <w:pPr>
        <w:pStyle w:val="ListBullet"/>
      </w:pPr>
      <w:r>
        <w:t>criptografia em trânsito e de campos sensíveis quando necessário;</w:t>
      </w:r>
    </w:p>
    <w:p>
      <w:pPr>
        <w:pStyle w:val="ListBullet"/>
      </w:pPr>
      <w:r>
        <w:t>rate limiting contextual;</w:t>
      </w:r>
    </w:p>
    <w:p>
      <w:pPr>
        <w:pStyle w:val="ListBullet"/>
      </w:pPr>
      <w:r>
        <w:t>dependency, secret e static analysis no CI;</w:t>
      </w:r>
    </w:p>
    <w:p>
      <w:pPr>
        <w:pStyle w:val="ListBullet"/>
      </w:pPr>
      <w:r>
        <w:t>threat modeling por fluxo crítico;</w:t>
      </w:r>
    </w:p>
    <w:p>
      <w:pPr>
        <w:pStyle w:val="ListBullet"/>
      </w:pPr>
      <w:r>
        <w:t>trilhas de auditoria append-oriented e protegidas contra alteração comum.</w:t>
      </w:r>
    </w:p>
    <w:p>
      <w:pPr>
        <w:pStyle w:val="Heading2"/>
      </w:pPr>
      <w:r>
        <w:t>11.2 LGPD</w:t>
      </w:r>
    </w:p>
    <w:p>
      <w:r>
        <w:t>Dados terão classificação, base de tratamento, finalidade, retenção e owner. Exportação, anonimização e exclusão serão workflows auditáveis. Eventos, logs e analytics não poderão replicar PII sem necessidade.</w:t>
      </w:r>
    </w:p>
    <w:p>
      <w:pPr>
        <w:pStyle w:val="Heading2"/>
      </w:pPr>
      <w:r>
        <w:t>11.3 Observabilidade</w:t>
      </w:r>
    </w:p>
    <w:p>
      <w:r>
        <w:t>Todos os processos produzirão logs estruturados, métricas e tracing compatíveis com OpenTelemetry. Campos mínimos incluem timestamp, service, environment, trace/correlation, tenant quando permitido, operação, resultado e erro sanitizado.</w:t>
      </w:r>
    </w:p>
    <w:p>
      <w:r>
        <w:t>Não registrar tokens, segredos, conteúdo sensível completo, áudio ou prompts privados sem política explícita. Métricas deverão cobrir RED para serviços, filas, banco, provedores, IA, voz e webhooks.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12. Roadmap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0E7FF"/>
          </w:tcPr>
          <w:p>
            <w:r>
              <w:rPr>
                <w:b/>
                <w:color w:val="312E81"/>
                <w:sz w:val="16"/>
              </w:rPr>
              <w:t>Fase</w:t>
            </w:r>
          </w:p>
        </w:tc>
        <w:tc>
          <w:tcPr>
            <w:tcW w:type="dxa" w:w="3312"/>
            <w:vAlign w:val="center"/>
            <w:shd w:fill="E0E7FF"/>
          </w:tcPr>
          <w:p>
            <w:r>
              <w:rPr>
                <w:b/>
                <w:color w:val="312E81"/>
                <w:sz w:val="16"/>
              </w:rPr>
              <w:t>Escopo</w:t>
            </w:r>
          </w:p>
        </w:tc>
        <w:tc>
          <w:tcPr>
            <w:tcW w:type="dxa" w:w="3312"/>
            <w:vAlign w:val="center"/>
            <w:shd w:fill="E0E7FF"/>
          </w:tcPr>
          <w:p>
            <w:r>
              <w:rPr>
                <w:b/>
                <w:color w:val="312E81"/>
                <w:sz w:val="16"/>
              </w:rPr>
              <w:t>Dependência principal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Fundação técnica, monorepo, qualidade, CI, ambientes e documentação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aprovação deste documento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Identity, Organization, memberships, equipes, RBAC/ABAC, auditoria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Fase 0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Design System, app shell, navegação, acessibilidade e i18n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Fase 1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Inbox, contatos operacionais, conversas, mensagens, anexos, filas e realtime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Fases 1–2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Channel Layer e adapters oficiais de WhatsApp/Instagram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Fase 3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AI, Knowledge, memória, RAG, ferramentas, supervisor e custos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Fases 1, 3–4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Voice, STT, TTS, perfis, armazenamento e métricas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Fase 5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CRM e pipeline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Fases 1 e 3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Workflow Engine e monitor de automações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contextos operacionais estáveis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Analytics, Billing, Marketplace e APIs públicas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eventos e domínios estáveis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Hardening, performance, segurança, DR, staging e produção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fases anteriores</w:t>
            </w:r>
          </w:p>
        </w:tc>
      </w:tr>
    </w:tbl>
    <w:p>
      <w:pPr>
        <w:spacing w:after="20"/>
      </w:pPr>
    </w:p>
    <w:p>
      <w:r>
        <w:t>Cada fase será dividida em incrementos verticais pequenos. A fase não estará concluída apenas porque todos os módulos planejados começaram; todos os critérios de aceite precisam de evidência.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13. Architecture Decision Records</w:t>
      </w:r>
    </w:p>
    <w:p>
      <w:pPr>
        <w:pStyle w:val="Heading2"/>
      </w:pPr>
      <w:r>
        <w:t>ADR-001 — Monorepo</w:t>
      </w:r>
    </w:p>
    <w:p>
      <w:r>
        <w:rPr>
          <w:b/>
        </w:rPr>
        <w:t>Status:</w:t>
      </w:r>
      <w:r>
        <w:t xml:space="preserve"> Aceito.</w:t>
      </w:r>
    </w:p>
    <w:p>
      <w:r>
        <w:rPr>
          <w:b/>
        </w:rPr>
        <w:t>Contexto:</w:t>
      </w:r>
      <w:r>
        <w:t xml:space="preserve"> Quatro aplicações e múltiplas capacidades compartilham contratos, tooling e ciclos de mudança.</w:t>
      </w:r>
    </w:p>
    <w:p>
      <w:r>
        <w:rPr>
          <w:b/>
        </w:rPr>
        <w:t>Problema:</w:t>
      </w:r>
      <w:r>
        <w:t xml:space="preserve"> Repositórios separados aumentariam coordenação e risco de versões incompatíveis nesta etapa.</w:t>
      </w:r>
    </w:p>
    <w:p>
      <w:r>
        <w:rPr>
          <w:b/>
        </w:rPr>
        <w:t>Alternativas avaliadas:</w:t>
      </w:r>
      <w:r>
        <w:t xml:space="preserve"> polyrepo; monorepo sem orquestração; monorepo com workspaces e task graph.</w:t>
      </w:r>
    </w:p>
    <w:p>
      <w:r>
        <w:rPr>
          <w:b/>
        </w:rPr>
        <w:t>Decisão:</w:t>
      </w:r>
      <w:r>
        <w:t xml:space="preserve"> usar monorepo com workspaces, lockfile único, task orchestration, builds cacheáveis e boundaries verificáveis.</w:t>
      </w:r>
    </w:p>
    <w:p>
      <w:r>
        <w:rPr>
          <w:b/>
        </w:rPr>
        <w:t>Consequências:</w:t>
      </w:r>
      <w:r>
        <w:t xml:space="preserve"> mudanças atômicas e tooling consistente; CI precisa suportar tarefas afetadas e impedir dependências indevidas.</w:t>
      </w:r>
    </w:p>
    <w:p>
      <w:pPr>
        <w:pStyle w:val="Heading2"/>
      </w:pPr>
      <w:r>
        <w:t>ADR-002 — Modular Monolith</w:t>
      </w:r>
    </w:p>
    <w:p>
      <w:r>
        <w:rPr>
          <w:b/>
        </w:rPr>
        <w:t>Status:</w:t>
      </w:r>
      <w:r>
        <w:t xml:space="preserve"> Aceito.</w:t>
      </w:r>
    </w:p>
    <w:p>
      <w:r>
        <w:rPr>
          <w:b/>
        </w:rPr>
        <w:t>Contexto:</w:t>
      </w:r>
      <w:r>
        <w:t xml:space="preserve"> O produto possui muitos domínios, mas ainda não há evidência operacional para microsserviços.</w:t>
      </w:r>
    </w:p>
    <w:p>
      <w:r>
        <w:rPr>
          <w:b/>
        </w:rPr>
        <w:t>Problema:</w:t>
      </w:r>
      <w:r>
        <w:t xml:space="preserve"> Microsserviços antecipados elevariam custo, latência, observabilidade e consistência distribuída.</w:t>
      </w:r>
    </w:p>
    <w:p>
      <w:r>
        <w:rPr>
          <w:b/>
        </w:rPr>
        <w:t>Alternativas avaliadas:</w:t>
      </w:r>
      <w:r>
        <w:t xml:space="preserve"> microsserviços desde o início; monólito em camadas sem boundaries; modular monolith.</w:t>
      </w:r>
    </w:p>
    <w:p>
      <w:r>
        <w:rPr>
          <w:b/>
        </w:rPr>
        <w:t>Decisão:</w:t>
      </w:r>
      <w:r>
        <w:t xml:space="preserve"> backend inicial como Modular Monolith NestJS, com Worker e Webhook Gateway implantáveis separadamente.</w:t>
      </w:r>
    </w:p>
    <w:p>
      <w:r>
        <w:rPr>
          <w:b/>
        </w:rPr>
        <w:t>Consequências:</w:t>
      </w:r>
      <w:r>
        <w:t xml:space="preserve"> operação inicial simples e transações locais; exige disciplina, testes arquiteturais e contratos para evitar acoplamento.</w:t>
      </w:r>
    </w:p>
    <w:p>
      <w:pPr>
        <w:pStyle w:val="Heading2"/>
      </w:pPr>
      <w:r>
        <w:t>ADR-003 — Multi-tenancy</w:t>
      </w:r>
    </w:p>
    <w:p>
      <w:r>
        <w:rPr>
          <w:b/>
        </w:rPr>
        <w:t>Status:</w:t>
      </w:r>
      <w:r>
        <w:t xml:space="preserve"> Aceito.</w:t>
      </w:r>
    </w:p>
    <w:p>
      <w:r>
        <w:rPr>
          <w:b/>
        </w:rPr>
        <w:t>Contexto:</w:t>
      </w:r>
      <w:r>
        <w:t xml:space="preserve"> O NEXO é SaaS multiempresa e um usuário pode operar em mais de uma organização.</w:t>
      </w:r>
    </w:p>
    <w:p>
      <w:r>
        <w:rPr>
          <w:b/>
        </w:rPr>
        <w:t>Problema:</w:t>
      </w:r>
      <w:r>
        <w:t xml:space="preserve"> isolamento insuficiente causa vazamento crítico; tenancy exclusiva em User impede memberships múltiplas.</w:t>
      </w:r>
    </w:p>
    <w:p>
      <w:r>
        <w:rPr>
          <w:b/>
        </w:rPr>
        <w:t>Alternativas avaliadas:</w:t>
      </w:r>
      <w:r>
        <w:t xml:space="preserve"> banco por tenant; schema por tenant; tabelas compartilhadas com discriminator; combinação progressiva.</w:t>
      </w:r>
    </w:p>
    <w:p>
      <w:r>
        <w:rPr>
          <w:b/>
        </w:rPr>
        <w:t>Decisão:</w:t>
      </w:r>
      <w:r>
        <w:t xml:space="preserve"> tabelas compartilhadas inicialmente, </w:t>
      </w:r>
      <w:r>
        <w:rPr>
          <w:rFonts w:ascii="Consolas" w:hAnsi="Consolas"/>
          <w:color w:val="3730A3"/>
          <w:sz w:val="17"/>
        </w:rPr>
        <w:t>organizationId</w:t>
      </w:r>
      <w:r>
        <w:t xml:space="preserve"> obrigatório em dados tenant-owned, User N:N Organization por Membership e defesa em profundidade. Tenants especiais poderão receber isolamento físico futuro.</w:t>
      </w:r>
    </w:p>
    <w:p>
      <w:r>
        <w:rPr>
          <w:b/>
        </w:rPr>
        <w:t>Consequências:</w:t>
      </w:r>
      <w:r>
        <w:t xml:space="preserve"> eficiência operacional e onboarding simples; todas as queries, caches, jobs e eventos precisam ser tenant-aware e testados contra acesso cruzado.</w:t>
      </w:r>
    </w:p>
    <w:p>
      <w:pPr>
        <w:pStyle w:val="Heading2"/>
      </w:pPr>
      <w:r>
        <w:t>ADR-004 — Domain Driven Design</w:t>
      </w:r>
    </w:p>
    <w:p>
      <w:r>
        <w:rPr>
          <w:b/>
        </w:rPr>
        <w:t>Status:</w:t>
      </w:r>
      <w:r>
        <w:t xml:space="preserve"> Aceito.</w:t>
      </w:r>
    </w:p>
    <w:p>
      <w:r>
        <w:rPr>
          <w:b/>
        </w:rPr>
        <w:t>Contexto:</w:t>
      </w:r>
      <w:r>
        <w:t xml:space="preserve"> O produto combina identidades, comunicação, CRM, IA, automação, billing e analytics com ritmos distintos.</w:t>
      </w:r>
    </w:p>
    <w:p>
      <w:r>
        <w:rPr>
          <w:b/>
        </w:rPr>
        <w:t>Problema:</w:t>
      </w:r>
      <w:r>
        <w:t xml:space="preserve"> um modelo único compartilhado criaria ambiguidade e acoplamento crescente.</w:t>
      </w:r>
    </w:p>
    <w:p>
      <w:r>
        <w:rPr>
          <w:b/>
        </w:rPr>
        <w:t>Alternativas avaliadas:</w:t>
      </w:r>
      <w:r>
        <w:t xml:space="preserve"> organização apenas técnica; modelo de dados global; Bounded Contexts com DDD pragmático.</w:t>
      </w:r>
    </w:p>
    <w:p>
      <w:r>
        <w:rPr>
          <w:b/>
        </w:rPr>
        <w:t>Decisão:</w:t>
      </w:r>
      <w:r>
        <w:t xml:space="preserve"> adotar os treze Bounded Contexts deste documento, linguagem ubíqua por contexto e camadas proporcionais à complexidade.</w:t>
      </w:r>
    </w:p>
    <w:p>
      <w:r>
        <w:rPr>
          <w:b/>
        </w:rPr>
        <w:t>Consequências:</w:t>
      </w:r>
      <w:r>
        <w:t xml:space="preserve"> ownership claro e extração futura viável; requer context map, contratos e prevenção de abstrações cerimoniais.</w:t>
      </w:r>
    </w:p>
    <w:p>
      <w:pPr>
        <w:pStyle w:val="Heading2"/>
      </w:pPr>
      <w:r>
        <w:t>ADR-005 — Event Bus</w:t>
      </w:r>
    </w:p>
    <w:p>
      <w:r>
        <w:rPr>
          <w:b/>
        </w:rPr>
        <w:t>Status:</w:t>
      </w:r>
      <w:r>
        <w:t xml:space="preserve"> Aceito.</w:t>
      </w:r>
    </w:p>
    <w:p>
      <w:r>
        <w:rPr>
          <w:b/>
        </w:rPr>
        <w:t>Contexto:</w:t>
      </w:r>
      <w:r>
        <w:t xml:space="preserve"> Muitos fatos de negócio interessam a múltiplos contextos e processos assíncronos.</w:t>
      </w:r>
    </w:p>
    <w:p>
      <w:r>
        <w:rPr>
          <w:b/>
        </w:rPr>
        <w:t>Problema:</w:t>
      </w:r>
      <w:r>
        <w:t xml:space="preserve"> chamadas diretas criariam acoplamento temporal e cadeias frágeis.</w:t>
      </w:r>
    </w:p>
    <w:p>
      <w:r>
        <w:rPr>
          <w:b/>
        </w:rPr>
        <w:t>Alternativas avaliadas:</w:t>
      </w:r>
      <w:r>
        <w:t xml:space="preserve"> chamadas síncronas apenas; dependência direta de broker; port abstrata com adapters.</w:t>
      </w:r>
    </w:p>
    <w:p>
      <w:r>
        <w:rPr>
          <w:b/>
        </w:rPr>
        <w:t>Decisão:</w:t>
      </w:r>
      <w:r>
        <w:t xml:space="preserve"> Event Bus abstrato, eventos versionados, entrega at least once, consumidores idempotentes e Transactional Outbox para publicação confiável.</w:t>
      </w:r>
    </w:p>
    <w:p>
      <w:r>
        <w:rPr>
          <w:b/>
        </w:rPr>
        <w:t>Consequências:</w:t>
      </w:r>
      <w:r>
        <w:t xml:space="preserve"> desacoplamento e escalabilidade; consistência eventual, deduplicação, DLQ, tracing e governança de schemas tornam-se obrigatórios.</w:t>
      </w:r>
    </w:p>
    <w:p>
      <w:pPr>
        <w:pStyle w:val="Heading2"/>
      </w:pPr>
      <w:r>
        <w:t>ADR-006 — AI Provider Layer</w:t>
      </w:r>
    </w:p>
    <w:p>
      <w:r>
        <w:rPr>
          <w:b/>
        </w:rPr>
        <w:t>Status:</w:t>
      </w:r>
      <w:r>
        <w:t xml:space="preserve"> Aceito.</w:t>
      </w:r>
    </w:p>
    <w:p>
      <w:r>
        <w:rPr>
          <w:b/>
        </w:rPr>
        <w:t>Contexto:</w:t>
      </w:r>
      <w:r>
        <w:t xml:space="preserve"> Modelos variam em capacidade, custo, região e disponibilidade.</w:t>
      </w:r>
    </w:p>
    <w:p>
      <w:r>
        <w:rPr>
          <w:b/>
        </w:rPr>
        <w:t>Problema:</w:t>
      </w:r>
      <w:r>
        <w:t xml:space="preserve"> dependência direta de SDK tornaria regras de negócio e prompts presos ao fornecedor.</w:t>
      </w:r>
    </w:p>
    <w:p>
      <w:r>
        <w:rPr>
          <w:b/>
        </w:rPr>
        <w:t>Alternativas avaliadas:</w:t>
      </w:r>
      <w:r>
        <w:t xml:space="preserve"> provedor único; framework genérico externo como núcleo; ports próprias orientadas a capabilities.</w:t>
      </w:r>
    </w:p>
    <w:p>
      <w:r>
        <w:rPr>
          <w:b/>
        </w:rPr>
        <w:t>Decisão:</w:t>
      </w:r>
      <w:r>
        <w:t xml:space="preserve"> criar ports próprias e adapters por provedor, com seleção por capability e política.</w:t>
      </w:r>
    </w:p>
    <w:p>
      <w:r>
        <w:rPr>
          <w:b/>
        </w:rPr>
        <w:t>Consequências:</w:t>
      </w:r>
      <w:r>
        <w:t xml:space="preserve"> portabilidade e fallback; diferenças reais entre modelos precisam ser representadas sem buscar um denominador comum pobre.</w:t>
      </w:r>
    </w:p>
    <w:p>
      <w:pPr>
        <w:pStyle w:val="Heading2"/>
      </w:pPr>
      <w:r>
        <w:t>ADR-007 — Channel Provider Layer</w:t>
      </w:r>
    </w:p>
    <w:p>
      <w:r>
        <w:rPr>
          <w:b/>
        </w:rPr>
        <w:t>Status:</w:t>
      </w:r>
      <w:r>
        <w:t xml:space="preserve"> Aceito.</w:t>
      </w:r>
    </w:p>
    <w:p>
      <w:r>
        <w:rPr>
          <w:b/>
        </w:rPr>
        <w:t>Contexto:</w:t>
      </w:r>
      <w:r>
        <w:t xml:space="preserve"> Inbox deve suportar vários canais com capacidades e payloads diferentes.</w:t>
      </w:r>
    </w:p>
    <w:p>
      <w:r>
        <w:rPr>
          <w:b/>
        </w:rPr>
        <w:t>Problema:</w:t>
      </w:r>
      <w:r>
        <w:t xml:space="preserve"> condicionais específicas da Meta dentro do Inbox impediriam evolução e testes isolados.</w:t>
      </w:r>
    </w:p>
    <w:p>
      <w:r>
        <w:rPr>
          <w:b/>
        </w:rPr>
        <w:t>Alternativas avaliadas:</w:t>
      </w:r>
      <w:r>
        <w:t xml:space="preserve"> lógica por canal dentro do Inbox; serviço externo único; ports e adapters normalizados.</w:t>
      </w:r>
    </w:p>
    <w:p>
      <w:r>
        <w:rPr>
          <w:b/>
        </w:rPr>
        <w:t>Decisão:</w:t>
      </w:r>
      <w:r>
        <w:t xml:space="preserve"> Channel Provider Layer com adapters oficiais de WhatsApp e Instagram como primeiras implementações.</w:t>
      </w:r>
    </w:p>
    <w:p>
      <w:r>
        <w:rPr>
          <w:b/>
        </w:rPr>
        <w:t>Consequências:</w:t>
      </w:r>
      <w:r>
        <w:t xml:space="preserve"> Inbox independente e novos canais incrementais; o modelo de capabilities e mapeamento de identidades exige governança.</w:t>
      </w:r>
    </w:p>
    <w:p>
      <w:pPr>
        <w:pStyle w:val="Heading2"/>
      </w:pPr>
      <w:r>
        <w:t>ADR-008 — Autenticação</w:t>
      </w:r>
    </w:p>
    <w:p>
      <w:r>
        <w:rPr>
          <w:b/>
        </w:rPr>
        <w:t>Status:</w:t>
      </w:r>
      <w:r>
        <w:t xml:space="preserve"> Decisão arquitetural aceita; implementação específica será fechada na Fase 1.</w:t>
      </w:r>
    </w:p>
    <w:p>
      <w:r>
        <w:rPr>
          <w:b/>
        </w:rPr>
        <w:t>Contexto:</w:t>
      </w:r>
      <w:r>
        <w:t xml:space="preserve"> São necessários JWT curto, refresh rotativo, sessões revogáveis, MFA e passkeys futuras.</w:t>
      </w:r>
    </w:p>
    <w:p>
      <w:r>
        <w:rPr>
          <w:b/>
        </w:rPr>
        <w:t>Problema:</w:t>
      </w:r>
      <w:r>
        <w:t xml:space="preserve"> implementação própria completa aumenta superfície de segurança; fornecedor externo aumenta dependência e custo.</w:t>
      </w:r>
    </w:p>
    <w:p>
      <w:r>
        <w:rPr>
          <w:b/>
        </w:rPr>
        <w:t>Alternativas avaliadas:</w:t>
      </w:r>
      <w:r>
        <w:t xml:space="preserve"> autenticação totalmente própria; SaaS externo; biblioteca/framework self-hosted com adapters.</w:t>
      </w:r>
    </w:p>
    <w:p>
      <w:r>
        <w:rPr>
          <w:b/>
        </w:rPr>
        <w:t>Decisão:</w:t>
      </w:r>
      <w:r>
        <w:t xml:space="preserve"> o domínio Identity será próprio e provider-agnostic; armazenamento ou verificação de credenciais poderá usar adapter aprovado. Tokens e sessões obedecerão aos contratos NEXO. A escolha do adapter será feita por threat model e avaliação build-versus-buy na Fase 1.</w:t>
      </w:r>
    </w:p>
    <w:p>
      <w:r>
        <w:rPr>
          <w:b/>
        </w:rPr>
        <w:t>Consequências:</w:t>
      </w:r>
      <w:r>
        <w:t xml:space="preserve"> preserva portabilidade sem improvisar segurança; a Fase 1 não começa a implementação de credenciais antes da decisão do adapter.</w:t>
      </w:r>
    </w:p>
    <w:p>
      <w:pPr>
        <w:pStyle w:val="Heading2"/>
      </w:pPr>
      <w:r>
        <w:t>ADR-009 — Feature Flags</w:t>
      </w:r>
    </w:p>
    <w:p>
      <w:r>
        <w:rPr>
          <w:b/>
        </w:rPr>
        <w:t>Status:</w:t>
      </w:r>
      <w:r>
        <w:t xml:space="preserve"> Aceito.</w:t>
      </w:r>
    </w:p>
    <w:p>
      <w:r>
        <w:rPr>
          <w:b/>
        </w:rPr>
        <w:t>Contexto:</w:t>
      </w:r>
      <w:r>
        <w:t xml:space="preserve"> Funcionalidades precisam de rollout, kill switch e habilitação por organização.</w:t>
      </w:r>
    </w:p>
    <w:p>
      <w:r>
        <w:rPr>
          <w:b/>
        </w:rPr>
        <w:t>Problema:</w:t>
      </w:r>
      <w:r>
        <w:t xml:space="preserve"> condicionais estáticas e deploys para cada tenant são inseguros e pouco escaláveis.</w:t>
      </w:r>
    </w:p>
    <w:p>
      <w:r>
        <w:rPr>
          <w:b/>
        </w:rPr>
        <w:t>Alternativas avaliadas:</w:t>
      </w:r>
      <w:r>
        <w:t xml:space="preserve"> variáveis de ambiente; solução SaaS desde o início; serviço interno com adapter substituível.</w:t>
      </w:r>
    </w:p>
    <w:p>
      <w:r>
        <w:rPr>
          <w:b/>
        </w:rPr>
        <w:t>Decisão:</w:t>
      </w:r>
      <w:r>
        <w:t xml:space="preserve"> capability interna no Platform com port de avaliação, persistência inicial própria e possibilidade de adapter futuro.</w:t>
      </w:r>
    </w:p>
    <w:p>
      <w:r>
        <w:rPr>
          <w:b/>
        </w:rPr>
        <w:t>Consequências:</w:t>
      </w:r>
      <w:r>
        <w:t xml:space="preserve"> controle por tenant e defaults seguros; flags exigem lifecycle e não podem substituir autorização ou billing.</w:t>
      </w:r>
    </w:p>
    <w:p>
      <w:pPr>
        <w:pStyle w:val="Heading2"/>
      </w:pPr>
      <w:r>
        <w:t>ADR-010 — Estratégia de banco</w:t>
      </w:r>
    </w:p>
    <w:p>
      <w:r>
        <w:rPr>
          <w:b/>
        </w:rPr>
        <w:t>Status:</w:t>
      </w:r>
      <w:r>
        <w:t xml:space="preserve"> Aceito.</w:t>
      </w:r>
    </w:p>
    <w:p>
      <w:r>
        <w:rPr>
          <w:b/>
        </w:rPr>
        <w:t>Contexto:</w:t>
      </w:r>
      <w:r>
        <w:t xml:space="preserve"> O sistema precisa de integridade transacional, multi-tenancy, busca e alto volume de mensagens/eventos.</w:t>
      </w:r>
    </w:p>
    <w:p>
      <w:r>
        <w:rPr>
          <w:b/>
        </w:rPr>
        <w:t>Problema:</w:t>
      </w:r>
      <w:r>
        <w:t xml:space="preserve"> múltiplos bancos antecipados complicariam consistência; schema compartilhado sem ownership criaria acoplamento.</w:t>
      </w:r>
    </w:p>
    <w:p>
      <w:r>
        <w:rPr>
          <w:b/>
        </w:rPr>
        <w:t>Alternativas avaliadas:</w:t>
      </w:r>
      <w:r>
        <w:t xml:space="preserve"> banco por contexto desde o início; NoSQL primário; PostgreSQL compartilhado com ownership lógico.</w:t>
      </w:r>
    </w:p>
    <w:p>
      <w:r>
        <w:rPr>
          <w:b/>
        </w:rPr>
        <w:t>Decisão:</w:t>
      </w:r>
      <w:r>
        <w:t xml:space="preserve"> PostgreSQL como fonte primária, Prisma ORM/Migrate, schema físico compartilhado inicialmente, tabelas com owner de contexto, constraints reais, migrations imutáveis e acesso somente pelo contexto proprietário. Extensões como vetores serão avaliadas por capability.</w:t>
      </w:r>
    </w:p>
    <w:p>
      <w:r>
        <w:rPr>
          <w:b/>
        </w:rPr>
        <w:t>Consequências:</w:t>
      </w:r>
      <w:r>
        <w:t xml:space="preserve"> transações e operação simples; disciplina de ownership, revisão de migrations e prevenção de queries cross-context são obrigatórias.</w:t>
      </w:r>
    </w:p>
    <w:p>
      <w:pPr>
        <w:pStyle w:val="Heading2"/>
      </w:pPr>
      <w:r>
        <w:t>ADR-011 — Estratégia de observabilidade</w:t>
      </w:r>
    </w:p>
    <w:p>
      <w:r>
        <w:rPr>
          <w:b/>
        </w:rPr>
        <w:t>Status:</w:t>
      </w:r>
      <w:r>
        <w:t xml:space="preserve"> Aceito.</w:t>
      </w:r>
    </w:p>
    <w:p>
      <w:r>
        <w:rPr>
          <w:b/>
        </w:rPr>
        <w:t>Contexto:</w:t>
      </w:r>
      <w:r>
        <w:t xml:space="preserve"> API, filas, IA, voz, canais e workflows precisam de rastreabilidade ponta a ponta.</w:t>
      </w:r>
    </w:p>
    <w:p>
      <w:r>
        <w:rPr>
          <w:b/>
        </w:rPr>
        <w:t>Problema:</w:t>
      </w:r>
      <w:r>
        <w:t xml:space="preserve"> logs isolados não explicam fluxos distribuídos nem custos por tenant/agente.</w:t>
      </w:r>
    </w:p>
    <w:p>
      <w:r>
        <w:rPr>
          <w:b/>
        </w:rPr>
        <w:t>Alternativas avaliadas:</w:t>
      </w:r>
      <w:r>
        <w:t xml:space="preserve"> logs textuais; SDKs proprietários espalhados; OpenTelemetry com adapters de exportação.</w:t>
      </w:r>
    </w:p>
    <w:p>
      <w:r>
        <w:rPr>
          <w:b/>
        </w:rPr>
        <w:t>Decisão:</w:t>
      </w:r>
      <w:r>
        <w:t xml:space="preserve"> instrumentação padronizada em OpenTelemetry para traces, metrics e logs estruturados, com correlation/causation propagation e exporters configuráveis.</w:t>
      </w:r>
    </w:p>
    <w:p>
      <w:r>
        <w:rPr>
          <w:b/>
        </w:rPr>
        <w:t>Consequências:</w:t>
      </w:r>
      <w:r>
        <w:t xml:space="preserve"> independência de backend e diagnóstico completo; exige política de cardinalidade, sanitização de PII e budgets de telemetria.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14. Riscos técnicos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E0E7FF"/>
          </w:tcPr>
          <w:p>
            <w:r>
              <w:rPr>
                <w:b/>
                <w:color w:val="312E81"/>
                <w:sz w:val="16"/>
              </w:rPr>
              <w:t>Risco</w:t>
            </w:r>
          </w:p>
        </w:tc>
        <w:tc>
          <w:tcPr>
            <w:tcW w:type="dxa" w:w="2484"/>
            <w:vAlign w:val="center"/>
            <w:shd w:fill="E0E7FF"/>
          </w:tcPr>
          <w:p>
            <w:r>
              <w:rPr>
                <w:b/>
                <w:color w:val="312E81"/>
                <w:sz w:val="16"/>
              </w:rPr>
              <w:t>Probabilidade</w:t>
            </w:r>
          </w:p>
        </w:tc>
        <w:tc>
          <w:tcPr>
            <w:tcW w:type="dxa" w:w="2484"/>
            <w:vAlign w:val="center"/>
            <w:shd w:fill="E0E7FF"/>
          </w:tcPr>
          <w:p>
            <w:r>
              <w:rPr>
                <w:b/>
                <w:color w:val="312E81"/>
                <w:sz w:val="16"/>
              </w:rPr>
              <w:t>Impacto</w:t>
            </w:r>
          </w:p>
        </w:tc>
        <w:tc>
          <w:tcPr>
            <w:tcW w:type="dxa" w:w="2484"/>
            <w:vAlign w:val="center"/>
            <w:shd w:fill="E0E7FF"/>
          </w:tcPr>
          <w:p>
            <w:r>
              <w:rPr>
                <w:b/>
                <w:color w:val="312E81"/>
                <w:sz w:val="16"/>
              </w:rPr>
              <w:t>Mitigação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6"/>
              </w:rPr>
              <w:t>Vazamento cross-tenant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média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crítico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repositories tenant-aware, constraints, testes negativos e auditoria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6"/>
              </w:rPr>
              <w:t>Acoplamento entre contextos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public APIs, testes arquiteturais, context map e ownership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6"/>
              </w:rPr>
              <w:t>Eventos duplicados ou fora de ordem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idempotência, aggregate version, outbox e inbox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6"/>
              </w:rPr>
              <w:t>Event Bus virar infraestrutura dominante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média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port própria e separação domain/integration events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6"/>
              </w:rPr>
              <w:t>Lock-in de IA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capability ports, adapters e contract tests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6"/>
              </w:rPr>
              <w:t>Diferenças entre canais vazarem no Inbox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média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normalized model e capability negotiation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6"/>
              </w:rPr>
              <w:t>Custo e latência de IA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budgets, observabilidade, caching seguro, roteamento e flags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6"/>
              </w:rPr>
              <w:t>Complexidade excessiva de DDD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média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médio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DDD pragmático e abstrações apenas onde agregam valor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6"/>
              </w:rPr>
              <w:t>Schema compartilhado incentivar acesso indevido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ownership, lint/architecture tests e revisão de migrations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6"/>
              </w:rPr>
              <w:t>Noisy neighbor em filas e APIs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média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quotas, concorrência por tenant, rate limits e backpressure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6"/>
              </w:rPr>
              <w:t>PII em logs/eventos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média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crítico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classificação, sanitização, schemas mínimos e testes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6"/>
              </w:rPr>
              <w:t>Protótipos Stitch virarem código produtivo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média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médio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reimplementação em componentes acessíveis e tokens semânticos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6"/>
              </w:rPr>
              <w:t>Dependências vulneráveis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média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lockfile, atualização automatizada, scans e SBOM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6"/>
              </w:rPr>
              <w:t>Repositório herdar Git do perfil Windows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alta no estado atual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crítico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inicializar e validar repositório isolado antes de qualquer commit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6"/>
              </w:rPr>
              <w:t>PRD ainda incompleto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critérios por fase e refinamento antes de cada domínio</w:t>
            </w:r>
          </w:p>
        </w:tc>
      </w:tr>
    </w:tbl>
    <w:p>
      <w:pPr>
        <w:spacing w:after="20"/>
      </w:pPr>
    </w:p>
    <w:p>
      <w:pPr>
        <w:pBdr>
          <w:bottom w:val="single" w:sz="6" w:color="C7D2FE"/>
        </w:pBdr>
      </w:pPr>
    </w:p>
    <w:p>
      <w:pPr>
        <w:pStyle w:val="Heading1"/>
      </w:pPr>
      <w:r>
        <w:t>15. Plano detalhado da Fase 0</w:t>
      </w:r>
    </w:p>
    <w:p>
      <w:pPr>
        <w:pStyle w:val="Heading2"/>
      </w:pPr>
      <w:r>
        <w:t>15.1 Objetivo</w:t>
      </w:r>
    </w:p>
    <w:p>
      <w:r>
        <w:t>Entregar uma fundação técnica reproduzível, segura, observável e testável para as fases de produto, sem implementar funcionalidades de negócio, autenticação, canais ou IA.</w:t>
      </w:r>
    </w:p>
    <w:p>
      <w:pPr>
        <w:pStyle w:val="Heading2"/>
      </w:pPr>
      <w:r>
        <w:t>15.2 Fora do escopo</w:t>
      </w:r>
    </w:p>
    <w:p>
      <w:pPr>
        <w:pStyle w:val="ListBullet"/>
      </w:pPr>
      <w:r>
        <w:t>cadastro, login e sessões reais;</w:t>
      </w:r>
    </w:p>
    <w:p>
      <w:pPr>
        <w:pStyle w:val="ListBullet"/>
      </w:pPr>
      <w:r>
        <w:t>schema funcional completo;</w:t>
      </w:r>
    </w:p>
    <w:p>
      <w:pPr>
        <w:pStyle w:val="ListBullet"/>
      </w:pPr>
      <w:r>
        <w:t>Inbox, CRM, IA, voz ou workflows;</w:t>
      </w:r>
    </w:p>
    <w:p>
      <w:pPr>
        <w:pStyle w:val="ListBullet"/>
      </w:pPr>
      <w:r>
        <w:t>integrações oficiais externas;</w:t>
      </w:r>
    </w:p>
    <w:p>
      <w:pPr>
        <w:pStyle w:val="ListBullet"/>
      </w:pPr>
      <w:r>
        <w:t>Design System completo;</w:t>
      </w:r>
    </w:p>
    <w:p>
      <w:pPr>
        <w:pStyle w:val="ListBullet"/>
      </w:pPr>
      <w:r>
        <w:t>escolha definitiva do adapter de autenticação;</w:t>
      </w:r>
    </w:p>
    <w:p>
      <w:pPr>
        <w:pStyle w:val="ListBullet"/>
      </w:pPr>
      <w:r>
        <w:t>deploy de produção.</w:t>
      </w:r>
    </w:p>
    <w:p>
      <w:pPr>
        <w:pStyle w:val="Heading2"/>
      </w:pPr>
      <w:r>
        <w:t>15.3 Sequência de trabalho</w:t>
      </w:r>
    </w:p>
    <w:p>
      <w:pPr>
        <w:pStyle w:val="Heading3"/>
      </w:pPr>
      <w:r>
        <w:t>Etapa 0.1 — Segurança do workspace e Git</w:t>
      </w:r>
    </w:p>
    <w:p>
      <w:pPr>
        <w:pStyle w:val="ListBullet"/>
      </w:pPr>
      <w:r>
        <w:t>validar os hashes e preservar a documentação fonte;</w:t>
      </w:r>
    </w:p>
    <w:p>
      <w:pPr>
        <w:pStyle w:val="ListBullet"/>
      </w:pPr>
      <w:r>
        <w:t>criar repositório Git isolado na pasta NEXO;</w:t>
      </w:r>
    </w:p>
    <w:p>
      <w:pPr>
        <w:pStyle w:val="ListBullet"/>
      </w:pPr>
      <w:r>
        <w:t>garantir que o Git root não seja o perfil do Windows;</w:t>
      </w:r>
    </w:p>
    <w:p>
      <w:pPr>
        <w:pStyle w:val="ListBullet"/>
      </w:pPr>
      <w:r>
        <w:t xml:space="preserve">criar </w:t>
      </w:r>
      <w:r>
        <w:rPr>
          <w:rFonts w:ascii="Consolas" w:hAnsi="Consolas"/>
          <w:color w:val="3730A3"/>
          <w:sz w:val="17"/>
        </w:rPr>
        <w:t>.gitignore</w:t>
      </w:r>
      <w:r>
        <w:t>, política de arquivos e secret scanning;</w:t>
      </w:r>
    </w:p>
    <w:p>
      <w:pPr>
        <w:pStyle w:val="ListBullet"/>
      </w:pPr>
      <w:r>
        <w:t>registrar baseline documental.</w:t>
      </w:r>
    </w:p>
    <w:p>
      <w:r>
        <w:rPr>
          <w:b/>
        </w:rPr>
        <w:t>Aceite:</w:t>
      </w:r>
      <w:r>
        <w:t xml:space="preserve"> </w:t>
      </w:r>
      <w:r>
        <w:rPr>
          <w:rFonts w:ascii="Consolas" w:hAnsi="Consolas"/>
          <w:color w:val="3730A3"/>
          <w:sz w:val="17"/>
        </w:rPr>
        <w:t>git rev-parse --show-toplevel</w:t>
      </w:r>
      <w:r>
        <w:t xml:space="preserve"> aponta exatamente para NEXO e nenhum arquivo externo aparece no status.</w:t>
      </w:r>
    </w:p>
    <w:p>
      <w:pPr>
        <w:pStyle w:val="Heading3"/>
      </w:pPr>
      <w:r>
        <w:t>Etapa 0.2 — Toolchain e monorepo</w:t>
      </w:r>
    </w:p>
    <w:p>
      <w:pPr>
        <w:pStyle w:val="ListBullet"/>
      </w:pPr>
      <w:r>
        <w:t>registrar versões suportadas de runtime e gerenciador;</w:t>
      </w:r>
    </w:p>
    <w:p>
      <w:pPr>
        <w:pStyle w:val="ListBullet"/>
      </w:pPr>
      <w:r>
        <w:t>configurar workspaces, lockfile e task orchestration;</w:t>
      </w:r>
    </w:p>
    <w:p>
      <w:pPr>
        <w:pStyle w:val="ListBullet"/>
      </w:pPr>
      <w:r>
        <w:t>configurar TypeScript strict compartilhado;</w:t>
      </w:r>
    </w:p>
    <w:p>
      <w:pPr>
        <w:pStyle w:val="ListBullet"/>
      </w:pPr>
      <w:r>
        <w:t>configurar lint, format, import boundaries e scripts raiz;</w:t>
      </w:r>
    </w:p>
    <w:p>
      <w:pPr>
        <w:pStyle w:val="ListBullet"/>
      </w:pPr>
      <w:r>
        <w:t>criar política de atualização de dependências.</w:t>
      </w:r>
    </w:p>
    <w:p>
      <w:r>
        <w:rPr>
          <w:b/>
        </w:rPr>
        <w:t>Aceite:</w:t>
      </w:r>
      <w:r>
        <w:t xml:space="preserve"> instalação limpa e reproduzível; tarefas podem ser executadas na raiz e por projeto.</w:t>
      </w:r>
    </w:p>
    <w:p>
      <w:pPr>
        <w:pStyle w:val="Heading3"/>
      </w:pPr>
      <w:r>
        <w:t>Etapa 0.3 — Shells das aplicações</w:t>
      </w:r>
    </w:p>
    <w:p>
      <w:pPr>
        <w:pStyle w:val="ListBullet"/>
      </w:pPr>
      <w:r>
        <w:t>criar Web, API, Worker e Webhook Gateway mínimos;</w:t>
      </w:r>
    </w:p>
    <w:p>
      <w:pPr>
        <w:pStyle w:val="ListBullet"/>
      </w:pPr>
      <w:r>
        <w:t>adicionar health/readiness endpoints onde aplicável;</w:t>
      </w:r>
    </w:p>
    <w:p>
      <w:pPr>
        <w:pStyle w:val="ListBullet"/>
      </w:pPr>
      <w:r>
        <w:t>adicionar graceful shutdown;</w:t>
      </w:r>
    </w:p>
    <w:p>
      <w:pPr>
        <w:pStyle w:val="ListBullet"/>
      </w:pPr>
      <w:r>
        <w:t>impedir lógica de negócio nos shells;</w:t>
      </w:r>
    </w:p>
    <w:p>
      <w:pPr>
        <w:pStyle w:val="ListBullet"/>
      </w:pPr>
      <w:r>
        <w:t>validar builds independentes.</w:t>
      </w:r>
    </w:p>
    <w:p>
      <w:r>
        <w:rPr>
          <w:b/>
        </w:rPr>
        <w:t>Aceite:</w:t>
      </w:r>
      <w:r>
        <w:t xml:space="preserve"> quatro aplicações compilam e iniciam; health checks têm testes.</w:t>
      </w:r>
    </w:p>
    <w:p>
      <w:pPr>
        <w:pStyle w:val="Heading3"/>
      </w:pPr>
      <w:r>
        <w:t>Etapa 0.4 — Packages fundamentais</w:t>
      </w:r>
    </w:p>
    <w:p>
      <w:pPr>
        <w:pStyle w:val="ListBullet"/>
      </w:pPr>
      <w:r>
        <w:t>criar apenas packages necessários à fundação: config, observability, events, feature-flags, testing e shared mínimo;</w:t>
      </w:r>
    </w:p>
    <w:p>
      <w:pPr>
        <w:pStyle w:val="ListBullet"/>
      </w:pPr>
      <w:r>
        <w:t>definir public exports;</w:t>
      </w:r>
    </w:p>
    <w:p>
      <w:pPr>
        <w:pStyle w:val="ListBullet"/>
      </w:pPr>
      <w:r>
        <w:t>criar Event Bus port e adapter in-memory, sem eventos de negócio implementados;</w:t>
      </w:r>
    </w:p>
    <w:p>
      <w:pPr>
        <w:pStyle w:val="ListBullet"/>
      </w:pPr>
      <w:r>
        <w:t>criar Feature Flag evaluation port e adapter seguro mínimo;</w:t>
      </w:r>
    </w:p>
    <w:p>
      <w:pPr>
        <w:pStyle w:val="ListBullet"/>
      </w:pPr>
      <w:r>
        <w:t>criar contratos base para AI Provider e Channel Provider, sem SDK externo;</w:t>
      </w:r>
    </w:p>
    <w:p>
      <w:pPr>
        <w:pStyle w:val="ListBullet"/>
      </w:pPr>
      <w:r>
        <w:t>adicionar testes de contrato e boundaries.</w:t>
      </w:r>
    </w:p>
    <w:p>
      <w:r>
        <w:rPr>
          <w:b/>
        </w:rPr>
        <w:t>Aceite:</w:t>
      </w:r>
      <w:r>
        <w:t xml:space="preserve"> nenhum package possui dependência circular; adapters são substituíveis e testados.</w:t>
      </w:r>
    </w:p>
    <w:p>
      <w:pPr>
        <w:pStyle w:val="Heading3"/>
      </w:pPr>
      <w:r>
        <w:t>Etapa 0.5 — Dados e infraestrutura local</w:t>
      </w:r>
    </w:p>
    <w:p>
      <w:pPr>
        <w:pStyle w:val="ListBullet"/>
      </w:pPr>
      <w:r>
        <w:t>configurar PostgreSQL e Redis containerizados;</w:t>
      </w:r>
    </w:p>
    <w:p>
      <w:pPr>
        <w:pStyle w:val="ListBullet"/>
      </w:pPr>
      <w:r>
        <w:t>criar package database e configuração Prisma inicial;</w:t>
      </w:r>
    </w:p>
    <w:p>
      <w:pPr>
        <w:pStyle w:val="ListBullet"/>
      </w:pPr>
      <w:r>
        <w:t>criar migration de fundação somente se necessária para health/infra, sem antecipar domínios;</w:t>
      </w:r>
    </w:p>
    <w:p>
      <w:pPr>
        <w:pStyle w:val="ListBullet"/>
      </w:pPr>
      <w:r>
        <w:t>definir convenções de migrations, seeds e testes;</w:t>
      </w:r>
    </w:p>
    <w:p>
      <w:pPr>
        <w:pStyle w:val="ListBullet"/>
      </w:pPr>
      <w:r>
        <w:t>configurar storage local compatível apenas se necessário ao smoke test.</w:t>
      </w:r>
    </w:p>
    <w:p>
      <w:r>
        <w:rPr>
          <w:b/>
        </w:rPr>
        <w:t>Aceite:</w:t>
      </w:r>
      <w:r>
        <w:t xml:space="preserve"> infraestrutura sobe de forma reproduzível, health checks passam e integração executa em ambiente limpo.</w:t>
      </w:r>
    </w:p>
    <w:p>
      <w:pPr>
        <w:pStyle w:val="Heading3"/>
      </w:pPr>
      <w:r>
        <w:t>Etapa 0.6 — Observabilidade</w:t>
      </w:r>
    </w:p>
    <w:p>
      <w:pPr>
        <w:pStyle w:val="ListBullet"/>
      </w:pPr>
      <w:r>
        <w:t>instrumentar OpenTelemetry básico;</w:t>
      </w:r>
    </w:p>
    <w:p>
      <w:pPr>
        <w:pStyle w:val="ListBullet"/>
      </w:pPr>
      <w:r>
        <w:t>padronizar logs estruturados e correlation IDs;</w:t>
      </w:r>
    </w:p>
    <w:p>
      <w:pPr>
        <w:pStyle w:val="ListBullet"/>
      </w:pPr>
      <w:r>
        <w:t>propagar contexto em request, event e job de teste;</w:t>
      </w:r>
    </w:p>
    <w:p>
      <w:pPr>
        <w:pStyle w:val="ListBullet"/>
      </w:pPr>
      <w:r>
        <w:t>sanitizar dados sensíveis;</w:t>
      </w:r>
    </w:p>
    <w:p>
      <w:pPr>
        <w:pStyle w:val="ListBullet"/>
      </w:pPr>
      <w:r>
        <w:t>adicionar métricas de health e execução.</w:t>
      </w:r>
    </w:p>
    <w:p>
      <w:r>
        <w:rPr>
          <w:b/>
        </w:rPr>
        <w:t>Aceite:</w:t>
      </w:r>
      <w:r>
        <w:t xml:space="preserve"> smoke flow demonstra correlação ponta a ponta sem PII ou segredo.</w:t>
      </w:r>
    </w:p>
    <w:p>
      <w:pPr>
        <w:pStyle w:val="Heading3"/>
      </w:pPr>
      <w:r>
        <w:t>Etapa 0.7 — Testes e qualidade</w:t>
      </w:r>
    </w:p>
    <w:p>
      <w:pPr>
        <w:pStyle w:val="ListBullet"/>
      </w:pPr>
      <w:r>
        <w:t>configurar unit, integration, architecture e E2E runners;</w:t>
      </w:r>
    </w:p>
    <w:p>
      <w:pPr>
        <w:pStyle w:val="ListBullet"/>
      </w:pPr>
      <w:r>
        <w:t>configurar coverage e thresholds aplicáveis;</w:t>
      </w:r>
    </w:p>
    <w:p>
      <w:pPr>
        <w:pStyle w:val="ListBullet"/>
      </w:pPr>
      <w:r>
        <w:t>adicionar testes de compilação de contratos;</w:t>
      </w:r>
    </w:p>
    <w:p>
      <w:pPr>
        <w:pStyle w:val="ListBullet"/>
      </w:pPr>
      <w:r>
        <w:t>adicionar smoke E2E das aplicações;</w:t>
      </w:r>
    </w:p>
    <w:p>
      <w:pPr>
        <w:pStyle w:val="ListBullet"/>
      </w:pPr>
      <w:r>
        <w:t>adicionar testes de isolamento lógico às primitives tenant-aware;</w:t>
      </w:r>
    </w:p>
    <w:p>
      <w:pPr>
        <w:pStyle w:val="ListBullet"/>
      </w:pPr>
      <w:r>
        <w:t>validar builds e containers.</w:t>
      </w:r>
    </w:p>
    <w:p>
      <w:r>
        <w:rPr>
          <w:b/>
        </w:rPr>
        <w:t>Aceite:</w:t>
      </w:r>
      <w:r>
        <w:t xml:space="preserve"> todos os gates locais passam a partir de checkout limpo.</w:t>
      </w:r>
    </w:p>
    <w:p>
      <w:pPr>
        <w:pStyle w:val="Heading3"/>
      </w:pPr>
      <w:r>
        <w:t>Etapa 0.8 — CI e segurança</w:t>
      </w:r>
    </w:p>
    <w:p>
      <w:pPr>
        <w:pStyle w:val="ListBullet"/>
      </w:pPr>
      <w:r>
        <w:t>pipeline para format, lint, typecheck, architecture tests, unit, integration, E2E, build e security scans;</w:t>
      </w:r>
    </w:p>
    <w:p>
      <w:pPr>
        <w:pStyle w:val="ListBullet"/>
      </w:pPr>
      <w:r>
        <w:t>cache seguro e tarefas afetadas sem ocultar falhas;</w:t>
      </w:r>
    </w:p>
    <w:p>
      <w:pPr>
        <w:pStyle w:val="ListBullet"/>
      </w:pPr>
      <w:r>
        <w:t>secret scan, dependency scan e geração de SBOM;</w:t>
      </w:r>
    </w:p>
    <w:p>
      <w:pPr>
        <w:pStyle w:val="ListBullet"/>
      </w:pPr>
      <w:r>
        <w:t>artifacts de teste e cobertura;</w:t>
      </w:r>
    </w:p>
    <w:p>
      <w:pPr>
        <w:pStyle w:val="ListBullet"/>
      </w:pPr>
      <w:r>
        <w:t>nenhuma credencial real necessária em pull requests.</w:t>
      </w:r>
    </w:p>
    <w:p>
      <w:r>
        <w:rPr>
          <w:b/>
        </w:rPr>
        <w:t>Aceite:</w:t>
      </w:r>
      <w:r>
        <w:t xml:space="preserve"> CI verde em branch/PR real e evidências preservadas.</w:t>
      </w:r>
    </w:p>
    <w:p>
      <w:pPr>
        <w:pStyle w:val="Heading3"/>
      </w:pPr>
      <w:r>
        <w:t>Etapa 0.9 — Documentação operacional</w:t>
      </w:r>
    </w:p>
    <w:p>
      <w:pPr>
        <w:pStyle w:val="ListBullet"/>
      </w:pPr>
      <w:r>
        <w:t>README de bootstrap;</w:t>
      </w:r>
    </w:p>
    <w:p>
      <w:pPr>
        <w:pStyle w:val="ListBullet"/>
      </w:pPr>
      <w:r>
        <w:t>CONTRIBUTING e SECURITY;</w:t>
      </w:r>
    </w:p>
    <w:p>
      <w:pPr>
        <w:pStyle w:val="ListBullet"/>
      </w:pPr>
      <w:r>
        <w:t>catálogo de scripts;</w:t>
      </w:r>
    </w:p>
    <w:p>
      <w:pPr>
        <w:pStyle w:val="ListBullet"/>
      </w:pPr>
      <w:r>
        <w:t>template de ADR;</w:t>
      </w:r>
    </w:p>
    <w:p>
      <w:pPr>
        <w:pStyle w:val="ListBullet"/>
      </w:pPr>
      <w:r>
        <w:t>visão de contexts e dependency rules;</w:t>
      </w:r>
    </w:p>
    <w:p>
      <w:pPr>
        <w:pStyle w:val="ListBullet"/>
      </w:pPr>
      <w:r>
        <w:t>event conventions;</w:t>
      </w:r>
    </w:p>
    <w:p>
      <w:pPr>
        <w:pStyle w:val="ListBullet"/>
      </w:pPr>
      <w:r>
        <w:t>environment matrix;</w:t>
      </w:r>
    </w:p>
    <w:p>
      <w:pPr>
        <w:pStyle w:val="ListBullet"/>
      </w:pPr>
      <w:r>
        <w:t>runbooks de desenvolvimento, migration e recuperação local;</w:t>
      </w:r>
    </w:p>
    <w:p>
      <w:pPr>
        <w:pStyle w:val="ListBullet"/>
      </w:pPr>
      <w:r>
        <w:t>changelog e relatório da fase.</w:t>
      </w:r>
    </w:p>
    <w:p>
      <w:r>
        <w:rPr>
          <w:b/>
        </w:rPr>
        <w:t>Aceite:</w:t>
      </w:r>
      <w:r>
        <w:t xml:space="preserve"> uma pessoa nova consegue instalar, executar, testar e diagnosticar a fundação apenas com a documentação.</w:t>
      </w:r>
    </w:p>
    <w:p>
      <w:pPr>
        <w:pStyle w:val="Heading2"/>
      </w:pPr>
      <w:r>
        <w:t>15.4 Arquivos e áreas previstas</w:t>
      </w:r>
    </w:p>
    <w:p>
      <w:r>
        <w:t>A Fase 0 poderá criar ou alterar somente:</w:t>
      </w:r>
    </w:p>
    <w:p>
      <w:pPr>
        <w:pStyle w:val="ListBullet"/>
      </w:pPr>
      <w:r>
        <w:t>arquivos raiz de workspace, Git e qualidade;</w:t>
      </w:r>
    </w:p>
    <w:p>
      <w:pPr>
        <w:pStyle w:val="ListBullet"/>
      </w:pPr>
      <w:r>
        <w:rPr>
          <w:rFonts w:ascii="Consolas" w:hAnsi="Consolas"/>
          <w:color w:val="3730A3"/>
          <w:sz w:val="17"/>
        </w:rPr>
        <w:t>apps/*</w:t>
      </w:r>
      <w:r>
        <w:t xml:space="preserve"> como shells técnicos;</w:t>
      </w:r>
    </w:p>
    <w:p>
      <w:pPr>
        <w:pStyle w:val="ListBullet"/>
      </w:pPr>
      <w:r>
        <w:t>packages fundamentais listados na Etapa 0.4;</w:t>
      </w:r>
    </w:p>
    <w:p>
      <w:pPr>
        <w:pStyle w:val="ListBullet"/>
      </w:pPr>
      <w:r>
        <w:rPr>
          <w:rFonts w:ascii="Consolas" w:hAnsi="Consolas"/>
          <w:color w:val="3730A3"/>
          <w:sz w:val="17"/>
        </w:rPr>
        <w:t>infrastructure/*</w:t>
      </w:r>
      <w:r>
        <w:t xml:space="preserve"> para ambiente local;</w:t>
      </w:r>
    </w:p>
    <w:p>
      <w:pPr>
        <w:pStyle w:val="ListBullet"/>
      </w:pPr>
      <w:r>
        <w:rPr>
          <w:rFonts w:ascii="Consolas" w:hAnsi="Consolas"/>
          <w:color w:val="3730A3"/>
          <w:sz w:val="17"/>
        </w:rPr>
        <w:t>.github/workflows/*</w:t>
      </w:r>
      <w:r>
        <w:t>;</w:t>
      </w:r>
    </w:p>
    <w:p>
      <w:pPr>
        <w:pStyle w:val="ListBullet"/>
      </w:pPr>
      <w:r>
        <w:rPr>
          <w:rFonts w:ascii="Consolas" w:hAnsi="Consolas"/>
          <w:color w:val="3730A3"/>
          <w:sz w:val="17"/>
        </w:rPr>
        <w:t>docs/*</w:t>
      </w:r>
      <w:r>
        <w:t>, README, contributing, security e changelog;</w:t>
      </w:r>
    </w:p>
    <w:p>
      <w:pPr>
        <w:pStyle w:val="ListBullet"/>
      </w:pPr>
      <w:r>
        <w:t>testes associados à fundação.</w:t>
      </w:r>
    </w:p>
    <w:p>
      <w:r>
        <w:t>Qualquer modelagem funcional de Identity, Organization ou outros contextos será adiada para sua fase, salvo primitives técnicas aprovadas e sem regra de negócio.</w:t>
      </w:r>
    </w:p>
    <w:p>
      <w:pPr>
        <w:pStyle w:val="Heading2"/>
      </w:pPr>
      <w:r>
        <w:t>15.5 Gates obrigatórios</w:t>
      </w:r>
    </w:p>
    <w:p>
      <w:r>
        <w:t>Ao encerrar a Fase 0, devem existir evidências de:</w:t>
      </w:r>
    </w:p>
    <w:p>
      <w:pPr>
        <w:pStyle w:val="ListBullet"/>
      </w:pPr>
      <w:r>
        <w:t>instalação limpa;</w:t>
      </w:r>
    </w:p>
    <w:p>
      <w:pPr>
        <w:pStyle w:val="ListBullet"/>
      </w:pPr>
      <w:r>
        <w:t>format check;</w:t>
      </w:r>
    </w:p>
    <w:p>
      <w:pPr>
        <w:pStyle w:val="ListBullet"/>
      </w:pPr>
      <w:r>
        <w:t>lint;</w:t>
      </w:r>
    </w:p>
    <w:p>
      <w:pPr>
        <w:pStyle w:val="ListBullet"/>
      </w:pPr>
      <w:r>
        <w:t>typecheck;</w:t>
      </w:r>
    </w:p>
    <w:p>
      <w:pPr>
        <w:pStyle w:val="ListBullet"/>
      </w:pPr>
      <w:r>
        <w:t>testes arquiteturais;</w:t>
      </w:r>
    </w:p>
    <w:p>
      <w:pPr>
        <w:pStyle w:val="ListBullet"/>
      </w:pPr>
      <w:r>
        <w:t>testes unitários;</w:t>
      </w:r>
    </w:p>
    <w:p>
      <w:pPr>
        <w:pStyle w:val="ListBullet"/>
      </w:pPr>
      <w:r>
        <w:t>testes de integração;</w:t>
      </w:r>
    </w:p>
    <w:p>
      <w:pPr>
        <w:pStyle w:val="ListBullet"/>
      </w:pPr>
      <w:r>
        <w:t>E2E smoke;</w:t>
      </w:r>
    </w:p>
    <w:p>
      <w:pPr>
        <w:pStyle w:val="ListBullet"/>
      </w:pPr>
      <w:r>
        <w:t>cobertura;</w:t>
      </w:r>
    </w:p>
    <w:p>
      <w:pPr>
        <w:pStyle w:val="ListBullet"/>
      </w:pPr>
      <w:r>
        <w:t>build de todos os projetos;</w:t>
      </w:r>
    </w:p>
    <w:p>
      <w:pPr>
        <w:pStyle w:val="ListBullet"/>
      </w:pPr>
      <w:r>
        <w:t>validação de migrations;</w:t>
      </w:r>
    </w:p>
    <w:p>
      <w:pPr>
        <w:pStyle w:val="ListBullet"/>
      </w:pPr>
      <w:r>
        <w:t>dependency/secret/static scans;</w:t>
      </w:r>
    </w:p>
    <w:p>
      <w:pPr>
        <w:pStyle w:val="ListBullet"/>
      </w:pPr>
      <w:r>
        <w:t>containers e health checks;</w:t>
      </w:r>
    </w:p>
    <w:p>
      <w:pPr>
        <w:pStyle w:val="ListBullet"/>
      </w:pPr>
      <w:r>
        <w:t>CI verde;</w:t>
      </w:r>
    </w:p>
    <w:p>
      <w:pPr>
        <w:pStyle w:val="ListBullet"/>
      </w:pPr>
      <w:r>
        <w:t>revisão do diff;</w:t>
      </w:r>
    </w:p>
    <w:p>
      <w:pPr>
        <w:pStyle w:val="ListBullet"/>
      </w:pPr>
      <w:r>
        <w:t>documentação e changelog;</w:t>
      </w:r>
    </w:p>
    <w:p>
      <w:pPr>
        <w:pStyle w:val="ListBullet"/>
      </w:pPr>
      <w:r>
        <w:t>relatório da fase.</w:t>
      </w:r>
    </w:p>
    <w:p>
      <w:pPr>
        <w:pStyle w:val="Heading2"/>
      </w:pPr>
      <w:r>
        <w:t>15.6 Entrega da Fase 0</w:t>
      </w:r>
    </w:p>
    <w:p>
      <w:r>
        <w:t>O relatório final deverá conter resumo executivo, objetivos, decisões, arquivos, migrations, comandos, testes, cobertura, resultados de segurança, evidências de CI, riscos residuais, pendências, rollback, commit(s) sugeridos e plano da Fase 1.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16. Critérios de aprovação desta arquitetura</w:t>
      </w:r>
    </w:p>
    <w:p>
      <w:r>
        <w:t>Esta arquitetura estará aprovada quando houver concordância explícita sobre:</w:t>
      </w:r>
    </w:p>
    <w:p>
      <w:pPr>
        <w:pStyle w:val="ListBullet"/>
      </w:pPr>
      <w:r>
        <w:t>os treze Bounded Contexts;</w:t>
      </w:r>
    </w:p>
    <w:p>
      <w:pPr>
        <w:pStyle w:val="ListBullet"/>
      </w:pPr>
      <w:r>
        <w:t>as regras de dependência e ownership de dados;</w:t>
      </w:r>
    </w:p>
    <w:p>
      <w:pPr>
        <w:pStyle w:val="ListBullet"/>
      </w:pPr>
      <w:r>
        <w:t>Event Bus com outbox, at-least-once e idempotência;</w:t>
      </w:r>
    </w:p>
    <w:p>
      <w:pPr>
        <w:pStyle w:val="ListBullet"/>
      </w:pPr>
      <w:r>
        <w:t>AI e Channel Provider Layers;</w:t>
      </w:r>
    </w:p>
    <w:p>
      <w:pPr>
        <w:pStyle w:val="ListBullet"/>
      </w:pPr>
      <w:r>
        <w:t>modelo N:N de Membership e isolamento tenant;</w:t>
      </w:r>
    </w:p>
    <w:p>
      <w:pPr>
        <w:pStyle w:val="ListBullet"/>
      </w:pPr>
      <w:r>
        <w:t>Feature Flags por organização;</w:t>
      </w:r>
    </w:p>
    <w:p>
      <w:pPr>
        <w:pStyle w:val="ListBullet"/>
      </w:pPr>
      <w:r>
        <w:t>estrutura do monorepo;</w:t>
      </w:r>
    </w:p>
    <w:p>
      <w:pPr>
        <w:pStyle w:val="ListBullet"/>
      </w:pPr>
      <w:r>
        <w:t>roadmap final;</w:t>
      </w:r>
    </w:p>
    <w:p>
      <w:pPr>
        <w:pStyle w:val="ListBullet"/>
      </w:pPr>
      <w:r>
        <w:t>os onze ADRs;</w:t>
      </w:r>
    </w:p>
    <w:p>
      <w:pPr>
        <w:pStyle w:val="ListBullet"/>
      </w:pPr>
      <w:r>
        <w:t>limites e critérios de aceite da Fase 0.</w:t>
      </w:r>
    </w:p>
    <w:p>
      <w:r>
        <w:t>Nenhum código da Fase 0 deve ser implementado antes dessa aprovação.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17. Registro de consolidação</w:t>
      </w:r>
    </w:p>
    <w:p>
      <w:r>
        <w:t>Esta versão formaliza as recomendações aprovadas após o diagnóstico inicial e resolve os conflitos anteriores da seguinte forma:</w:t>
      </w:r>
    </w:p>
    <w:p>
      <w:pPr>
        <w:pStyle w:val="ListBullet"/>
      </w:pPr>
      <w:r>
        <w:t>o roadmap da Seção 12 torna-se canônico;</w:t>
      </w:r>
    </w:p>
    <w:p>
      <w:pPr>
        <w:pStyle w:val="ListBullet"/>
      </w:pPr>
      <w:r>
        <w:rPr>
          <w:rFonts w:ascii="Consolas" w:hAnsi="Consolas"/>
          <w:color w:val="3730A3"/>
          <w:sz w:val="17"/>
        </w:rPr>
        <w:t>apps/worker</w:t>
      </w:r>
      <w:r>
        <w:t xml:space="preserve"> substitui referências a </w:t>
      </w:r>
      <w:r>
        <w:rPr>
          <w:rFonts w:ascii="Consolas" w:hAnsi="Consolas"/>
          <w:color w:val="3730A3"/>
          <w:sz w:val="17"/>
        </w:rPr>
        <w:t>apps/workers</w:t>
      </w:r>
      <w:r>
        <w:t>;</w:t>
      </w:r>
    </w:p>
    <w:p>
      <w:pPr>
        <w:pStyle w:val="ListBullet"/>
      </w:pPr>
      <w:r>
        <w:t>User e Organization relacionam-se por Membership N:N;</w:t>
      </w:r>
    </w:p>
    <w:p>
      <w:pPr>
        <w:pStyle w:val="ListBullet"/>
      </w:pPr>
      <w:r>
        <w:rPr>
          <w:rFonts w:ascii="Consolas" w:hAnsi="Consolas"/>
          <w:color w:val="3730A3"/>
          <w:sz w:val="17"/>
        </w:rPr>
        <w:t>organizationId</w:t>
      </w:r>
      <w:r>
        <w:t xml:space="preserve"> aplica-se a dados tenant-owned, não indiscriminadamente a entidades globais;</w:t>
      </w:r>
    </w:p>
    <w:p>
      <w:pPr>
        <w:pStyle w:val="ListBullet"/>
      </w:pPr>
      <w:r>
        <w:t>soft delete e JSON são seletivos;</w:t>
      </w:r>
    </w:p>
    <w:p>
      <w:pPr>
        <w:pStyle w:val="ListBullet"/>
      </w:pPr>
      <w:r>
        <w:t>Inbox permanece independente de canais;</w:t>
      </w:r>
    </w:p>
    <w:p>
      <w:pPr>
        <w:pStyle w:val="ListBullet"/>
      </w:pPr>
      <w:r>
        <w:t>WhatsApp e Instagram usam somente APIs oficiais;</w:t>
      </w:r>
    </w:p>
    <w:p>
      <w:pPr>
        <w:pStyle w:val="ListBullet"/>
      </w:pPr>
      <w:r>
        <w:t>Fase 0 contém apenas fundação técnica;</w:t>
      </w:r>
    </w:p>
    <w:p>
      <w:pPr>
        <w:pStyle w:val="ListBullet"/>
      </w:pPr>
      <w:r>
        <w:t>Design System completo começa na Fase 2;</w:t>
      </w:r>
    </w:p>
    <w:p>
      <w:pPr>
        <w:pStyle w:val="ListBullet"/>
      </w:pPr>
      <w:r>
        <w:t>Modular Monolith, DDD, eventos e provider layers tornam-se decisões oficiais.</w:t>
      </w:r>
    </w:p>
    <w:p>
      <w:r>
        <w:t xml:space="preserve">Após aprovação, este documento deverá ser preservado em </w:t>
      </w:r>
      <w:r>
        <w:rPr>
          <w:rFonts w:ascii="Consolas" w:hAnsi="Consolas"/>
          <w:color w:val="3730A3"/>
          <w:sz w:val="17"/>
        </w:rPr>
        <w:t>docs/architecture</w:t>
      </w:r>
      <w:r>
        <w:t xml:space="preserve">, e cada ADR poderá ser materializado individualmente em </w:t>
      </w:r>
      <w:r>
        <w:rPr>
          <w:rFonts w:ascii="Consolas" w:hAnsi="Consolas"/>
          <w:color w:val="3730A3"/>
          <w:sz w:val="17"/>
        </w:rPr>
        <w:t>docs/adr</w:t>
      </w:r>
      <w:r>
        <w:t xml:space="preserve"> sem alteração de sua decisão ou significado.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NEXO ? Documento de arquitetura para aprova??o  ?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NEXO  |  FOUNDATION ARCHITECTURE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12E8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338C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46E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3730A3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12E8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NEXO Foundation Architecture v2.0</dc:title>
  <dc:subject>Baseline definitiva de arquitetura e plano da Fase 0</dc:subject>
  <dc:creator>NEXO Architecture</dc:creator>
  <cp:keywords>NEXO, DDD, Modular Monolith, Event Bus, Multi-tenancy,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