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NEXO - Voice Architecture Specification</w:t>
      </w:r>
    </w:p>
    <w:p>
      <w:r>
        <w:t>Versão 1.0</w:t>
        <w:br/>
        <w:t>Objetivo: Definir a arquitetura de processamento de voz do NEXO para comunicação bidirecional por áudio.</w:t>
      </w:r>
    </w:p>
    <w:p>
      <w:pPr>
        <w:pStyle w:val="Heading2"/>
      </w:pPr>
      <w:r>
        <w:t>1. Visão</w:t>
      </w:r>
    </w:p>
    <w:p>
      <w:r>
        <w:t>O módulo de voz permitirá que empresas recebam, processem e respondam mensagens de áudio mantendo contexto conversacional, qualidade e rastreabilidade.</w:t>
      </w:r>
    </w:p>
    <w:p>
      <w:pPr>
        <w:pStyle w:val="Heading2"/>
      </w:pPr>
      <w:r>
        <w:t>2. Objetivos</w:t>
      </w:r>
    </w:p>
    <w:p>
      <w:pPr>
        <w:pStyle w:val="ListBullet"/>
      </w:pPr>
      <w:r>
        <w:t>Receber áudios de múltiplos canais</w:t>
      </w:r>
    </w:p>
    <w:p>
      <w:pPr>
        <w:pStyle w:val="ListBullet"/>
      </w:pPr>
      <w:r>
        <w:t>Transcrever com alta precisão</w:t>
      </w:r>
    </w:p>
    <w:p>
      <w:pPr>
        <w:pStyle w:val="ListBullet"/>
      </w:pPr>
      <w:r>
        <w:t>Detectar idioma automaticamente</w:t>
      </w:r>
    </w:p>
    <w:p>
      <w:pPr>
        <w:pStyle w:val="ListBullet"/>
      </w:pPr>
      <w:r>
        <w:t>Gerar respostas em áudio naturais</w:t>
      </w:r>
    </w:p>
    <w:p>
      <w:pPr>
        <w:pStyle w:val="ListBullet"/>
      </w:pPr>
      <w:r>
        <w:t>Responder no mesmo canal de origem</w:t>
      </w:r>
    </w:p>
    <w:p>
      <w:pPr>
        <w:pStyle w:val="ListBullet"/>
      </w:pPr>
      <w:r>
        <w:t>Registrar transcrição e métricas</w:t>
      </w:r>
    </w:p>
    <w:p>
      <w:pPr>
        <w:pStyle w:val="Heading2"/>
      </w:pPr>
      <w:r>
        <w:t>3. Fluxo Técnico</w:t>
      </w:r>
    </w:p>
    <w:p>
      <w:r>
        <w:t>Canal → Download seguro → Armazenamento temporário → Conversão de formato → Speech-to-Text → IA → Text-to-Speech → Upload → Envio → Registro no CRM → Analytics.</w:t>
      </w:r>
    </w:p>
    <w:p>
      <w:pPr>
        <w:pStyle w:val="Heading2"/>
      </w:pPr>
      <w:r>
        <w:t>4. Componentes</w:t>
      </w:r>
    </w:p>
    <w:p>
      <w:pPr>
        <w:pStyle w:val="ListBullet"/>
      </w:pPr>
      <w:r>
        <w:t>Voice Gateway</w:t>
      </w:r>
    </w:p>
    <w:p>
      <w:pPr>
        <w:pStyle w:val="ListBullet"/>
      </w:pPr>
      <w:r>
        <w:t>Audio Storage</w:t>
      </w:r>
    </w:p>
    <w:p>
      <w:pPr>
        <w:pStyle w:val="ListBullet"/>
      </w:pPr>
      <w:r>
        <w:t>Audio Converter</w:t>
      </w:r>
    </w:p>
    <w:p>
      <w:pPr>
        <w:pStyle w:val="ListBullet"/>
      </w:pPr>
      <w:r>
        <w:t>Speech-to-Text Provider</w:t>
      </w:r>
    </w:p>
    <w:p>
      <w:pPr>
        <w:pStyle w:val="ListBullet"/>
      </w:pPr>
      <w:r>
        <w:t>Voice Orchestrator</w:t>
      </w:r>
    </w:p>
    <w:p>
      <w:pPr>
        <w:pStyle w:val="ListBullet"/>
      </w:pPr>
      <w:r>
        <w:t>Text-to-Speech Provider</w:t>
      </w:r>
    </w:p>
    <w:p>
      <w:pPr>
        <w:pStyle w:val="ListBullet"/>
      </w:pPr>
      <w:r>
        <w:t>Voice Profile Manager</w:t>
      </w:r>
    </w:p>
    <w:p>
      <w:pPr>
        <w:pStyle w:val="ListBullet"/>
      </w:pPr>
      <w:r>
        <w:t>Voice Cache</w:t>
      </w:r>
    </w:p>
    <w:p>
      <w:pPr>
        <w:pStyle w:val="ListBullet"/>
      </w:pPr>
      <w:r>
        <w:t>Voice Analytics</w:t>
      </w:r>
    </w:p>
    <w:p>
      <w:pPr>
        <w:pStyle w:val="Heading2"/>
      </w:pPr>
      <w:r>
        <w:t>5. Perfis de Voz</w:t>
      </w:r>
    </w:p>
    <w:p>
      <w:r>
        <w:t>Cada organização poderá configurar:</w:t>
        <w:br/>
        <w:t>- voz padrão;</w:t>
        <w:br/>
        <w:t>- idioma;</w:t>
        <w:br/>
        <w:t>- sotaque;</w:t>
        <w:br/>
        <w:t>- velocidade;</w:t>
        <w:br/>
        <w:t>- tom;</w:t>
        <w:br/>
        <w:t>- formalidade;</w:t>
        <w:br/>
        <w:t>- resposta em áudio, texto ou híbrida.</w:t>
      </w:r>
    </w:p>
    <w:p>
      <w:pPr>
        <w:pStyle w:val="Heading2"/>
      </w:pPr>
      <w:r>
        <w:t>6. Regras de Negócio</w:t>
      </w:r>
    </w:p>
    <w:p>
      <w:r>
        <w:t>• Responder em áudio quando configurado.</w:t>
        <w:br/>
        <w:t>• Preservar contexto da conversa.</w:t>
        <w:br/>
        <w:t>• Respeitar limite de duração configurável.</w:t>
        <w:br/>
        <w:t>• Registrar transcrição para pesquisa e auditoria.</w:t>
        <w:br/>
        <w:t>• Permitir revisão humana quando necessário.</w:t>
      </w:r>
    </w:p>
    <w:p>
      <w:pPr>
        <w:pStyle w:val="Heading2"/>
      </w:pPr>
      <w:r>
        <w:t>7. Segurança</w:t>
      </w:r>
    </w:p>
    <w:p>
      <w:r>
        <w:t>Áudios armazenados de forma privada, criptografia em repouso quando aplicável, URLs temporárias, controle de acesso por organização e política de retenção configurável.</w:t>
      </w:r>
    </w:p>
    <w:p>
      <w:pPr>
        <w:pStyle w:val="Heading2"/>
      </w:pPr>
      <w:r>
        <w:t>8. Métricas</w:t>
      </w:r>
    </w:p>
    <w:p>
      <w:pPr>
        <w:pStyle w:val="ListBullet"/>
      </w:pPr>
      <w:r>
        <w:t>Tempo de transcrição</w:t>
      </w:r>
    </w:p>
    <w:p>
      <w:pPr>
        <w:pStyle w:val="ListBullet"/>
      </w:pPr>
      <w:r>
        <w:t>Tempo de síntese</w:t>
      </w:r>
    </w:p>
    <w:p>
      <w:pPr>
        <w:pStyle w:val="ListBullet"/>
      </w:pPr>
      <w:r>
        <w:t>Latência total</w:t>
      </w:r>
    </w:p>
    <w:p>
      <w:pPr>
        <w:pStyle w:val="ListBullet"/>
      </w:pPr>
      <w:r>
        <w:t>Taxa de sucesso</w:t>
      </w:r>
    </w:p>
    <w:p>
      <w:pPr>
        <w:pStyle w:val="ListBullet"/>
      </w:pPr>
      <w:r>
        <w:t>Idioma detectado</w:t>
      </w:r>
    </w:p>
    <w:p>
      <w:pPr>
        <w:pStyle w:val="ListBullet"/>
      </w:pPr>
      <w:r>
        <w:t>Custo por áudio</w:t>
      </w:r>
    </w:p>
    <w:p>
      <w:pPr>
        <w:pStyle w:val="ListBullet"/>
      </w:pPr>
      <w:r>
        <w:t>Duração média</w:t>
      </w:r>
    </w:p>
    <w:p>
      <w:pPr>
        <w:pStyle w:val="ListBullet"/>
      </w:pPr>
      <w:r>
        <w:t>Erros de processamento</w:t>
      </w:r>
    </w:p>
    <w:p>
      <w:pPr>
        <w:pStyle w:val="Heading2"/>
      </w:pPr>
      <w:r>
        <w:t>9. Estratégia de Fallback</w:t>
      </w:r>
    </w:p>
    <w:p>
      <w:r>
        <w:t>Caso a transcrição falhe, registrar erro, tentar nova execução conforme política, solicitar novo áudio ao usuário ou encaminhar para atendimento humano.</w:t>
      </w:r>
    </w:p>
    <w:p>
      <w:pPr>
        <w:pStyle w:val="Heading2"/>
      </w:pPr>
      <w:r>
        <w:t>10. Critérios de Implementação</w:t>
      </w:r>
    </w:p>
    <w:p>
      <w:r>
        <w:t>Todo fluxo de voz deve possuir testes automatizados, monitoramento, logs estruturados, tratamento de falhas e possibilidade de troca de provedores sem alterar a lógica de negócio.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