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D6F" w:rsidRDefault="00DE0D6F" w:rsidP="00DE0D6F">
      <w:r>
        <w:t>A behajlási teknő alakját közelítő függvény: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30"/>
        <w:gridCol w:w="882"/>
      </w:tblGrid>
      <w:tr w:rsidR="00C837A0" w:rsidTr="00C837A0">
        <w:tc>
          <w:tcPr>
            <w:tcW w:w="8330" w:type="dxa"/>
            <w:vAlign w:val="center"/>
          </w:tcPr>
          <w:p w:rsidR="00C837A0" w:rsidRDefault="00C837A0" w:rsidP="00C837A0">
            <w:pPr>
              <w:jc w:val="center"/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α∙x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882" w:type="dxa"/>
            <w:vAlign w:val="center"/>
          </w:tcPr>
          <w:p w:rsidR="00C837A0" w:rsidRDefault="00C837A0" w:rsidP="00C837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</w:t>
            </w:r>
          </w:p>
        </w:tc>
      </w:tr>
    </w:tbl>
    <w:p w:rsidR="00DE0D6F" w:rsidRDefault="00DE0D6F" w:rsidP="00DE0D6F">
      <w:pPr>
        <w:rPr>
          <w:rFonts w:eastAsiaTheme="minorEastAsia"/>
        </w:rPr>
      </w:pPr>
      <w:proofErr w:type="gramStart"/>
      <w:r>
        <w:rPr>
          <w:rFonts w:eastAsiaTheme="minorEastAsia"/>
        </w:rPr>
        <w:t>ahol</w:t>
      </w:r>
      <w:proofErr w:type="gramEnd"/>
      <w:r>
        <w:rPr>
          <w:rFonts w:eastAsiaTheme="minorEastAsia"/>
        </w:rPr>
        <w:t>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7686"/>
      </w:tblGrid>
      <w:tr w:rsidR="00DE0D6F" w:rsidTr="00DE0D6F">
        <w:tc>
          <w:tcPr>
            <w:tcW w:w="1526" w:type="dxa"/>
          </w:tcPr>
          <w:p w:rsidR="00DE0D6F" w:rsidRDefault="004F07ED" w:rsidP="00DE0D6F">
            <w:pPr>
              <w:jc w:val="right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DE0D6F"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DE0D6F" w:rsidRDefault="00DE0D6F" w:rsidP="00DE0D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terhelt tárcsa alatti maximális behajlás (mm)</w:t>
            </w:r>
          </w:p>
        </w:tc>
      </w:tr>
      <w:tr w:rsidR="00DE0D6F" w:rsidTr="00DE0D6F">
        <w:tc>
          <w:tcPr>
            <w:tcW w:w="1526" w:type="dxa"/>
          </w:tcPr>
          <w:p w:rsidR="00DE0D6F" w:rsidRDefault="00DE0D6F" w:rsidP="00DE0D6F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DE0D6F" w:rsidRDefault="00DE0D6F" w:rsidP="00DE0D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terhelt tárcsa sugara (mm)</w:t>
            </w:r>
          </w:p>
        </w:tc>
      </w:tr>
      <w:tr w:rsidR="00DE0D6F" w:rsidTr="00DE0D6F">
        <w:tc>
          <w:tcPr>
            <w:tcW w:w="1526" w:type="dxa"/>
          </w:tcPr>
          <w:p w:rsidR="00DE0D6F" w:rsidRDefault="00DE0D6F" w:rsidP="00DE0D6F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α ,  β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DE0D6F" w:rsidRDefault="00DE0D6F" w:rsidP="00DE0D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alaktényezők</w:t>
            </w:r>
          </w:p>
        </w:tc>
      </w:tr>
      <w:tr w:rsidR="00DE0D6F" w:rsidTr="00DE0D6F">
        <w:tc>
          <w:tcPr>
            <w:tcW w:w="1526" w:type="dxa"/>
          </w:tcPr>
          <w:p w:rsidR="00DE0D6F" w:rsidRDefault="00DE0D6F" w:rsidP="00DE0D6F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DE0D6F" w:rsidRDefault="00DE0D6F" w:rsidP="00DE0D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terhelés középpontjától való távolság (mm)</w:t>
            </w:r>
          </w:p>
        </w:tc>
      </w:tr>
    </w:tbl>
    <w:p w:rsidR="00DE0D6F" w:rsidRDefault="00DE0D6F" w:rsidP="00DE0D6F">
      <w:pPr>
        <w:jc w:val="both"/>
        <w:rPr>
          <w:rFonts w:eastAsiaTheme="minorEastAsia"/>
        </w:rPr>
      </w:pPr>
    </w:p>
    <w:p w:rsidR="00E213FB" w:rsidRDefault="00DE0D6F" w:rsidP="00E213FB">
      <w:pPr>
        <w:ind w:firstLine="708"/>
        <w:jc w:val="both"/>
        <w:rPr>
          <w:rFonts w:eastAsiaTheme="minorEastAsia"/>
        </w:rPr>
      </w:pPr>
      <w:r>
        <w:rPr>
          <w:rFonts w:eastAsiaTheme="minorEastAsia"/>
        </w:rPr>
        <w:t>Az irodalomban sokféle függvényt javasolnak a behajlási teknő alakjának leírására, de közülük csak kevés tartalmazza a terhelt tárcsa sugarát (</w:t>
      </w:r>
      <w:r w:rsidRPr="00DE0D6F">
        <w:rPr>
          <w:rFonts w:eastAsiaTheme="minorEastAsia"/>
          <w:i/>
        </w:rPr>
        <w:t>r</w:t>
      </w:r>
      <w:r>
        <w:rPr>
          <w:rFonts w:eastAsiaTheme="minorEastAsia"/>
        </w:rPr>
        <w:t>), mint paraméter</w:t>
      </w:r>
      <w:r w:rsidR="00754A13">
        <w:rPr>
          <w:rFonts w:eastAsiaTheme="minorEastAsia"/>
        </w:rPr>
        <w:t>t</w:t>
      </w:r>
      <w:r>
        <w:rPr>
          <w:rFonts w:eastAsiaTheme="minorEastAsia"/>
        </w:rPr>
        <w:t xml:space="preserve">. Ennek megléte pedig több mint az illesztés fokát javító </w:t>
      </w:r>
      <w:r w:rsidR="00754A13">
        <w:rPr>
          <w:rFonts w:eastAsiaTheme="minorEastAsia"/>
        </w:rPr>
        <w:t>függvénybővítés,</w:t>
      </w:r>
      <w:r>
        <w:rPr>
          <w:rFonts w:eastAsiaTheme="minorEastAsia"/>
        </w:rPr>
        <w:t xml:space="preserve"> </w:t>
      </w:r>
      <w:r w:rsidR="00E213FB">
        <w:rPr>
          <w:rFonts w:eastAsiaTheme="minorEastAsia"/>
        </w:rPr>
        <w:t xml:space="preserve">hiszen az alkalmazott </w:t>
      </w:r>
      <w:r>
        <w:rPr>
          <w:rFonts w:eastAsiaTheme="minorEastAsia"/>
        </w:rPr>
        <w:t>tárcsa</w:t>
      </w:r>
      <w:r w:rsidR="00E213FB">
        <w:rPr>
          <w:rFonts w:eastAsiaTheme="minorEastAsia"/>
        </w:rPr>
        <w:t xml:space="preserve"> </w:t>
      </w:r>
      <w:r w:rsidR="00754A13">
        <w:rPr>
          <w:rFonts w:eastAsiaTheme="minorEastAsia"/>
        </w:rPr>
        <w:t>merevsége és nagysága függvényében</w:t>
      </w:r>
      <w:r w:rsidR="00E213FB">
        <w:rPr>
          <w:rFonts w:eastAsiaTheme="minorEastAsia"/>
        </w:rPr>
        <w:t xml:space="preserve"> adja át a pályaszerkezetre a</w:t>
      </w:r>
      <w:r>
        <w:rPr>
          <w:rFonts w:eastAsiaTheme="minorEastAsia"/>
        </w:rPr>
        <w:t xml:space="preserve"> </w:t>
      </w:r>
      <w:r w:rsidR="00E213FB">
        <w:rPr>
          <w:rFonts w:eastAsiaTheme="minorEastAsia"/>
        </w:rPr>
        <w:t>külső</w:t>
      </w:r>
      <w:r>
        <w:rPr>
          <w:rFonts w:eastAsiaTheme="minorEastAsia"/>
        </w:rPr>
        <w:t xml:space="preserve"> te</w:t>
      </w:r>
      <w:r w:rsidR="00754A13">
        <w:rPr>
          <w:rFonts w:eastAsiaTheme="minorEastAsia"/>
        </w:rPr>
        <w:t>rhelést, a létrejövő feszültségek pedig közvetlenül befolyásolják a behajlási teknő alakját.</w:t>
      </w:r>
    </w:p>
    <w:p w:rsidR="00DE0D6F" w:rsidRDefault="00DE0D6F" w:rsidP="00C837A0">
      <w:pPr>
        <w:ind w:firstLine="708"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Az </w:t>
      </w:r>
      <m:oMath>
        <m:r>
          <w:rPr>
            <w:rFonts w:ascii="Cambria Math" w:hAnsi="Cambria Math"/>
          </w:rPr>
          <m:t>α  é</m:t>
        </m:r>
        <w:proofErr w:type="gramEnd"/>
        <m:r>
          <w:rPr>
            <w:rFonts w:ascii="Cambria Math" w:hAnsi="Cambria Math"/>
          </w:rPr>
          <m:t>s β</m:t>
        </m:r>
      </m:oMath>
      <w:r>
        <w:rPr>
          <w:rFonts w:eastAsiaTheme="minorEastAsia"/>
        </w:rPr>
        <w:t xml:space="preserve"> alaktényezők </w:t>
      </w:r>
      <w:r w:rsidR="00E213FB">
        <w:rPr>
          <w:rFonts w:eastAsiaTheme="minorEastAsia"/>
        </w:rPr>
        <w:t>meghatározása</w:t>
      </w:r>
      <w:r w:rsidR="00E213FB" w:rsidRPr="00E213FB">
        <w:rPr>
          <w:i/>
          <w:iCs/>
          <w:color w:val="000000"/>
        </w:rPr>
        <w:t xml:space="preserve"> </w:t>
      </w:r>
      <w:r w:rsidR="00E213FB" w:rsidRPr="00E213FB">
        <w:rPr>
          <w:rFonts w:ascii="Calibri" w:eastAsia="Calibri" w:hAnsi="Calibri" w:cs="Times New Roman"/>
          <w:iCs/>
          <w:color w:val="000000"/>
        </w:rPr>
        <w:t>a legkisebb négyzetek módszeré</w:t>
      </w:r>
      <w:r w:rsidR="00E213FB" w:rsidRPr="00E213FB">
        <w:rPr>
          <w:iCs/>
          <w:color w:val="000000"/>
        </w:rPr>
        <w:t>vel</w:t>
      </w:r>
      <w:r w:rsidR="00E213FB">
        <w:rPr>
          <w:rFonts w:eastAsiaTheme="minorEastAsia"/>
        </w:rPr>
        <w:t>, a mért behajlási teknő adataiból lehetséges.</w:t>
      </w:r>
      <w:r w:rsidR="00C837A0">
        <w:rPr>
          <w:rFonts w:eastAsiaTheme="minorEastAsia"/>
        </w:rPr>
        <w:t xml:space="preserve"> </w:t>
      </w:r>
      <w:r>
        <w:rPr>
          <w:rFonts w:eastAsiaTheme="minorEastAsia"/>
        </w:rPr>
        <w:t>A számításhoz a</w:t>
      </w:r>
      <w:r w:rsidR="00C837A0">
        <w:rPr>
          <w:rFonts w:eastAsiaTheme="minorEastAsia"/>
        </w:rPr>
        <w:t>z (1)</w:t>
      </w:r>
      <w:proofErr w:type="spellStart"/>
      <w:r w:rsidR="00C837A0">
        <w:rPr>
          <w:rFonts w:eastAsiaTheme="minorEastAsia"/>
        </w:rPr>
        <w:t>-es</w:t>
      </w:r>
      <w:proofErr w:type="spellEnd"/>
      <w:r>
        <w:rPr>
          <w:rFonts w:eastAsiaTheme="minorEastAsia"/>
        </w:rPr>
        <w:t xml:space="preserve"> összefüggést </w:t>
      </w:r>
      <w:r w:rsidR="00C837A0">
        <w:rPr>
          <w:rFonts w:eastAsiaTheme="minorEastAsia"/>
        </w:rPr>
        <w:t xml:space="preserve">először </w:t>
      </w:r>
      <w:r>
        <w:rPr>
          <w:rFonts w:eastAsiaTheme="minorEastAsia"/>
        </w:rPr>
        <w:t xml:space="preserve">lineáris alakra </w:t>
      </w:r>
      <w:r w:rsidR="00C837A0">
        <w:rPr>
          <w:rFonts w:eastAsiaTheme="minorEastAsia"/>
        </w:rPr>
        <w:t>kell hoznunk</w:t>
      </w:r>
      <w:r>
        <w:rPr>
          <w:rFonts w:eastAsiaTheme="minorEastAsia"/>
        </w:rPr>
        <w:t>, azaz</w:t>
      </w:r>
    </w:p>
    <w:p w:rsidR="00DE0D6F" w:rsidRDefault="004F07ED" w:rsidP="00DE0D6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α∙x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DE0D6F" w:rsidRDefault="00DE0D6F" w:rsidP="00DE0D6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β∙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+ β∙</m:t>
          </m:r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 xml:space="preserve">(x)= 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DE0D6F" w:rsidRDefault="00DE0D6F" w:rsidP="00E2650E">
      <w:pPr>
        <w:ind w:firstLine="708"/>
        <w:rPr>
          <w:rFonts w:eastAsiaTheme="minorEastAsia"/>
        </w:rPr>
      </w:pPr>
      <w:r>
        <w:rPr>
          <w:rFonts w:eastAsiaTheme="minorEastAsia"/>
        </w:rPr>
        <w:t>A fenti formából már látható az egyenes egyenlete, a következő helyettesítéseket hajthatjuk végre</w:t>
      </w:r>
      <w:r w:rsidR="00E2650E">
        <w:rPr>
          <w:rFonts w:eastAsiaTheme="minorEastAsia"/>
        </w:rPr>
        <w:t>:</w:t>
      </w:r>
    </w:p>
    <w:p w:rsidR="00DE0D6F" w:rsidRDefault="00DE0D6F" w:rsidP="00DE0D6F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b= </m:t>
        </m:r>
        <m:r>
          <w:rPr>
            <w:rFonts w:ascii="Cambria Math" w:hAnsi="Cambria Math"/>
          </w:rPr>
          <m:t>β∙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func>
      </m:oMath>
      <w:r w:rsidR="00E2650E">
        <w:rPr>
          <w:rFonts w:eastAsiaTheme="minorEastAsia"/>
        </w:rPr>
        <w:tab/>
      </w:r>
      <w:r w:rsidR="00E2650E">
        <w:rPr>
          <w:rFonts w:eastAsiaTheme="minorEastAsia"/>
        </w:rPr>
        <w:tab/>
      </w:r>
      <w:proofErr w:type="gramStart"/>
      <w:r w:rsidR="00E2650E">
        <w:rPr>
          <w:rFonts w:eastAsiaTheme="minorEastAsia"/>
        </w:rPr>
        <w:t>és</w:t>
      </w:r>
      <w:proofErr w:type="gramEnd"/>
      <w:r w:rsidR="00E2650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m= </m:t>
        </m:r>
        <m:r>
          <w:rPr>
            <w:rFonts w:ascii="Cambria Math" w:hAnsi="Cambria Math"/>
          </w:rPr>
          <m:t>β</m:t>
        </m:r>
      </m:oMath>
    </w:p>
    <w:p w:rsidR="00DE0D6F" w:rsidRDefault="00DE0D6F" w:rsidP="00DE0D6F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E2650E">
        <w:rPr>
          <w:rFonts w:eastAsiaTheme="minorEastAsia"/>
        </w:rPr>
        <w:tab/>
      </w:r>
      <w:r w:rsidR="00E2650E">
        <w:rPr>
          <w:rFonts w:eastAsiaTheme="minorEastAsia"/>
        </w:rPr>
        <w:tab/>
      </w:r>
      <w:proofErr w:type="gramStart"/>
      <w:r w:rsidR="00E2650E">
        <w:rPr>
          <w:rFonts w:eastAsiaTheme="minorEastAsia"/>
        </w:rPr>
        <w:t>és</w:t>
      </w:r>
      <w:proofErr w:type="gramEnd"/>
      <w:r w:rsidR="00E2650E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den>
            </m:f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:rsidR="00B45192" w:rsidRDefault="00B45192" w:rsidP="00DE0D6F">
      <w:pPr>
        <w:rPr>
          <w:rFonts w:eastAsiaTheme="minorEastAsia"/>
        </w:rPr>
      </w:pPr>
      <w:proofErr w:type="gramStart"/>
      <w:r>
        <w:rPr>
          <w:rFonts w:eastAsiaTheme="minorEastAsia"/>
        </w:rPr>
        <w:t>ahol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i=1,2,…,n</m:t>
        </m:r>
      </m:oMath>
      <w:r w:rsidR="00617959">
        <w:rPr>
          <w:rFonts w:eastAsiaTheme="minorEastAsia"/>
        </w:rPr>
        <w:t xml:space="preserve"> a s</w:t>
      </w:r>
      <w:r>
        <w:rPr>
          <w:rFonts w:eastAsiaTheme="minorEastAsia"/>
        </w:rPr>
        <w:t>zenzortávolságok és a mért behajlásértékek sorszámát jelenti.</w:t>
      </w:r>
    </w:p>
    <w:p w:rsidR="00DE0D6F" w:rsidRDefault="00DE0D6F" w:rsidP="00A33C8F">
      <w:pPr>
        <w:ind w:firstLine="708"/>
        <w:jc w:val="both"/>
        <w:rPr>
          <w:rFonts w:eastAsiaTheme="minorEastAsia"/>
        </w:rPr>
      </w:pPr>
      <w:r>
        <w:rPr>
          <w:rFonts w:eastAsiaTheme="minorEastAsia"/>
        </w:rPr>
        <w:t xml:space="preserve">Behelyettesítve a fenti egyenletbe kapjuk a jól ismert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+b</m:t>
        </m:r>
      </m:oMath>
      <w:r w:rsidR="00752DFC">
        <w:rPr>
          <w:rFonts w:eastAsiaTheme="minorEastAsia"/>
        </w:rPr>
        <w:t xml:space="preserve"> alakú egyenes egyenletét.  A regresszió-számítás során a tárcsa alatti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52DFC">
        <w:rPr>
          <w:rFonts w:eastAsiaTheme="minorEastAsia"/>
        </w:rPr>
        <w:t xml:space="preserve"> behajlásértéket nem vesszük számításba</w:t>
      </w:r>
      <m:oMath>
        <m:r>
          <w:rPr>
            <w:rFonts w:ascii="Cambria Math" w:eastAsiaTheme="minorEastAsia" w:hAnsi="Cambria Math"/>
          </w:rPr>
          <m:t xml:space="preserve"> (i≠0)</m:t>
        </m:r>
      </m:oMath>
      <w:r w:rsidR="00617959">
        <w:rPr>
          <w:rFonts w:eastAsiaTheme="minorEastAsia"/>
        </w:rPr>
        <w:t xml:space="preserve"> </w:t>
      </w:r>
      <w:r w:rsidR="00752DFC">
        <w:rPr>
          <w:rFonts w:eastAsiaTheme="minorEastAsia"/>
        </w:rPr>
        <w:t>mivel azon a függvény</w:t>
      </w:r>
      <w:r w:rsidR="00A33C8F">
        <w:rPr>
          <w:rFonts w:eastAsiaTheme="minorEastAsia"/>
        </w:rPr>
        <w:t xml:space="preserve"> egyértelműen áthalad. Annak ellenére, hogy az így meghatározott függvény igen jól leírja a behajlási teknő alakját, a későbbi számítások és matematikai problémák elkerülésének érdekében célszerű a </w:t>
      </w:r>
      <m:oMath>
        <m:r>
          <w:rPr>
            <w:rFonts w:ascii="Cambria Math" w:hAnsi="Cambria Math"/>
          </w:rPr>
          <m:t>β=2</m:t>
        </m:r>
      </m:oMath>
      <w:r w:rsidR="00A33C8F">
        <w:rPr>
          <w:rFonts w:eastAsiaTheme="minorEastAsia"/>
        </w:rPr>
        <w:t xml:space="preserve"> alaktényező értéket előre rögzíteni és így </w:t>
      </w:r>
      <w:proofErr w:type="gramStart"/>
      <w:r w:rsidR="00A33C8F">
        <w:rPr>
          <w:rFonts w:eastAsiaTheme="minorEastAsia"/>
        </w:rPr>
        <w:t>a</w:t>
      </w:r>
      <w:proofErr w:type="gramEnd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30"/>
        <w:gridCol w:w="882"/>
      </w:tblGrid>
      <w:tr w:rsidR="00B204CF" w:rsidTr="00261A42">
        <w:tc>
          <w:tcPr>
            <w:tcW w:w="8330" w:type="dxa"/>
            <w:vAlign w:val="center"/>
          </w:tcPr>
          <w:p w:rsidR="00B204CF" w:rsidRDefault="00B204CF" w:rsidP="00B204C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c∙x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:rsidR="00B204CF" w:rsidRDefault="00B204CF" w:rsidP="00261A42">
            <w:pPr>
              <w:jc w:val="center"/>
              <w:rPr>
                <w:rFonts w:eastAsiaTheme="minorEastAsia"/>
              </w:rPr>
            </w:pPr>
          </w:p>
        </w:tc>
        <w:tc>
          <w:tcPr>
            <w:tcW w:w="882" w:type="dxa"/>
            <w:vAlign w:val="center"/>
          </w:tcPr>
          <w:p w:rsidR="00B204CF" w:rsidRDefault="00B204CF" w:rsidP="00B204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</w:t>
            </w:r>
          </w:p>
        </w:tc>
      </w:tr>
    </w:tbl>
    <w:p w:rsidR="002C04B0" w:rsidRDefault="00A33C8F" w:rsidP="002C04B0">
      <w:pPr>
        <w:rPr>
          <w:rFonts w:eastAsiaTheme="minorEastAsia"/>
        </w:rPr>
      </w:pPr>
      <w:proofErr w:type="gramStart"/>
      <w:r>
        <w:rPr>
          <w:rFonts w:eastAsiaTheme="minorEastAsia"/>
        </w:rPr>
        <w:t>alakú</w:t>
      </w:r>
      <w:proofErr w:type="gramEnd"/>
      <w:r>
        <w:rPr>
          <w:rFonts w:eastAsiaTheme="minorEastAsia"/>
        </w:rPr>
        <w:t xml:space="preserve"> függvényt alkalmazni, </w:t>
      </w:r>
      <w:r w:rsidR="002C04B0">
        <w:rPr>
          <w:rFonts w:eastAsiaTheme="minorEastAsia"/>
        </w:rPr>
        <w:t>ahol: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7686"/>
      </w:tblGrid>
      <w:tr w:rsidR="002C04B0" w:rsidTr="00AD7227">
        <w:tc>
          <w:tcPr>
            <w:tcW w:w="1526" w:type="dxa"/>
          </w:tcPr>
          <w:p w:rsidR="002C04B0" w:rsidRDefault="004F07ED" w:rsidP="00A33C8F">
            <w:pPr>
              <w:jc w:val="right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2C04B0"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2C04B0" w:rsidRDefault="002C04B0" w:rsidP="00AD72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terhelt tárcsa alatti maximális behajlás (mm)</w:t>
            </w:r>
          </w:p>
        </w:tc>
      </w:tr>
      <w:tr w:rsidR="002C04B0" w:rsidTr="00AD7227">
        <w:tc>
          <w:tcPr>
            <w:tcW w:w="1526" w:type="dxa"/>
          </w:tcPr>
          <w:p w:rsidR="002C04B0" w:rsidRDefault="002C04B0" w:rsidP="00AD7227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2C04B0" w:rsidRDefault="002C04B0" w:rsidP="00AD72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terhelt tárcsa sugara (mm)</w:t>
            </w:r>
          </w:p>
        </w:tc>
      </w:tr>
      <w:tr w:rsidR="002C04B0" w:rsidTr="00AD7227">
        <w:tc>
          <w:tcPr>
            <w:tcW w:w="1526" w:type="dxa"/>
          </w:tcPr>
          <w:p w:rsidR="002C04B0" w:rsidRDefault="002C04B0" w:rsidP="00AD7227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w:lastRenderedPageBreak/>
                <m:t>c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2C04B0" w:rsidRDefault="00A33C8F" w:rsidP="00AD72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összevont </w:t>
            </w:r>
            <w:r w:rsidR="002C04B0">
              <w:rPr>
                <w:rFonts w:eastAsiaTheme="minorEastAsia"/>
              </w:rPr>
              <w:t>alaktényező</w:t>
            </w:r>
          </w:p>
        </w:tc>
      </w:tr>
      <w:tr w:rsidR="002C04B0" w:rsidTr="00AD7227">
        <w:tc>
          <w:tcPr>
            <w:tcW w:w="1526" w:type="dxa"/>
          </w:tcPr>
          <w:p w:rsidR="002C04B0" w:rsidRDefault="002C04B0" w:rsidP="00AD7227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2C04B0" w:rsidRDefault="002C04B0" w:rsidP="00AD72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terhelés középpontjától való távolság (mm)</w:t>
            </w:r>
          </w:p>
        </w:tc>
      </w:tr>
    </w:tbl>
    <w:p w:rsidR="00B204CF" w:rsidRDefault="00B204CF" w:rsidP="00020C6B"/>
    <w:p w:rsidR="00B204CF" w:rsidRDefault="00B204CF" w:rsidP="00B737F8">
      <w:pPr>
        <w:ind w:firstLine="708"/>
        <w:jc w:val="both"/>
        <w:rPr>
          <w:rFonts w:eastAsiaTheme="minorEastAsia"/>
        </w:rPr>
      </w:pPr>
      <w:proofErr w:type="gramStart"/>
      <w:r>
        <w:t>A</w:t>
      </w:r>
      <w:proofErr w:type="gramEnd"/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alaktényező meghatározása a már előbb ismertetett módon történhet azzal a különbséggel, hogy az illesztett egyenes meredeksége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t xml:space="preserve"> formában előre rögzített, a tengelymetszet pedig </w:t>
      </w:r>
      <m:oMath>
        <m:r>
          <w:rPr>
            <w:rFonts w:ascii="Cambria Math" w:hAnsi="Cambria Math"/>
          </w:rPr>
          <m:t>b=</m:t>
        </m:r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(c)</m:t>
        </m:r>
      </m:oMath>
      <w:r>
        <w:rPr>
          <w:rFonts w:eastAsiaTheme="minorEastAsia"/>
        </w:rPr>
        <w:t>.</w:t>
      </w:r>
      <w:r w:rsidR="00B737F8">
        <w:rPr>
          <w:rFonts w:eastAsiaTheme="minorEastAsia"/>
        </w:rPr>
        <w:t xml:space="preserve"> Itt érdemes megemlítenünk, hogy mivel a meredekség előre rögzített</w:t>
      </w:r>
      <w:r w:rsidR="00E86716">
        <w:rPr>
          <w:rFonts w:eastAsiaTheme="minorEastAsia"/>
        </w:rPr>
        <w:t>,</w:t>
      </w:r>
      <w:r w:rsidR="00B737F8">
        <w:rPr>
          <w:rFonts w:eastAsiaTheme="minorEastAsia"/>
        </w:rPr>
        <w:t xml:space="preserve"> ezért nem célszerű az összes szenzortávolság adatait felhasználni a </w:t>
      </w:r>
      <m:oMath>
        <m:r>
          <w:rPr>
            <w:rFonts w:ascii="Cambria Math" w:hAnsi="Cambria Math"/>
          </w:rPr>
          <m:t>b</m:t>
        </m:r>
      </m:oMath>
      <w:r w:rsidR="00B737F8">
        <w:rPr>
          <w:rFonts w:eastAsiaTheme="minorEastAsia"/>
        </w:rPr>
        <w:t xml:space="preserve"> paraméter becslése során</w:t>
      </w:r>
      <w:r w:rsidR="00AB587F">
        <w:rPr>
          <w:rFonts w:eastAsiaTheme="minorEastAsia"/>
        </w:rPr>
        <w:t>,</w:t>
      </w:r>
      <w:r w:rsidR="00B737F8">
        <w:rPr>
          <w:rFonts w:eastAsiaTheme="minorEastAsia"/>
        </w:rPr>
        <w:t xml:space="preserve"> mivel akkor az illesztet függvény csak egy pontban fogja érinteni a mérési eredményeket, előtte és utána fölé vagy alá fogja becsülni azokat. Ezért helyesebben járunk el, ha az első </w:t>
      </w:r>
      <w:r w:rsidR="00E86716">
        <w:rPr>
          <w:rFonts w:eastAsiaTheme="minorEastAsia"/>
        </w:rPr>
        <w:t>5</w:t>
      </w:r>
      <w:r w:rsidR="00B737F8">
        <w:rPr>
          <w:rFonts w:eastAsiaTheme="minorEastAsia"/>
        </w:rPr>
        <w:t xml:space="preserve"> </w:t>
      </w:r>
      <w:r w:rsidR="00402290">
        <w:rPr>
          <w:rFonts w:eastAsiaTheme="minorEastAsia"/>
        </w:rPr>
        <w:t>szenzor adatait használjuk csak fel:</w:t>
      </w:r>
    </w:p>
    <w:p w:rsidR="00402290" w:rsidRDefault="00402290" w:rsidP="00B737F8">
      <w:pPr>
        <w:ind w:firstLine="708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3C10DA" w:rsidRDefault="003C10DA" w:rsidP="003C10DA">
      <w:pPr>
        <w:ind w:firstLine="708"/>
        <w:rPr>
          <w:rFonts w:eastAsiaTheme="minorEastAsia"/>
        </w:rPr>
      </w:pPr>
      <w:proofErr w:type="gramStart"/>
      <w:r>
        <w:rPr>
          <w:rFonts w:eastAsiaTheme="minorEastAsia"/>
        </w:rPr>
        <w:t>ahol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i=1,2,…,n</m:t>
        </m:r>
      </m:oMath>
      <w:r>
        <w:rPr>
          <w:rFonts w:eastAsiaTheme="minorEastAsia"/>
        </w:rPr>
        <w:t xml:space="preserve"> és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5</m:t>
        </m:r>
        <m:r>
          <w:rPr>
            <w:rFonts w:ascii="Cambria Math" w:eastAsiaTheme="minorEastAsia" w:hAnsi="Cambria Math"/>
          </w:rPr>
          <m:t>,  i≠0</m:t>
        </m:r>
      </m:oMath>
      <w:r w:rsidR="007E3B27">
        <w:rPr>
          <w:rFonts w:eastAsiaTheme="minorEastAsia"/>
        </w:rPr>
        <w:t xml:space="preserve"> </w:t>
      </w:r>
    </w:p>
    <w:p w:rsidR="002C04B0" w:rsidRPr="00E76EF2" w:rsidRDefault="00E76EF2" w:rsidP="00E76EF2">
      <w:pPr>
        <w:ind w:firstLine="708"/>
        <w:jc w:val="both"/>
      </w:pPr>
      <w:r>
        <w:t xml:space="preserve">A tapasztalatok alapján az így meghatározott függvény is kielégítő pontosságot biztosít a további számítások számára. </w:t>
      </w:r>
      <w:r w:rsidR="002C04B0">
        <w:t xml:space="preserve">A </w:t>
      </w:r>
      <m:oMath>
        <m:r>
          <w:rPr>
            <w:rFonts w:ascii="Cambria Math" w:hAnsi="Cambria Math"/>
          </w:rPr>
          <m:t>D=D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C04B0">
        <w:rPr>
          <w:rFonts w:eastAsiaTheme="minorEastAsia"/>
        </w:rPr>
        <w:t xml:space="preserve"> függvény </w:t>
      </w:r>
      <w:r w:rsidR="00DA2652">
        <w:rPr>
          <w:rFonts w:eastAsiaTheme="minorEastAsia"/>
        </w:rPr>
        <w:t>tetszőleges</w:t>
      </w:r>
      <w:r w:rsidR="00972113">
        <w:rPr>
          <w:rFonts w:eastAsiaTheme="minorEastAsia"/>
        </w:rPr>
        <w:t xml:space="preserve"> po</w:t>
      </w:r>
      <w:r w:rsidR="00DA2652">
        <w:rPr>
          <w:rFonts w:eastAsiaTheme="minorEastAsia"/>
        </w:rPr>
        <w:t>n</w:t>
      </w:r>
      <w:r w:rsidR="00972113">
        <w:rPr>
          <w:rFonts w:eastAsiaTheme="minorEastAsia"/>
        </w:rPr>
        <w:t>tjához tartozó simulókör görbületi sugarát</w:t>
      </w:r>
      <w:r w:rsidR="00DA2652">
        <w:rPr>
          <w:rFonts w:eastAsiaTheme="minorEastAsia"/>
        </w:rPr>
        <w:t xml:space="preserve"> az </w:t>
      </w:r>
      <w:r w:rsidR="002C04B0">
        <w:t>ismert összefüggéssel határozhatjuk meg:</w:t>
      </w:r>
    </w:p>
    <w:p w:rsidR="002C04B0" w:rsidRDefault="007A58CA" w:rsidP="00020C6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</m:oMath>
      </m:oMathPara>
    </w:p>
    <w:p w:rsidR="00084AA2" w:rsidRDefault="002041CC" w:rsidP="00A67E5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M</w:t>
      </w:r>
      <w:r w:rsidR="00084AA2" w:rsidRPr="00084AA2">
        <w:rPr>
          <w:rFonts w:cs="Times New Roman"/>
        </w:rPr>
        <w:t xml:space="preserve">ivel csak kis alakváltozásokat </w:t>
      </w:r>
      <w:r w:rsidR="00A67E56">
        <w:rPr>
          <w:rFonts w:cs="Times New Roman"/>
        </w:rPr>
        <w:t>jöhetnek létre</w:t>
      </w:r>
      <w:r w:rsidR="00084AA2" w:rsidRPr="00084AA2">
        <w:rPr>
          <w:rFonts w:cs="Times New Roman"/>
        </w:rPr>
        <w:t xml:space="preserve">, ezért </w:t>
      </w:r>
      <m:oMath>
        <m:r>
          <w:rPr>
            <w:rFonts w:ascii="Cambria Math" w:hAnsi="Cambria Math"/>
          </w:rPr>
          <m:t>φ</m:t>
        </m:r>
      </m:oMath>
      <w:r w:rsidR="00084AA2" w:rsidRPr="00084AA2">
        <w:rPr>
          <w:rFonts w:cs="Times New Roman"/>
          <w:sz w:val="14"/>
          <w:szCs w:val="14"/>
        </w:rPr>
        <w:t xml:space="preserve"> </w:t>
      </w:r>
      <w:r w:rsidR="00084AA2" w:rsidRPr="00084AA2">
        <w:rPr>
          <w:rFonts w:cs="Times New Roman"/>
        </w:rPr>
        <w:t xml:space="preserve">csak kicsi </w:t>
      </w:r>
      <w:r w:rsidR="00A67E56">
        <w:rPr>
          <w:rFonts w:cs="Times New Roman"/>
        </w:rPr>
        <w:t>értéket vehet fel</w:t>
      </w:r>
      <w:r w:rsidR="00084AA2" w:rsidRPr="00084AA2">
        <w:rPr>
          <w:rFonts w:cs="Times New Roman"/>
        </w:rPr>
        <w:t>, kis szögek tangense</w:t>
      </w:r>
      <w:r>
        <w:rPr>
          <w:rFonts w:cs="Times New Roman"/>
        </w:rPr>
        <w:t xml:space="preserve"> </w:t>
      </w:r>
      <w:r w:rsidR="00084AA2" w:rsidRPr="00084AA2">
        <w:rPr>
          <w:rFonts w:cs="Times New Roman"/>
        </w:rPr>
        <w:t>pedig jó közelíté</w:t>
      </w:r>
      <w:r>
        <w:rPr>
          <w:rFonts w:cs="Times New Roman"/>
        </w:rPr>
        <w:t xml:space="preserve">ssel megegyezik argumentumukkal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φ</m:t>
                </m:r>
              </m:e>
            </m:d>
          </m:e>
        </m:func>
        <m:r>
          <w:rPr>
            <w:rFonts w:ascii="Cambria Math"/>
          </w:rPr>
          <m:t>≈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≪</m:t>
        </m:r>
        <m:r>
          <m:rPr>
            <m:sty m:val="p"/>
          </m:rPr>
          <w:rPr>
            <w:rFonts w:ascii="Cambria Math"/>
          </w:rPr>
          <m:t>1</m:t>
        </m:r>
      </m:oMath>
      <w:r w:rsidRPr="00117955">
        <w:rPr>
          <w:rFonts w:eastAsiaTheme="minorEastAsia" w:cs="Times New Roman"/>
        </w:rPr>
        <w:t>, amelyről feltételezzük, hogy olyan kicsi mennyiség, hogy az egységnél lényegesen kisebb</w:t>
      </w:r>
      <w:r>
        <w:rPr>
          <w:rFonts w:eastAsiaTheme="minorEastAsia" w:cs="Times New Roman"/>
        </w:rPr>
        <w:t xml:space="preserve">, akkor </w:t>
      </w:r>
      <m:oMath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''</m:t>
            </m:r>
          </m:sup>
        </m:sSup>
      </m:oMath>
      <w:r>
        <w:rPr>
          <w:rFonts w:eastAsiaTheme="minorEastAsia" w:cs="Times New Roman"/>
        </w:rPr>
        <w:t xml:space="preserve"> függvénnyel közelíthetjük a fenti összefüggést:</w:t>
      </w:r>
    </w:p>
    <w:p w:rsidR="00A67E56" w:rsidRPr="00A67E56" w:rsidRDefault="00A67E56" w:rsidP="00A67E56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</w:rPr>
      </w:pPr>
    </w:p>
    <w:p w:rsidR="003063A7" w:rsidRDefault="008D3932" w:rsidP="003063A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c∙x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=-18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∙c∙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∙x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:rsidR="000F57AF" w:rsidRDefault="000F57AF" w:rsidP="003063A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</w:p>
    <w:p w:rsidR="002C04B0" w:rsidRPr="000F57AF" w:rsidRDefault="000F57AF" w:rsidP="000F57A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Times New Roman"/>
        </w:rPr>
      </w:pPr>
      <w:r w:rsidRPr="000F57AF">
        <w:rPr>
          <w:rFonts w:eastAsiaTheme="minorEastAsia" w:cs="Times New Roman"/>
        </w:rPr>
        <w:t xml:space="preserve">A görbület negatív előjele azt fejezi ki, hogy </w:t>
      </w:r>
      <w:r w:rsidRPr="000F57AF">
        <w:rPr>
          <w:rFonts w:cs="Times New Roman"/>
        </w:rPr>
        <w:t>pozitív hajlító nyomaték esetén a görbületi sugárral jellemzett simuló kör középpontja (</w:t>
      </w:r>
      <w:r w:rsidRPr="000F57AF">
        <w:rPr>
          <w:rFonts w:cs="Times New Roman"/>
          <w:i/>
        </w:rPr>
        <w:t>0</w:t>
      </w:r>
      <w:r w:rsidRPr="000F57AF">
        <w:rPr>
          <w:rFonts w:cs="Times New Roman"/>
        </w:rPr>
        <w:t xml:space="preserve"> pont) a rúdtengely </w:t>
      </w:r>
      <m:oMath>
        <m:r>
          <w:rPr>
            <w:rFonts w:cs="Times New Roman"/>
          </w:rPr>
          <m:t>-</m:t>
        </m:r>
        <m:r>
          <w:rPr>
            <w:rFonts w:ascii="Cambria Math" w:hAnsi="Cambria Math" w:cs="Times New Roman"/>
          </w:rPr>
          <m:t>D</m:t>
        </m:r>
      </m:oMath>
      <w:r w:rsidRPr="000F57AF">
        <w:rPr>
          <w:rFonts w:cs="Times New Roman"/>
        </w:rPr>
        <w:t xml:space="preserve"> irányítású oldalára esik.</w:t>
      </w:r>
      <w:r>
        <w:rPr>
          <w:rFonts w:cs="Times New Roman"/>
        </w:rPr>
        <w:t xml:space="preserve"> </w:t>
      </w:r>
      <w:r w:rsidR="00ED0A19">
        <w:rPr>
          <w:rFonts w:eastAsiaTheme="minorEastAsia"/>
        </w:rPr>
        <w:t xml:space="preserve">A </w:t>
      </w:r>
      <m:oMath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ED0A19">
        <w:rPr>
          <w:rFonts w:eastAsiaTheme="minorEastAsia"/>
        </w:rPr>
        <w:t xml:space="preserve"> függvénynek 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D0A19">
        <w:rPr>
          <w:rFonts w:eastAsiaTheme="minorEastAsia"/>
        </w:rPr>
        <w:t xml:space="preserve"> lokális szélsőértéke van, ha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κ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w:proofErr w:type="gramStart"/>
        <m:r>
          <m:rPr>
            <m:sty m:val="p"/>
          </m:rPr>
          <w:rPr>
            <w:rFonts w:ascii="Cambria Math" w:eastAsiaTheme="minorEastAsia" w:hAnsi="Cambria Math"/>
          </w:rPr>
          <m:t>0</m:t>
        </m:r>
        <w:proofErr w:type="gramEnd"/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="00ED0A19">
        <w:rPr>
          <w:rFonts w:eastAsiaTheme="minorEastAsia"/>
        </w:rPr>
        <w:t xml:space="preserve">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κ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≠0</m:t>
        </m:r>
      </m:oMath>
      <w:r w:rsidR="00ED0A19">
        <w:rPr>
          <w:rFonts w:eastAsiaTheme="minorEastAsia"/>
        </w:rPr>
        <w:t xml:space="preserve">.  Mivel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κ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'''</m:t>
            </m:r>
          </m:sup>
        </m:sSup>
      </m:oMath>
      <w:r w:rsidR="00ED0A19">
        <w:rPr>
          <w:rFonts w:eastAsiaTheme="minorEastAsia"/>
        </w:rPr>
        <w:t xml:space="preserve"> ezért:</w:t>
      </w:r>
    </w:p>
    <w:p w:rsidR="000F57AF" w:rsidRDefault="004F07ED" w:rsidP="000F57A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=72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:rsidR="000F57AF" w:rsidRDefault="000F57AF" w:rsidP="000F57A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</w:p>
    <w:p w:rsidR="002C04B0" w:rsidRPr="000F57AF" w:rsidRDefault="00F86A60" w:rsidP="00E870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</w:rPr>
      </w:pPr>
      <w:r>
        <w:t xml:space="preserve">Az egyenlet triviális megoldása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, míg a másik megoldásához a </w:t>
      </w:r>
      <m:oMath>
        <m:r>
          <w:rPr>
            <w:rFonts w:ascii="Cambria Math" w:hAnsi="Cambria Math"/>
          </w:rPr>
          <m:t>-c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egyenlőség megoldása útján juthatunk:</w:t>
      </w:r>
    </w:p>
    <w:p w:rsidR="000573E2" w:rsidRDefault="004F07ED" w:rsidP="00020C6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</m:oMath>
      </m:oMathPara>
    </w:p>
    <w:p w:rsidR="00AD7227" w:rsidRPr="00246F79" w:rsidRDefault="00FD66F1" w:rsidP="00133D8A">
      <w:pPr>
        <w:rPr>
          <w:rFonts w:eastAsiaTheme="minorEastAsia"/>
        </w:rPr>
      </w:pPr>
      <w:r>
        <w:t xml:space="preserve">A </w:t>
      </w:r>
      <w:r w:rsidR="00246F79">
        <w:t xml:space="preserve">maximális </w:t>
      </w:r>
      <w:r>
        <w:t xml:space="preserve">görbületi sugár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helyen:</w:t>
      </w:r>
      <w:r w:rsidR="00246F7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=-1,5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c∙D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:rsidR="00AD7227" w:rsidRDefault="00AD7227" w:rsidP="00AD7227">
      <w:r>
        <w:t xml:space="preserve">A </w:t>
      </w:r>
      <w:r w:rsidR="00246F79">
        <w:t xml:space="preserve">maximális </w:t>
      </w:r>
      <w:r>
        <w:t xml:space="preserve">görbületi sugár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w:proofErr w:type="gramStart"/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helyen</w:t>
      </w:r>
      <w:proofErr w:type="gramEnd"/>
      <w:r>
        <w:rPr>
          <w:rFonts w:eastAsiaTheme="minorEastAsia"/>
        </w:rPr>
        <w:t>:</w:t>
      </w:r>
      <w:r w:rsidR="00246F7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c∙D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=-4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415B9B">
        <w:rPr>
          <w:rFonts w:eastAsiaTheme="minorEastAsia"/>
        </w:rPr>
        <w:t xml:space="preserve"> </w:t>
      </w:r>
    </w:p>
    <w:p w:rsidR="00ED0A19" w:rsidRDefault="008D576B" w:rsidP="00E8704C">
      <w:pPr>
        <w:ind w:firstLine="708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A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függvénynek 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helyen inflexiós pontja van, ha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'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, és így az eddigiekhez hasonlóan a </w:t>
      </w:r>
      <m:oMath>
        <m:r>
          <w:rPr>
            <w:rFonts w:ascii="Cambria Math" w:hAnsi="Cambria Math"/>
          </w:rPr>
          <m:t>-c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egyenlőség megoldása szükséges:</w:t>
      </w:r>
    </w:p>
    <w:p w:rsidR="00ED0A19" w:rsidRPr="00E8704C" w:rsidRDefault="004F07ED" w:rsidP="00020C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rad>
            </m:den>
          </m:f>
        </m:oMath>
      </m:oMathPara>
    </w:p>
    <w:p w:rsidR="00E8704C" w:rsidRDefault="00E8704C" w:rsidP="00E8704C">
      <w:pPr>
        <w:ind w:firstLine="708"/>
        <w:jc w:val="both"/>
        <w:rPr>
          <w:rFonts w:eastAsiaTheme="minorEastAsia"/>
        </w:rPr>
      </w:pPr>
      <w:r>
        <w:t xml:space="preserve">A megnyúlás vagy összenyomódás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</m:oMath>
      <w:r>
        <w:rPr>
          <w:rFonts w:eastAsiaTheme="minorEastAsia"/>
        </w:rPr>
        <w:t xml:space="preserve"> dimenzió nélküli fajlagos alakváltozás, nagysága 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>
        <w:rPr>
          <w:rFonts w:eastAsiaTheme="minorEastAsia"/>
        </w:rPr>
        <w:t xml:space="preserve"> vastagságú pályaszerkezet alján a következő összefüggéssel számítható:</w:t>
      </w:r>
    </w:p>
    <w:p w:rsidR="00E8704C" w:rsidRDefault="00E8704C" w:rsidP="00020C6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κ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E43226" w:rsidRDefault="00E43226" w:rsidP="00E43226">
      <w:proofErr w:type="gramStart"/>
      <w:r>
        <w:rPr>
          <w:rFonts w:eastAsiaTheme="minorEastAsia"/>
        </w:rPr>
        <w:t>ahol</w:t>
      </w:r>
      <w:proofErr w:type="gramEnd"/>
      <w:r>
        <w:rPr>
          <w:rFonts w:eastAsiaTheme="minorEastAsia"/>
        </w:rPr>
        <w:t>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7686"/>
      </w:tblGrid>
      <w:tr w:rsidR="00E43226" w:rsidTr="00261A42">
        <w:tc>
          <w:tcPr>
            <w:tcW w:w="1526" w:type="dxa"/>
          </w:tcPr>
          <w:p w:rsidR="00E43226" w:rsidRDefault="00E43226" w:rsidP="00261A42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 xml:space="preserve">h </m:t>
              </m:r>
            </m:oMath>
            <w:r>
              <w:rPr>
                <w:rFonts w:eastAsiaTheme="minorEastAsia"/>
              </w:rPr>
              <w:t>=</w:t>
            </w:r>
          </w:p>
        </w:tc>
        <w:tc>
          <w:tcPr>
            <w:tcW w:w="7686" w:type="dxa"/>
          </w:tcPr>
          <w:p w:rsidR="00E43226" w:rsidRDefault="00E43226" w:rsidP="00E4322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kötött réteg vastagsága</w:t>
            </w:r>
          </w:p>
        </w:tc>
      </w:tr>
      <w:tr w:rsidR="00E43226" w:rsidTr="00261A42">
        <w:tc>
          <w:tcPr>
            <w:tcW w:w="1526" w:type="dxa"/>
          </w:tcPr>
          <w:p w:rsidR="00E43226" w:rsidRDefault="00E43226" w:rsidP="00261A42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ε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E43226" w:rsidRDefault="00E43226" w:rsidP="00E4322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 fajlagos alakváltozás a terhelés tengelyétől </w:t>
            </w:r>
            <w:r w:rsidRPr="0098164D">
              <w:rPr>
                <w:rFonts w:eastAsiaTheme="minorEastAsia"/>
                <w:i/>
              </w:rPr>
              <w:t>x</w:t>
            </w:r>
            <w:r>
              <w:rPr>
                <w:rFonts w:eastAsiaTheme="minorEastAsia"/>
              </w:rPr>
              <w:t xml:space="preserve"> távolságra</w:t>
            </w:r>
          </w:p>
        </w:tc>
      </w:tr>
      <w:tr w:rsidR="00E43226" w:rsidTr="00261A42">
        <w:tc>
          <w:tcPr>
            <w:tcW w:w="1526" w:type="dxa"/>
          </w:tcPr>
          <w:p w:rsidR="00E43226" w:rsidRDefault="00E43226" w:rsidP="00261A42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E43226" w:rsidRDefault="00E43226" w:rsidP="00261A4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görbület</w:t>
            </w:r>
            <w:r w:rsidR="00A63983">
              <w:rPr>
                <w:rFonts w:eastAsiaTheme="minorEastAsia"/>
              </w:rPr>
              <w:t>i sugár</w:t>
            </w:r>
            <w:r>
              <w:rPr>
                <w:rFonts w:eastAsiaTheme="minorEastAsia"/>
              </w:rPr>
              <w:t xml:space="preserve"> a terhelés tengelyétől </w:t>
            </w:r>
            <w:r w:rsidRPr="0098164D">
              <w:rPr>
                <w:rFonts w:eastAsiaTheme="minorEastAsia"/>
                <w:i/>
              </w:rPr>
              <w:t>x</w:t>
            </w:r>
            <w:r>
              <w:rPr>
                <w:rFonts w:eastAsiaTheme="minorEastAsia"/>
              </w:rPr>
              <w:t xml:space="preserve"> távolságra</w:t>
            </w:r>
          </w:p>
        </w:tc>
      </w:tr>
    </w:tbl>
    <w:p w:rsidR="00E43226" w:rsidRDefault="00A63983" w:rsidP="00E27B8B">
      <w:pPr>
        <w:ind w:firstLine="708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κ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=</w:t>
      </w:r>
      <w:r>
        <w:rPr>
          <w:rFonts w:eastAsiaTheme="minorEastAsia"/>
        </w:rPr>
        <w:tab/>
        <w:t xml:space="preserve"> 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görbület a terhelés tengelyétől </w:t>
      </w:r>
      <w:r w:rsidRPr="0098164D">
        <w:rPr>
          <w:rFonts w:eastAsiaTheme="minorEastAsia"/>
          <w:i/>
        </w:rPr>
        <w:t>x</w:t>
      </w:r>
      <w:r>
        <w:rPr>
          <w:rFonts w:eastAsiaTheme="minorEastAsia"/>
        </w:rPr>
        <w:t xml:space="preserve"> távolságra</w:t>
      </w:r>
    </w:p>
    <w:p w:rsidR="00E27B8B" w:rsidRDefault="00E27B8B" w:rsidP="00E27B8B">
      <w:pPr>
        <w:ind w:firstLine="708"/>
        <w:jc w:val="both"/>
        <w:rPr>
          <w:rFonts w:eastAsiaTheme="minorEastAsia"/>
        </w:rPr>
      </w:pPr>
      <w:r>
        <w:rPr>
          <w:rFonts w:eastAsiaTheme="minorEastAsia"/>
        </w:rPr>
        <w:t>Ha a terhelés hatására a kötött réteg keresztmetszetét állandónak és a semleges szál tengelyére merőlegesnek tételezzük fel, akkor a következő összefüggést írhatjuk fel:</w:t>
      </w:r>
    </w:p>
    <w:p w:rsidR="00E27B8B" w:rsidRDefault="00E27B8B" w:rsidP="00667220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ε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x,z</m:t>
            </m:r>
          </m:e>
        </m:d>
        <m:r>
          <w:rPr>
            <w:rFonts w:ascii="Cambria Math" w:eastAsiaTheme="minorEastAsia" w:hAnsi="Cambria Math"/>
          </w:rPr>
          <m:t>=κ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  <w:r w:rsidR="00667220">
        <w:rPr>
          <w:rFonts w:eastAsiaTheme="minorEastAsia"/>
        </w:rPr>
        <w:t xml:space="preserve"> </w:t>
      </w:r>
      <w:proofErr w:type="gramStart"/>
      <w:r w:rsidR="00667220">
        <w:rPr>
          <w:rFonts w:eastAsiaTheme="minorEastAsia"/>
        </w:rPr>
        <w:t>ahol</w:t>
      </w:r>
      <w:proofErr w:type="gramEnd"/>
      <w:r w:rsidR="0066722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z=0…h</m:t>
        </m:r>
      </m:oMath>
    </w:p>
    <w:p w:rsidR="00E8704C" w:rsidRPr="00A962D6" w:rsidRDefault="00E27B8B" w:rsidP="00A962D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MyriadPro-Light"/>
          <w:szCs w:val="19"/>
        </w:rPr>
      </w:pPr>
      <w:r>
        <w:rPr>
          <w:rFonts w:eastAsiaTheme="minorEastAsia"/>
        </w:rPr>
        <w:t xml:space="preserve">A kötött rétegre előírt feltételek csak akkor teljesülnek, ha a </w:t>
      </w:r>
      <w:proofErr w:type="spellStart"/>
      <w:r w:rsidRPr="00E27B8B">
        <w:rPr>
          <w:rFonts w:eastAsiaTheme="minorEastAsia"/>
          <w:i/>
        </w:rPr>
        <w:t>Hook</w:t>
      </w:r>
      <w:r>
        <w:rPr>
          <w:rFonts w:eastAsiaTheme="minorEastAsia"/>
        </w:rPr>
        <w:t>-törvény</w:t>
      </w:r>
      <w:proofErr w:type="spellEnd"/>
      <w:r>
        <w:rPr>
          <w:rFonts w:eastAsiaTheme="minorEastAsia"/>
        </w:rPr>
        <w:t xml:space="preserve"> fennáll és a rugalmassági modulusa nyomásra és húzásra is egyforma.</w:t>
      </w:r>
      <w:r w:rsidR="002B5415" w:rsidRPr="002B5415">
        <w:rPr>
          <w:rFonts w:cs="MyriadPro-Light"/>
          <w:szCs w:val="19"/>
        </w:rPr>
        <w:t xml:space="preserve"> </w:t>
      </w:r>
      <w:r w:rsidR="002B5415" w:rsidRPr="00082C26">
        <w:rPr>
          <w:rFonts w:cs="MyriadPro-Light"/>
          <w:szCs w:val="19"/>
        </w:rPr>
        <w:t xml:space="preserve">Fontos megemlítenünk, hogy például az </w:t>
      </w:r>
      <w:proofErr w:type="gramStart"/>
      <w:r w:rsidR="002B5415" w:rsidRPr="00082C26">
        <w:rPr>
          <w:rFonts w:cs="MyriadPro-Light"/>
          <w:szCs w:val="19"/>
        </w:rPr>
        <w:t>aszfalt nyomó-</w:t>
      </w:r>
      <w:proofErr w:type="gramEnd"/>
      <w:r w:rsidR="002B5415" w:rsidRPr="00082C26">
        <w:rPr>
          <w:rFonts w:cs="MyriadPro-Light"/>
          <w:szCs w:val="19"/>
        </w:rPr>
        <w:t xml:space="preserve"> és húzószilárdsága nagymértékben függ a hőmérséklettől. A nyomószilárdság alacsony hőmérsékleten a húzószilárdság nyolcszorosa is lehet. Ezért a rugalmassági modulus</w:t>
      </w:r>
      <w:r w:rsidR="002B5415">
        <w:rPr>
          <w:rFonts w:cs="MyriadPro-Light"/>
          <w:szCs w:val="19"/>
        </w:rPr>
        <w:t>ok</w:t>
      </w:r>
      <w:r w:rsidR="002B5415" w:rsidRPr="00082C26">
        <w:rPr>
          <w:rFonts w:cs="MyriadPro-Light"/>
          <w:szCs w:val="19"/>
        </w:rPr>
        <w:t xml:space="preserve"> is eltérőek húzásra és nyomásra. Ilyenkor nem lehet feltételezni a keresztmetszetek állandóságát mivel a semleges tengely a nyomott oldal felé tolódik el, amelynek következménye, hogy a feszültség a nyomott oldalon sokkal nagyobb, mint a húzott oldalon. E</w:t>
      </w:r>
      <w:r w:rsidR="002B5415">
        <w:rPr>
          <w:rFonts w:cs="MyriadPro-Light"/>
          <w:szCs w:val="19"/>
        </w:rPr>
        <w:t>zzel</w:t>
      </w:r>
      <w:r w:rsidR="002B5415" w:rsidRPr="00082C26">
        <w:rPr>
          <w:rFonts w:cs="MyriadPro-Light"/>
          <w:szCs w:val="19"/>
        </w:rPr>
        <w:t xml:space="preserve"> a problémá</w:t>
      </w:r>
      <w:r w:rsidR="002B5415">
        <w:rPr>
          <w:rFonts w:cs="MyriadPro-Light"/>
          <w:szCs w:val="19"/>
        </w:rPr>
        <w:t>val</w:t>
      </w:r>
      <w:r w:rsidR="002B5415" w:rsidRPr="00082C26">
        <w:rPr>
          <w:rFonts w:cs="MyriadPro-Light"/>
          <w:szCs w:val="19"/>
        </w:rPr>
        <w:t xml:space="preserve"> egy másik cikkben külön foglalkozunk majd.</w:t>
      </w:r>
      <w:r w:rsidR="00A962D6">
        <w:rPr>
          <w:rFonts w:cs="MyriadPro-Light"/>
          <w:szCs w:val="19"/>
        </w:rPr>
        <w:t xml:space="preserve"> Feltételezve a rugalmassági modulusok állandóságát a</w:t>
      </w:r>
      <w:r w:rsidR="00B17D99">
        <w:t xml:space="preserve"> radiális feszültség</w:t>
      </w:r>
      <w:r w:rsidR="00A962D6">
        <w:t xml:space="preserve"> nagysága</w:t>
      </w:r>
      <w:r w:rsidR="00B17D99">
        <w:t>:</w:t>
      </w:r>
    </w:p>
    <w:p w:rsidR="00B17D99" w:rsidRDefault="004F07ED" w:rsidP="00020C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1-μ</m:t>
              </m:r>
            </m:den>
          </m:f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x,z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κ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1-μ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:rsidR="00A962D6" w:rsidRDefault="00A962D6" w:rsidP="00020C6B">
      <w:proofErr w:type="gramStart"/>
      <w:r>
        <w:rPr>
          <w:rFonts w:eastAsiaTheme="minorEastAsia"/>
        </w:rPr>
        <w:t>ahol</w:t>
      </w:r>
      <w:proofErr w:type="gramEnd"/>
      <w:r>
        <w:rPr>
          <w:rFonts w:eastAsiaTheme="minorEastAsia"/>
        </w:rPr>
        <w:t>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7686"/>
      </w:tblGrid>
      <w:tr w:rsidR="002B5F90" w:rsidTr="00261A42">
        <w:tc>
          <w:tcPr>
            <w:tcW w:w="1526" w:type="dxa"/>
          </w:tcPr>
          <w:p w:rsidR="002B5F90" w:rsidRDefault="002B5F90" w:rsidP="002B5F90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 xml:space="preserve">E </m:t>
              </m:r>
            </m:oMath>
            <w:r>
              <w:rPr>
                <w:rFonts w:eastAsiaTheme="minorEastAsia"/>
              </w:rPr>
              <w:t>=</w:t>
            </w:r>
          </w:p>
        </w:tc>
        <w:tc>
          <w:tcPr>
            <w:tcW w:w="7686" w:type="dxa"/>
          </w:tcPr>
          <w:p w:rsidR="002B5F90" w:rsidRDefault="002B5F90" w:rsidP="002B5F9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 kötött réteg rugalmassági modulusa</w:t>
            </w:r>
          </w:p>
        </w:tc>
      </w:tr>
      <w:tr w:rsidR="002B5F90" w:rsidTr="00261A42">
        <w:tc>
          <w:tcPr>
            <w:tcW w:w="1526" w:type="dxa"/>
          </w:tcPr>
          <w:p w:rsidR="002B5F90" w:rsidRDefault="002B5F90" w:rsidP="00261A42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2B5F90" w:rsidRDefault="002B5F90" w:rsidP="004A49E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 kötött réteg </w:t>
            </w:r>
            <w:r w:rsidRPr="004A49EE">
              <w:rPr>
                <w:rFonts w:eastAsiaTheme="minorEastAsia"/>
                <w:i/>
              </w:rPr>
              <w:t>Poisson</w:t>
            </w:r>
            <w:r>
              <w:rPr>
                <w:rFonts w:eastAsiaTheme="minorEastAsia"/>
              </w:rPr>
              <w:t>-</w:t>
            </w:r>
            <w:r w:rsidR="004A49EE">
              <w:rPr>
                <w:rFonts w:eastAsiaTheme="minorEastAsia"/>
              </w:rPr>
              <w:t>tényezője</w:t>
            </w:r>
          </w:p>
        </w:tc>
      </w:tr>
      <w:tr w:rsidR="002B5F90" w:rsidTr="00261A42">
        <w:tc>
          <w:tcPr>
            <w:tcW w:w="1526" w:type="dxa"/>
          </w:tcPr>
          <w:p w:rsidR="002B5F90" w:rsidRDefault="002B5F90" w:rsidP="0098164D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ε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x,z</m:t>
                  </m:r>
                </m:e>
              </m:d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2B5F90" w:rsidRDefault="002B5F90" w:rsidP="00261A4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fajlagos alakváltozás</w:t>
            </w:r>
            <w:r w:rsidR="0098164D">
              <w:rPr>
                <w:rFonts w:eastAsiaTheme="minorEastAsia"/>
              </w:rPr>
              <w:t xml:space="preserve"> a terhelés tengelyétől </w:t>
            </w:r>
            <w:r w:rsidR="0098164D" w:rsidRPr="0098164D">
              <w:rPr>
                <w:rFonts w:eastAsiaTheme="minorEastAsia"/>
                <w:i/>
              </w:rPr>
              <w:t>x</w:t>
            </w:r>
            <w:r w:rsidR="0098164D">
              <w:rPr>
                <w:rFonts w:eastAsiaTheme="minorEastAsia"/>
              </w:rPr>
              <w:t xml:space="preserve"> távolságra és </w:t>
            </w:r>
            <w:r w:rsidR="0098164D" w:rsidRPr="0098164D">
              <w:rPr>
                <w:rFonts w:eastAsiaTheme="minorEastAsia"/>
                <w:i/>
              </w:rPr>
              <w:t>z</w:t>
            </w:r>
            <w:r w:rsidR="0098164D">
              <w:rPr>
                <w:rFonts w:eastAsiaTheme="minorEastAsia"/>
              </w:rPr>
              <w:t xml:space="preserve"> mélységben</w:t>
            </w:r>
          </w:p>
        </w:tc>
      </w:tr>
      <w:tr w:rsidR="002B5F90" w:rsidTr="00261A42">
        <w:tc>
          <w:tcPr>
            <w:tcW w:w="1526" w:type="dxa"/>
          </w:tcPr>
          <w:p w:rsidR="002B5F90" w:rsidRDefault="004A49EE" w:rsidP="00261A42">
            <w:pPr>
              <w:jc w:val="right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κ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oMath>
            <w:r w:rsidR="002B5F90">
              <w:rPr>
                <w:rFonts w:eastAsiaTheme="minorEastAsia"/>
              </w:rPr>
              <w:t xml:space="preserve"> =</w:t>
            </w:r>
          </w:p>
        </w:tc>
        <w:tc>
          <w:tcPr>
            <w:tcW w:w="7686" w:type="dxa"/>
          </w:tcPr>
          <w:p w:rsidR="002B5F90" w:rsidRDefault="002B5F90" w:rsidP="004A49E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 </w:t>
            </w:r>
            <w:r w:rsidR="004A49EE">
              <w:rPr>
                <w:rFonts w:eastAsiaTheme="minorEastAsia"/>
              </w:rPr>
              <w:t xml:space="preserve">görbület a terhelés tengelyétől </w:t>
            </w:r>
            <w:r w:rsidR="004A49EE" w:rsidRPr="0098164D">
              <w:rPr>
                <w:rFonts w:eastAsiaTheme="minorEastAsia"/>
                <w:i/>
              </w:rPr>
              <w:t>x</w:t>
            </w:r>
            <w:r w:rsidR="004A49EE">
              <w:rPr>
                <w:rFonts w:eastAsiaTheme="minorEastAsia"/>
              </w:rPr>
              <w:t xml:space="preserve"> távolságra</w:t>
            </w:r>
          </w:p>
        </w:tc>
      </w:tr>
    </w:tbl>
    <w:p w:rsidR="00E8704C" w:rsidRDefault="00E8704C" w:rsidP="00020C6B"/>
    <w:p w:rsidR="001A1A82" w:rsidRDefault="00626A9F" w:rsidP="001A1A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w'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∙3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626A9F" w:rsidRDefault="00626A9F" w:rsidP="001A1A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D2B4D" w:rsidRDefault="00AD2B4D" w:rsidP="001A1A82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  <m:r>
                    <w:rPr>
                      <w:rFonts w:ascii="Cambria Math" w:hAnsi="Cambria Math"/>
                    </w:rPr>
                    <m:t>∙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</m:oMath>
      </m:oMathPara>
    </w:p>
    <w:p w:rsidR="00AD2B4D" w:rsidRDefault="00AD2B4D" w:rsidP="001A1A82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R=3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626A9F" w:rsidRDefault="00626A9F" w:rsidP="001A1A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D2B4D" w:rsidRDefault="00AD2B4D" w:rsidP="00AD2B4D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w'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∙R∙P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+R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E57B49" w:rsidRDefault="00E57B49" w:rsidP="00E57B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26A9F" w:rsidRDefault="00626A9F" w:rsidP="00626A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1716" w:rsidRDefault="00BC1716" w:rsidP="00BC171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w''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∙R∙P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β+Rβ-P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-R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+R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:rsidR="0022306B" w:rsidRDefault="0022306B" w:rsidP="00BC171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1A1A82" w:rsidRDefault="004F07ED" w:rsidP="00555A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α∙x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3r</m:t>
              </m:r>
            </m:den>
          </m:f>
        </m:oMath>
      </m:oMathPara>
    </w:p>
    <w:p w:rsidR="00555A7D" w:rsidRDefault="0093466D" w:rsidP="0093466D">
      <w:pPr>
        <w:rPr>
          <w:rFonts w:eastAsiaTheme="minorEastAsia"/>
        </w:rPr>
      </w:pP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</w:t>
      </w:r>
      <w:r w:rsidR="003249C3">
        <w:rPr>
          <w:rFonts w:eastAsiaTheme="minorEastAsia"/>
        </w:rPr>
        <w:t>terhelt felület sugara</w:t>
      </w:r>
    </w:p>
    <w:p w:rsidR="0093466D" w:rsidRDefault="004F07ED" w:rsidP="0093466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=r+h∙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d>
            </m:e>
          </m:func>
        </m:oMath>
      </m:oMathPara>
    </w:p>
    <w:p w:rsidR="0018190E" w:rsidRDefault="0018190E" w:rsidP="0093466D">
      <w:pPr>
        <w:rPr>
          <w:rFonts w:eastAsiaTheme="minorEastAsia"/>
        </w:rPr>
      </w:pPr>
    </w:p>
    <w:p w:rsidR="0018190E" w:rsidRDefault="0018190E" w:rsidP="0018190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∙dx=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α∙x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e>
          </m:nary>
          <m:r>
            <w:rPr>
              <w:rFonts w:ascii="Cambria Math" w:eastAsiaTheme="minorEastAsia" w:hAnsi="Cambria Math"/>
            </w:rPr>
            <m:t>∙dx</m:t>
          </m:r>
        </m:oMath>
      </m:oMathPara>
    </w:p>
    <w:p w:rsidR="00006284" w:rsidRPr="00B657FE" w:rsidRDefault="004F07ED" w:rsidP="0018190E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E∙I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L-x</m:t>
              </m:r>
            </m:e>
          </m:d>
        </m:oMath>
      </m:oMathPara>
    </w:p>
    <w:p w:rsidR="00B657FE" w:rsidRPr="00B657FE" w:rsidRDefault="00B657FE" w:rsidP="00B657F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E∙I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L-x</m:t>
                      </m:r>
                    </m:e>
                  </m:d>
                </m:e>
              </m:nary>
            </m:e>
          </m:nary>
          <m:r>
            <w:rPr>
              <w:rFonts w:ascii="Cambria Math" w:hAnsi="Cambria Math"/>
            </w:rPr>
            <m:t>dx</m:t>
          </m:r>
        </m:oMath>
      </m:oMathPara>
    </w:p>
    <w:p w:rsidR="00122759" w:rsidRDefault="00122759" w:rsidP="00122759">
      <w:pPr>
        <w:spacing w:after="120"/>
        <w:jc w:val="both"/>
        <w:rPr>
          <w:sz w:val="24"/>
        </w:rPr>
      </w:pPr>
      <w:r>
        <w:rPr>
          <w:sz w:val="24"/>
        </w:rPr>
        <w:t xml:space="preserve">Alapfeltétel még, hogy a </w:t>
      </w:r>
      <w:proofErr w:type="gramStart"/>
      <w:r>
        <w:rPr>
          <w:i/>
          <w:sz w:val="24"/>
        </w:rPr>
        <w:t>q</w:t>
      </w:r>
      <w:r>
        <w:rPr>
          <w:sz w:val="24"/>
        </w:rPr>
        <w:t>(</w:t>
      </w:r>
      <w:proofErr w:type="gramEnd"/>
      <w:r>
        <w:rPr>
          <w:i/>
          <w:sz w:val="24"/>
        </w:rPr>
        <w:t>x</w:t>
      </w:r>
      <w:r>
        <w:rPr>
          <w:sz w:val="24"/>
        </w:rPr>
        <w:t>) talajreakció kielégítse a következő feltételt:</w:t>
      </w:r>
    </w:p>
    <w:p w:rsidR="00122759" w:rsidRDefault="00122759" w:rsidP="00122759">
      <w:pPr>
        <w:spacing w:after="120"/>
        <w:ind w:left="567" w:firstLine="284"/>
        <w:jc w:val="both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0≤q(x)≤r(x)</m:t>
          </m:r>
        </m:oMath>
      </m:oMathPara>
    </w:p>
    <w:p w:rsidR="00122759" w:rsidRDefault="00122759" w:rsidP="00122759">
      <w:pPr>
        <w:spacing w:after="120"/>
        <w:jc w:val="both"/>
        <w:rPr>
          <w:sz w:val="24"/>
        </w:rPr>
      </w:pPr>
      <w:proofErr w:type="gramStart"/>
      <w:r>
        <w:rPr>
          <w:sz w:val="24"/>
        </w:rPr>
        <w:t>ahol</w:t>
      </w:r>
      <w:proofErr w:type="gramEnd"/>
      <w:r>
        <w:rPr>
          <w:sz w:val="24"/>
        </w:rPr>
        <w:t xml:space="preserve"> </w:t>
      </w:r>
      <w:r>
        <w:rPr>
          <w:i/>
          <w:sz w:val="24"/>
        </w:rPr>
        <w:t>r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a talaj plasztikus határterhelése. Ez az összefüggés fejezi ki, hogy a talaj csak nyomóerőt tud átadni a burkolatra, és a nyomófeszültség nem lépheti túl a plasztikus határértékét.</w:t>
      </w:r>
    </w:p>
    <w:p w:rsidR="00B657FE" w:rsidRDefault="009C0A7A" w:rsidP="00D56ACE">
      <w:pPr>
        <w:rPr>
          <w:i/>
        </w:rPr>
      </w:pPr>
      <w:r>
        <w:rPr>
          <w:rFonts w:ascii="Calibri" w:eastAsia="Calibri" w:hAnsi="Calibri" w:cs="Times New Roman"/>
        </w:rPr>
        <w:t xml:space="preserve">A talajra fölfekvő lemezek vizsgálatánál a lemezre ható földterhek nyilvánvalóan reaktív terhek, </w:t>
      </w:r>
      <w:r w:rsidRPr="009C0A7A">
        <w:rPr>
          <w:rFonts w:ascii="Calibri" w:eastAsia="Calibri" w:hAnsi="Calibri" w:cs="Times New Roman"/>
          <w:i/>
        </w:rPr>
        <w:t>amelyeket a legtöbb vizsgálat a lemez felületére merőleges irányú teherként vesz figyelembe. Ez közelítés, mert a valóságban a talaj és a szerkezet közt nyíró feszültség is felléphet, de a nyírófeszültségek hatása általában nem jelentős.</w:t>
      </w:r>
    </w:p>
    <w:p w:rsidR="009C0A7A" w:rsidRDefault="009C0A7A" w:rsidP="00D56ACE">
      <w:pPr>
        <w:rPr>
          <w:sz w:val="24"/>
        </w:rPr>
      </w:pPr>
      <w:proofErr w:type="gramStart"/>
      <w:r>
        <w:rPr>
          <w:rFonts w:ascii="Calibri" w:eastAsia="Calibri" w:hAnsi="Calibri" w:cs="Times New Roman"/>
          <w:sz w:val="24"/>
        </w:rPr>
        <w:t>hiszen</w:t>
      </w:r>
      <w:proofErr w:type="gramEnd"/>
      <w:r>
        <w:rPr>
          <w:rFonts w:ascii="Calibri" w:eastAsia="Calibri" w:hAnsi="Calibri" w:cs="Times New Roman"/>
          <w:sz w:val="24"/>
        </w:rPr>
        <w:t xml:space="preserve"> a talaj és a lemez közti súrlódás miatt nyírófeszültségek is felléphetnek, amelyek a normálfeszültségek eloszlására is befolyással lehetnek</w:t>
      </w:r>
    </w:p>
    <w:p w:rsidR="009C0A7A" w:rsidRPr="00B657FE" w:rsidRDefault="009C0A7A" w:rsidP="00D56ACE">
      <w:pPr>
        <w:rPr>
          <w:rFonts w:eastAsiaTheme="minorEastAsia"/>
        </w:rPr>
      </w:pPr>
      <w:r>
        <w:rPr>
          <w:rFonts w:ascii="Calibri" w:eastAsia="Calibri" w:hAnsi="Calibri" w:cs="Times New Roman"/>
          <w:sz w:val="24"/>
        </w:rPr>
        <w:t xml:space="preserve">A lemezben hajítást okozó teher minden pontban a </w:t>
      </w:r>
      <w:r>
        <w:rPr>
          <w:rFonts w:ascii="Calibri" w:eastAsia="Calibri" w:hAnsi="Calibri" w:cs="Times New Roman"/>
          <w:i/>
          <w:sz w:val="24"/>
        </w:rPr>
        <w:t>p</w:t>
      </w:r>
      <w:r>
        <w:rPr>
          <w:rFonts w:ascii="Calibri" w:eastAsia="Calibri" w:hAnsi="Calibri" w:cs="Times New Roman"/>
          <w:sz w:val="24"/>
        </w:rPr>
        <w:t xml:space="preserve"> felületi teher és a </w:t>
      </w:r>
      <w:r>
        <w:rPr>
          <w:rFonts w:ascii="Calibri" w:eastAsia="Calibri" w:hAnsi="Calibri" w:cs="Times New Roman"/>
          <w:i/>
          <w:sz w:val="24"/>
        </w:rPr>
        <w:t>q</w:t>
      </w:r>
      <w:r>
        <w:rPr>
          <w:rFonts w:ascii="Calibri" w:eastAsia="Calibri" w:hAnsi="Calibri" w:cs="Times New Roman"/>
          <w:sz w:val="24"/>
        </w:rPr>
        <w:t xml:space="preserve"> ágyazási reakció </w:t>
      </w:r>
      <w:proofErr w:type="spellStart"/>
      <w:r>
        <w:rPr>
          <w:rFonts w:ascii="Calibri" w:eastAsia="Calibri" w:hAnsi="Calibri" w:cs="Times New Roman"/>
          <w:i/>
          <w:sz w:val="24"/>
        </w:rPr>
        <w:t>p-q</w:t>
      </w:r>
      <w:proofErr w:type="spellEnd"/>
      <w:r>
        <w:rPr>
          <w:rFonts w:ascii="Calibri" w:eastAsia="Calibri" w:hAnsi="Calibri" w:cs="Times New Roman"/>
          <w:sz w:val="24"/>
        </w:rPr>
        <w:t xml:space="preserve"> különbsége,</w:t>
      </w:r>
    </w:p>
    <w:sectPr w:rsidR="009C0A7A" w:rsidRPr="00B657FE" w:rsidSect="00416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A00002EF" w:usb1="420020EB" w:usb2="00000000" w:usb3="00000000" w:csb0="0000009F" w:csb1="00000000"/>
  </w:font>
  <w:font w:name="MyriadPro-Light"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characterSpacingControl w:val="doNotCompress"/>
  <w:compat/>
  <w:rsids>
    <w:rsidRoot w:val="009B0423"/>
    <w:rsid w:val="00006284"/>
    <w:rsid w:val="00020C6B"/>
    <w:rsid w:val="00037CC4"/>
    <w:rsid w:val="000573E2"/>
    <w:rsid w:val="00082C26"/>
    <w:rsid w:val="00084AA2"/>
    <w:rsid w:val="000D1086"/>
    <w:rsid w:val="000D40FB"/>
    <w:rsid w:val="000F57AF"/>
    <w:rsid w:val="00117955"/>
    <w:rsid w:val="00122759"/>
    <w:rsid w:val="00133D8A"/>
    <w:rsid w:val="0018190E"/>
    <w:rsid w:val="00195366"/>
    <w:rsid w:val="001A1A82"/>
    <w:rsid w:val="002041CC"/>
    <w:rsid w:val="0022306B"/>
    <w:rsid w:val="00223B2C"/>
    <w:rsid w:val="00246F79"/>
    <w:rsid w:val="00264639"/>
    <w:rsid w:val="002A7FAF"/>
    <w:rsid w:val="002B5415"/>
    <w:rsid w:val="002B5F90"/>
    <w:rsid w:val="002C04B0"/>
    <w:rsid w:val="002D4A96"/>
    <w:rsid w:val="003063A7"/>
    <w:rsid w:val="003106DC"/>
    <w:rsid w:val="00314372"/>
    <w:rsid w:val="003249C3"/>
    <w:rsid w:val="00337F7D"/>
    <w:rsid w:val="00364BA2"/>
    <w:rsid w:val="00372672"/>
    <w:rsid w:val="003C10DA"/>
    <w:rsid w:val="003D68A2"/>
    <w:rsid w:val="003F0D0A"/>
    <w:rsid w:val="00402290"/>
    <w:rsid w:val="00415B9B"/>
    <w:rsid w:val="00416B11"/>
    <w:rsid w:val="00423F7B"/>
    <w:rsid w:val="00425E83"/>
    <w:rsid w:val="004331CE"/>
    <w:rsid w:val="00483F43"/>
    <w:rsid w:val="004A49EE"/>
    <w:rsid w:val="004F07ED"/>
    <w:rsid w:val="00547CFC"/>
    <w:rsid w:val="00555A7D"/>
    <w:rsid w:val="005D26D8"/>
    <w:rsid w:val="005E17C3"/>
    <w:rsid w:val="005F3630"/>
    <w:rsid w:val="00617959"/>
    <w:rsid w:val="00626A9F"/>
    <w:rsid w:val="00634A73"/>
    <w:rsid w:val="00657CCA"/>
    <w:rsid w:val="00667220"/>
    <w:rsid w:val="006A789C"/>
    <w:rsid w:val="006E2230"/>
    <w:rsid w:val="0071269D"/>
    <w:rsid w:val="00752DFC"/>
    <w:rsid w:val="00754A13"/>
    <w:rsid w:val="007A58CA"/>
    <w:rsid w:val="007D598F"/>
    <w:rsid w:val="007E3B27"/>
    <w:rsid w:val="0084179B"/>
    <w:rsid w:val="008A3931"/>
    <w:rsid w:val="008D3932"/>
    <w:rsid w:val="008D576B"/>
    <w:rsid w:val="0093466D"/>
    <w:rsid w:val="00972113"/>
    <w:rsid w:val="0098164D"/>
    <w:rsid w:val="00991398"/>
    <w:rsid w:val="009A148F"/>
    <w:rsid w:val="009B0423"/>
    <w:rsid w:val="009B786C"/>
    <w:rsid w:val="009C0A7A"/>
    <w:rsid w:val="009C779F"/>
    <w:rsid w:val="009E3C09"/>
    <w:rsid w:val="00A13A61"/>
    <w:rsid w:val="00A31021"/>
    <w:rsid w:val="00A33C8F"/>
    <w:rsid w:val="00A344A1"/>
    <w:rsid w:val="00A43A30"/>
    <w:rsid w:val="00A45093"/>
    <w:rsid w:val="00A63983"/>
    <w:rsid w:val="00A64629"/>
    <w:rsid w:val="00A648A5"/>
    <w:rsid w:val="00A65E73"/>
    <w:rsid w:val="00A67E56"/>
    <w:rsid w:val="00A962D6"/>
    <w:rsid w:val="00AB587F"/>
    <w:rsid w:val="00AC6C3E"/>
    <w:rsid w:val="00AD2B4D"/>
    <w:rsid w:val="00AD7227"/>
    <w:rsid w:val="00AE60CC"/>
    <w:rsid w:val="00AF38A9"/>
    <w:rsid w:val="00B17D99"/>
    <w:rsid w:val="00B204CF"/>
    <w:rsid w:val="00B32F56"/>
    <w:rsid w:val="00B4095F"/>
    <w:rsid w:val="00B45192"/>
    <w:rsid w:val="00B657FE"/>
    <w:rsid w:val="00B737F8"/>
    <w:rsid w:val="00BB2948"/>
    <w:rsid w:val="00BC1716"/>
    <w:rsid w:val="00C837A0"/>
    <w:rsid w:val="00C94929"/>
    <w:rsid w:val="00CA653E"/>
    <w:rsid w:val="00CC3E83"/>
    <w:rsid w:val="00D56ACE"/>
    <w:rsid w:val="00D901E0"/>
    <w:rsid w:val="00DA2652"/>
    <w:rsid w:val="00DA6DFC"/>
    <w:rsid w:val="00DD0FBE"/>
    <w:rsid w:val="00DD529C"/>
    <w:rsid w:val="00DE0D6F"/>
    <w:rsid w:val="00E213FB"/>
    <w:rsid w:val="00E2650E"/>
    <w:rsid w:val="00E27B8B"/>
    <w:rsid w:val="00E37A25"/>
    <w:rsid w:val="00E43226"/>
    <w:rsid w:val="00E57B49"/>
    <w:rsid w:val="00E76EF2"/>
    <w:rsid w:val="00E86716"/>
    <w:rsid w:val="00E8704C"/>
    <w:rsid w:val="00E9455A"/>
    <w:rsid w:val="00ED0A19"/>
    <w:rsid w:val="00EF3B1C"/>
    <w:rsid w:val="00EF6081"/>
    <w:rsid w:val="00F76330"/>
    <w:rsid w:val="00F86A60"/>
    <w:rsid w:val="00FA1866"/>
    <w:rsid w:val="00FA3512"/>
    <w:rsid w:val="00FD66F1"/>
    <w:rsid w:val="00FF262F"/>
    <w:rsid w:val="00FF3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416B1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5E17C3"/>
    <w:rPr>
      <w:color w:val="8080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E1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E17C3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uiPriority w:val="59"/>
    <w:rsid w:val="00364B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996F8-E933-44AE-885E-A78C3A91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4</Pages>
  <Words>956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 Péter</dc:creator>
  <cp:lastModifiedBy>Primusz Péter</cp:lastModifiedBy>
  <cp:revision>96</cp:revision>
  <dcterms:created xsi:type="dcterms:W3CDTF">2007-12-25T10:46:00Z</dcterms:created>
  <dcterms:modified xsi:type="dcterms:W3CDTF">2008-09-21T19:36:00Z</dcterms:modified>
</cp:coreProperties>
</file>