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0F2942"/>
          <w:sz w:val="36"/>
        </w:rPr>
        <w:t>PRINCE CHAUHAN</w:t>
      </w:r>
    </w:p>
    <w:p>
      <w:pPr>
        <w:spacing w:before="0" w:after="40"/>
      </w:pPr>
      <w:r>
        <w:rPr>
          <w:rFonts w:ascii="Arial" w:hAnsi="Arial"/>
          <w:b/>
          <w:color w:val="1E3A5F"/>
          <w:sz w:val="19"/>
        </w:rPr>
        <w:t>Senior Quantitative Researcher | Options, Volatility &amp; Systematic Trading</w:t>
      </w:r>
    </w:p>
    <w:p>
      <w:pPr>
        <w:spacing w:before="0" w:after="40"/>
      </w:pPr>
      <w:r>
        <w:rPr>
          <w:rFonts w:ascii="Arial" w:hAnsi="Arial"/>
          <w:color w:val="1A202C"/>
          <w:sz w:val="17"/>
        </w:rPr>
        <w:t>New Delhi, India  |  +91-9650765343  |  pchauhanrajput.pc@gmail.com  |  linkedin.com/in/prince-chauhan-quant</w:t>
      </w:r>
    </w:p>
    <w:p>
      <w:pPr>
        <w:spacing w:before="0" w:after="70"/>
      </w:pPr>
      <w:r>
        <w:rPr>
          <w:rFonts w:ascii="Arial" w:hAnsi="Arial"/>
          <w:b/>
          <w:color w:val="0F2942"/>
          <w:sz w:val="17"/>
        </w:rPr>
        <w:t>github.com/prince-chauhan-pc/quant-research-portfolio  |  SEBI Registered Research Analyst</w:t>
      </w:r>
    </w:p>
    <w:p>
      <w:pPr>
        <w:keepNext/>
        <w:spacing w:before="170" w:after="50"/>
        <w:pBdr>
          <w:bottom w:val="single" w:sz="6" w:space="1" w:color="0F2942"/>
        </w:pBdr>
      </w:pPr>
      <w:r>
        <w:rPr>
          <w:rFonts w:ascii="Arial" w:hAnsi="Arial"/>
          <w:b/>
          <w:color w:val="0F2942"/>
          <w:sz w:val="20"/>
        </w:rPr>
        <w:t>PROFESSIONAL SUMMARY</w:t>
      </w:r>
    </w:p>
    <w:p>
      <w:pPr>
        <w:spacing w:before="60" w:after="110"/>
      </w:pPr>
      <w:r>
        <w:rPr>
          <w:rFonts w:ascii="Arial" w:hAnsi="Arial"/>
          <w:color w:val="1A202C"/>
          <w:sz w:val="19"/>
        </w:rPr>
        <w:t>Derivatives research professional with 9+ years of experience spanning options trading, market analysis, and systematic strategy development. Combines deep institutional derivatives expertise with AI-augmented quantitative engineering to design, prototype, and rigorously validate production alpha and execution pipelines across Indian equity derivatives and US index options. Experienced in production alpha validation, multi-crore SPAN margin allocation, and automated research architectures.</w:t>
      </w:r>
    </w:p>
    <w:p>
      <w:pPr>
        <w:keepNext/>
        <w:spacing w:before="170" w:after="50"/>
        <w:pBdr>
          <w:bottom w:val="single" w:sz="6" w:space="1" w:color="0F2942"/>
        </w:pBdr>
      </w:pPr>
      <w:r>
        <w:rPr>
          <w:rFonts w:ascii="Arial" w:hAnsi="Arial"/>
          <w:b/>
          <w:color w:val="0F2942"/>
          <w:sz w:val="20"/>
        </w:rPr>
        <w:t>PROFESSIONAL EXPERIENCE</w:t>
      </w:r>
    </w:p>
    <w:p>
      <w:pPr>
        <w:keepNext/>
        <w:spacing w:before="100" w:after="40"/>
      </w:pPr>
      <w:r>
        <w:rPr>
          <w:rFonts w:ascii="Arial" w:hAnsi="Arial"/>
          <w:b/>
          <w:color w:val="0F2942"/>
          <w:sz w:val="19"/>
        </w:rPr>
        <w:t xml:space="preserve">SMC Global Securities Ltd. - </w:t>
      </w:r>
      <w:r>
        <w:rPr>
          <w:rFonts w:ascii="Arial" w:hAnsi="Arial"/>
          <w:i/>
          <w:sz w:val="19"/>
        </w:rPr>
        <w:t>Senior Quantitative Analyst &amp; Researcher</w:t>
      </w:r>
      <w:r>
        <w:rPr>
          <w:rFonts w:ascii="Arial" w:hAnsi="Arial"/>
          <w:b/>
          <w:color w:val="1E3A5F"/>
          <w:sz w:val="18"/>
        </w:rPr>
        <w:t xml:space="preserve">  |  Dec 2024 - Present</w:t>
      </w:r>
    </w:p>
    <w:p>
      <w:pPr>
        <w:spacing w:before="0" w:after="76"/>
        <w:ind w:left="240" w:hanging="240"/>
      </w:pPr>
      <w:r>
        <w:rPr>
          <w:rFonts w:ascii="Arial" w:hAnsi="Arial"/>
          <w:b/>
          <w:color w:val="0F2942"/>
          <w:sz w:val="19"/>
        </w:rPr>
        <w:t xml:space="preserve">•  </w:t>
      </w:r>
      <w:r>
        <w:rPr>
          <w:rFonts w:ascii="Arial" w:hAnsi="Arial"/>
          <w:b/>
          <w:color w:val="0F2942"/>
          <w:sz w:val="19"/>
        </w:rPr>
        <w:t xml:space="preserve">Alpha Research Infrastructure: </w:t>
      </w:r>
      <w:r>
        <w:rPr>
          <w:rFonts w:ascii="Arial" w:hAnsi="Arial"/>
          <w:color w:val="1A202C"/>
          <w:sz w:val="19"/>
        </w:rPr>
        <w:t>Architected causal event-driven simulation pipelines and point-in-time alpha research on tick-level and 1-minute historical bar feeds across US and Indian index derivatives (SPX, VIX, Nifty, Bank Nifty).</w:t>
      </w:r>
    </w:p>
    <w:p>
      <w:pPr>
        <w:spacing w:before="0" w:after="76"/>
        <w:ind w:left="240" w:hanging="240"/>
      </w:pPr>
      <w:r>
        <w:rPr>
          <w:rFonts w:ascii="Arial" w:hAnsi="Arial"/>
          <w:b/>
          <w:color w:val="0F2942"/>
          <w:sz w:val="19"/>
        </w:rPr>
        <w:t xml:space="preserve">•  </w:t>
      </w:r>
      <w:r>
        <w:rPr>
          <w:rFonts w:ascii="Arial" w:hAnsi="Arial"/>
          <w:b/>
          <w:color w:val="0F2942"/>
          <w:sz w:val="19"/>
        </w:rPr>
        <w:t xml:space="preserve">US Index Derivatives: </w:t>
      </w:r>
      <w:r>
        <w:rPr>
          <w:rFonts w:ascii="Arial" w:hAnsi="Arial"/>
          <w:color w:val="1A202C"/>
          <w:sz w:val="19"/>
        </w:rPr>
        <w:t>Engineered automated execution pipelines and volatility surface modeling for short-dated US index options (SPX/SPXW) via Interactive Brokers (IBKR API), systematically capturing short-horizon IV skew mispricings with dynamic delta rebalancing.</w:t>
      </w:r>
    </w:p>
    <w:p>
      <w:pPr>
        <w:spacing w:before="0" w:after="76"/>
        <w:ind w:left="240" w:hanging="240"/>
      </w:pPr>
      <w:r>
        <w:rPr>
          <w:rFonts w:ascii="Arial" w:hAnsi="Arial"/>
          <w:b/>
          <w:color w:val="0F2942"/>
          <w:sz w:val="19"/>
        </w:rPr>
        <w:t xml:space="preserve">•  </w:t>
      </w:r>
      <w:r>
        <w:rPr>
          <w:rFonts w:ascii="Arial" w:hAnsi="Arial"/>
          <w:b/>
          <w:color w:val="0F2942"/>
          <w:sz w:val="19"/>
        </w:rPr>
        <w:t xml:space="preserve">Statistical Arbitrage: </w:t>
      </w:r>
      <w:r>
        <w:rPr>
          <w:rFonts w:ascii="Arial" w:hAnsi="Arial"/>
          <w:color w:val="1A202C"/>
          <w:sz w:val="19"/>
        </w:rPr>
        <w:t>Traded mean-reverting equity basket spreads across Bank Nifty constituents, maintaining strict delta neutrality via dynamic beta hedging and automated strike re-centering thresholds.</w:t>
      </w:r>
    </w:p>
    <w:p>
      <w:pPr>
        <w:spacing w:before="0" w:after="76"/>
        <w:ind w:left="240" w:hanging="240"/>
      </w:pPr>
      <w:r>
        <w:rPr>
          <w:rFonts w:ascii="Arial" w:hAnsi="Arial"/>
          <w:b/>
          <w:color w:val="0F2942"/>
          <w:sz w:val="19"/>
        </w:rPr>
        <w:t xml:space="preserve">•  </w:t>
      </w:r>
      <w:r>
        <w:rPr>
          <w:rFonts w:ascii="Arial" w:hAnsi="Arial"/>
          <w:b/>
          <w:color w:val="0F2942"/>
          <w:sz w:val="19"/>
        </w:rPr>
        <w:t xml:space="preserve">Walk-Forward Strategy Validation: </w:t>
      </w:r>
      <w:r>
        <w:rPr>
          <w:rFonts w:ascii="Arial" w:hAnsi="Arial"/>
          <w:color w:val="1A202C"/>
          <w:sz w:val="19"/>
        </w:rPr>
        <w:t>Delivered 2.5+ out-of-sample Sharpe and 2.1+ Profit Factor across a 7-year sample (2018-2024) of Nifty &amp; Bank Nifty index options, evaluated net of 0.50% turnover friction.</w:t>
      </w:r>
    </w:p>
    <w:p>
      <w:pPr>
        <w:spacing w:before="0" w:after="76"/>
        <w:ind w:left="240" w:hanging="240"/>
      </w:pPr>
      <w:r>
        <w:rPr>
          <w:rFonts w:ascii="Arial" w:hAnsi="Arial"/>
          <w:b/>
          <w:color w:val="0F2942"/>
          <w:sz w:val="19"/>
        </w:rPr>
        <w:t xml:space="preserve">•  </w:t>
      </w:r>
      <w:r>
        <w:rPr>
          <w:rFonts w:ascii="Arial" w:hAnsi="Arial"/>
          <w:b/>
          <w:color w:val="0F2942"/>
          <w:sz w:val="19"/>
        </w:rPr>
        <w:t xml:space="preserve">TCA &amp; Execution Optimization: </w:t>
      </w:r>
      <w:r>
        <w:rPr>
          <w:rFonts w:ascii="Arial" w:hAnsi="Arial"/>
          <w:color w:val="1A202C"/>
          <w:sz w:val="19"/>
        </w:rPr>
        <w:t>Reduced execution drag by 24% and eliminated broker order-state desynchronization via pre/post-trade Transaction Cost Analysis (TCA) telemetry and unique client order tracking.</w:t>
      </w:r>
    </w:p>
    <w:p>
      <w:pPr>
        <w:spacing w:before="0" w:after="76"/>
        <w:ind w:left="240" w:hanging="240"/>
      </w:pPr>
      <w:r>
        <w:rPr>
          <w:rFonts w:ascii="Arial" w:hAnsi="Arial"/>
          <w:b/>
          <w:color w:val="0F2942"/>
          <w:sz w:val="19"/>
        </w:rPr>
        <w:t xml:space="preserve">•  </w:t>
      </w:r>
      <w:r>
        <w:rPr>
          <w:rFonts w:ascii="Arial" w:hAnsi="Arial"/>
          <w:b/>
          <w:color w:val="0F2942"/>
          <w:sz w:val="19"/>
        </w:rPr>
        <w:t xml:space="preserve">Desk Mentorship &amp; Risk Alignment: </w:t>
      </w:r>
      <w:r>
        <w:rPr>
          <w:rFonts w:ascii="Arial" w:hAnsi="Arial"/>
          <w:color w:val="1A202C"/>
          <w:sz w:val="19"/>
        </w:rPr>
        <w:t>Mentored 3 junior quantitative researchers and traders in statistical validation methods and execution best practices; partnered with Portfolio Managers on strategy scalability, real-time portfolio Greeks, dealer GEX mapping, parametric VaR, and SPAN margin caps.</w:t>
      </w:r>
    </w:p>
    <w:p>
      <w:pPr>
        <w:keepNext/>
        <w:spacing w:before="100" w:after="40"/>
      </w:pPr>
      <w:r>
        <w:rPr>
          <w:rFonts w:ascii="Arial" w:hAnsi="Arial"/>
          <w:b/>
          <w:color w:val="0F2942"/>
          <w:sz w:val="19"/>
        </w:rPr>
        <w:t xml:space="preserve">Smart Bulls Capital - </w:t>
      </w:r>
      <w:r>
        <w:rPr>
          <w:rFonts w:ascii="Arial" w:hAnsi="Arial"/>
          <w:i/>
          <w:sz w:val="19"/>
        </w:rPr>
        <w:t>Research Analyst, Derivatives &amp; Quantitative Research</w:t>
      </w:r>
      <w:r>
        <w:rPr>
          <w:rFonts w:ascii="Arial" w:hAnsi="Arial"/>
          <w:b/>
          <w:color w:val="1E3A5F"/>
          <w:sz w:val="18"/>
        </w:rPr>
        <w:t xml:space="preserve">  |  Mar 2017 - Nov 2024</w:t>
      </w:r>
    </w:p>
    <w:p>
      <w:pPr>
        <w:spacing w:before="0" w:after="76"/>
        <w:ind w:left="240" w:hanging="240"/>
      </w:pPr>
      <w:r>
        <w:rPr>
          <w:rFonts w:ascii="Arial" w:hAnsi="Arial"/>
          <w:b/>
          <w:color w:val="0F2942"/>
          <w:sz w:val="19"/>
        </w:rPr>
        <w:t xml:space="preserve">•  </w:t>
      </w:r>
      <w:r>
        <w:rPr>
          <w:rFonts w:ascii="Arial" w:hAnsi="Arial"/>
          <w:b/>
          <w:color w:val="0F2942"/>
          <w:sz w:val="19"/>
        </w:rPr>
        <w:t xml:space="preserve">Options Volatility Books: </w:t>
      </w:r>
      <w:r>
        <w:rPr>
          <w:rFonts w:ascii="Arial" w:hAnsi="Arial"/>
          <w:color w:val="1A202C"/>
          <w:sz w:val="19"/>
        </w:rPr>
        <w:t>Researched, structured, and traded systematic multi-leg options volatility strategies (Iron Condors, Butterflies, Calendar Spreads) with dynamic delta/vega rebalancing guided by real-time IV surface spline smoothing.</w:t>
      </w:r>
    </w:p>
    <w:p>
      <w:pPr>
        <w:spacing w:before="0" w:after="76"/>
        <w:ind w:left="240" w:hanging="240"/>
      </w:pPr>
      <w:r>
        <w:rPr>
          <w:rFonts w:ascii="Arial" w:hAnsi="Arial"/>
          <w:b/>
          <w:color w:val="0F2942"/>
          <w:sz w:val="19"/>
        </w:rPr>
        <w:t xml:space="preserve">•  </w:t>
      </w:r>
      <w:r>
        <w:rPr>
          <w:rFonts w:ascii="Arial" w:hAnsi="Arial"/>
          <w:b/>
          <w:color w:val="0F2942"/>
          <w:sz w:val="19"/>
        </w:rPr>
        <w:t xml:space="preserve">Implied Volatility &amp; Greeks: </w:t>
      </w:r>
      <w:r>
        <w:rPr>
          <w:rFonts w:ascii="Arial" w:hAnsi="Arial"/>
          <w:color w:val="1A202C"/>
          <w:sz w:val="19"/>
        </w:rPr>
        <w:t>Inverted Black-Scholes prices numerically via Newton-Raphson and Brent algorithms; mapped dealer Gamma Exposure (GEX) to identify institutional pin-risk levels across weekly expiries.</w:t>
      </w:r>
    </w:p>
    <w:p>
      <w:pPr>
        <w:spacing w:before="0" w:after="76"/>
        <w:ind w:left="240" w:hanging="240"/>
      </w:pPr>
      <w:r>
        <w:rPr>
          <w:rFonts w:ascii="Arial" w:hAnsi="Arial"/>
          <w:b/>
          <w:color w:val="0F2942"/>
          <w:sz w:val="19"/>
        </w:rPr>
        <w:t xml:space="preserve">•  </w:t>
      </w:r>
      <w:r>
        <w:rPr>
          <w:rFonts w:ascii="Arial" w:hAnsi="Arial"/>
          <w:b/>
          <w:color w:val="0F2942"/>
          <w:sz w:val="19"/>
        </w:rPr>
        <w:t xml:space="preserve">Portfolio Construction &amp; Allocation: </w:t>
      </w:r>
      <w:r>
        <w:rPr>
          <w:rFonts w:ascii="Arial" w:hAnsi="Arial"/>
          <w:color w:val="1A202C"/>
          <w:sz w:val="19"/>
        </w:rPr>
        <w:t>Implemented Risk Parity and Mean-Variance capital allocation models across multi-strike options books; managed daily P&amp;L attribution, SPAN margin utilization, and drawdown limits within desk risk budgets.</w:t>
      </w:r>
    </w:p>
    <w:p>
      <w:pPr>
        <w:spacing w:before="0" w:after="76"/>
        <w:ind w:left="240" w:hanging="240"/>
      </w:pPr>
      <w:r>
        <w:rPr>
          <w:rFonts w:ascii="Arial" w:hAnsi="Arial"/>
          <w:b/>
          <w:color w:val="0F2942"/>
          <w:sz w:val="19"/>
        </w:rPr>
        <w:t xml:space="preserve">•  </w:t>
      </w:r>
      <w:r>
        <w:rPr>
          <w:rFonts w:ascii="Arial" w:hAnsi="Arial"/>
          <w:b/>
          <w:color w:val="0F2942"/>
          <w:sz w:val="19"/>
        </w:rPr>
        <w:t xml:space="preserve">Live Capital &amp; Margin Scale: </w:t>
      </w:r>
      <w:r>
        <w:rPr>
          <w:rFonts w:ascii="Arial" w:hAnsi="Arial"/>
          <w:color w:val="1A202C"/>
          <w:sz w:val="19"/>
        </w:rPr>
        <w:t>Managed systematic intraday and multi-day options books deploying multi-crore margin; maintained strict SPAN margin utilization and contained drawdowns within desk risk tolerances.</w:t>
      </w:r>
    </w:p>
    <w:p>
      <w:pPr>
        <w:keepNext/>
        <w:spacing w:before="100" w:after="40"/>
      </w:pPr>
      <w:r>
        <w:rPr>
          <w:rFonts w:ascii="Arial" w:hAnsi="Arial"/>
          <w:b/>
          <w:color w:val="0F2942"/>
          <w:sz w:val="19"/>
        </w:rPr>
        <w:t xml:space="preserve">Earlier Corporate Experience - </w:t>
      </w:r>
      <w:r>
        <w:rPr>
          <w:rFonts w:ascii="Arial" w:hAnsi="Arial"/>
          <w:i/>
          <w:sz w:val="19"/>
        </w:rPr>
        <w:t>Corporate Finance &amp; Audit Roles</w:t>
      </w:r>
      <w:r>
        <w:rPr>
          <w:rFonts w:ascii="Arial" w:hAnsi="Arial"/>
          <w:b/>
          <w:color w:val="1E3A5F"/>
          <w:sz w:val="18"/>
        </w:rPr>
        <w:t xml:space="preserve">  |  2014 - 2017</w:t>
      </w:r>
    </w:p>
    <w:p>
      <w:pPr>
        <w:spacing w:before="0" w:after="76"/>
        <w:ind w:left="240" w:hanging="240"/>
      </w:pPr>
      <w:r>
        <w:rPr>
          <w:rFonts w:ascii="Arial" w:hAnsi="Arial"/>
          <w:b/>
          <w:color w:val="0F2942"/>
          <w:sz w:val="19"/>
        </w:rPr>
        <w:t xml:space="preserve">•  </w:t>
      </w:r>
      <w:r>
        <w:rPr>
          <w:rFonts w:ascii="Arial" w:hAnsi="Arial"/>
          <w:b/>
          <w:color w:val="0F2942"/>
          <w:sz w:val="19"/>
        </w:rPr>
        <w:t xml:space="preserve">Corporate Treasury &amp; Audit: </w:t>
      </w:r>
      <w:r>
        <w:rPr>
          <w:rFonts w:ascii="Arial" w:hAnsi="Arial"/>
          <w:color w:val="1A202C"/>
          <w:sz w:val="19"/>
        </w:rPr>
        <w:t>Executed treasury operations and working-capital forecasting at Indian Oil Corporation Ltd. (IOCL, 2016-2017); conducted statutory audits and corporate tax structuring at CA Matta &amp; Associates (2014-2016).</w:t>
      </w:r>
    </w:p>
    <w:p>
      <w:r>
        <w:br w:type="page"/>
      </w:r>
    </w:p>
    <w:p>
      <w:pPr>
        <w:keepNext/>
        <w:spacing w:before="170" w:after="50"/>
        <w:pBdr>
          <w:bottom w:val="single" w:sz="6" w:space="1" w:color="0F2942"/>
        </w:pBdr>
      </w:pPr>
      <w:r>
        <w:rPr>
          <w:rFonts w:ascii="Arial" w:hAnsi="Arial"/>
          <w:b/>
          <w:color w:val="0F2942"/>
          <w:sz w:val="20"/>
        </w:rPr>
        <w:t>QUANTITATIVE RESEARCH ARCHITECTURE &amp; EMPIRICAL FRAMEWORKS</w:t>
      </w:r>
    </w:p>
    <w:p>
      <w:pPr>
        <w:spacing w:before="0" w:after="40"/>
      </w:pPr>
      <w:r>
        <w:rPr>
          <w:rFonts w:ascii="Arial" w:hAnsi="Arial"/>
          <w:i/>
          <w:color w:val="1A202C"/>
          <w:sz w:val="17"/>
        </w:rPr>
        <w:t>Hosted at: github.com/prince-chauhan-pc/quant-research-portfolio</w:t>
      </w:r>
    </w:p>
    <w:p>
      <w:pPr>
        <w:keepNext/>
        <w:spacing w:before="100" w:after="40"/>
      </w:pPr>
      <w:r>
        <w:rPr>
          <w:rFonts w:ascii="Arial" w:hAnsi="Arial"/>
          <w:b/>
          <w:color w:val="0F2942"/>
          <w:sz w:val="19"/>
        </w:rPr>
        <w:t>Point-in-Time Backtesting Framework &amp; Invariant Gate</w:t>
      </w:r>
    </w:p>
    <w:p>
      <w:pPr>
        <w:spacing w:before="0" w:after="76"/>
        <w:ind w:left="240" w:hanging="240"/>
      </w:pPr>
      <w:r>
        <w:rPr>
          <w:rFonts w:ascii="Arial" w:hAnsi="Arial"/>
          <w:b/>
          <w:color w:val="0F2942"/>
          <w:sz w:val="19"/>
        </w:rPr>
        <w:t xml:space="preserve">•  </w:t>
      </w:r>
      <w:r>
        <w:rPr>
          <w:rFonts w:ascii="Arial" w:hAnsi="Arial"/>
          <w:b/>
          <w:color w:val="0F2942"/>
          <w:sz w:val="19"/>
        </w:rPr>
        <w:t xml:space="preserve">Research Objective: </w:t>
      </w:r>
      <w:r>
        <w:rPr>
          <w:rFonts w:ascii="Arial" w:hAnsi="Arial"/>
          <w:color w:val="1A202C"/>
          <w:sz w:val="19"/>
        </w:rPr>
        <w:t>Enforce point-in-time data alignment and realistic transaction friction in high-turnover options strategy research.</w:t>
      </w:r>
    </w:p>
    <w:p>
      <w:pPr>
        <w:spacing w:before="0" w:after="76"/>
        <w:ind w:left="240" w:hanging="240"/>
      </w:pPr>
      <w:r>
        <w:rPr>
          <w:rFonts w:ascii="Arial" w:hAnsi="Arial"/>
          <w:b/>
          <w:color w:val="0F2942"/>
          <w:sz w:val="19"/>
        </w:rPr>
        <w:t xml:space="preserve">•  </w:t>
      </w:r>
      <w:r>
        <w:rPr>
          <w:rFonts w:ascii="Arial" w:hAnsi="Arial"/>
          <w:b/>
          <w:color w:val="0F2942"/>
          <w:sz w:val="19"/>
        </w:rPr>
        <w:t xml:space="preserve">Methodology &amp; Validation: </w:t>
      </w:r>
      <w:r>
        <w:rPr>
          <w:rFonts w:ascii="Arial" w:hAnsi="Arial"/>
          <w:color w:val="1A202C"/>
          <w:sz w:val="19"/>
        </w:rPr>
        <w:t>Implemented rolling walk-forward optimization partitioned into 70% in-sample parameter calibration, 20% out-of-sample cross-validation, and 10% held-out test windows to prevent data leakage, paired with 1,000-path Monte Carlo drawdown stress testing.</w:t>
      </w:r>
    </w:p>
    <w:p>
      <w:pPr>
        <w:spacing w:before="0" w:after="76"/>
        <w:ind w:left="240" w:hanging="240"/>
      </w:pPr>
      <w:r>
        <w:rPr>
          <w:rFonts w:ascii="Arial" w:hAnsi="Arial"/>
          <w:b/>
          <w:color w:val="0F2942"/>
          <w:sz w:val="19"/>
        </w:rPr>
        <w:t xml:space="preserve">•  </w:t>
      </w:r>
      <w:r>
        <w:rPr>
          <w:rFonts w:ascii="Arial" w:hAnsi="Arial"/>
          <w:b/>
          <w:color w:val="0F2942"/>
          <w:sz w:val="19"/>
        </w:rPr>
        <w:t xml:space="preserve">Audit Guardrails: </w:t>
      </w:r>
      <w:r>
        <w:rPr>
          <w:rFonts w:ascii="Arial" w:hAnsi="Arial"/>
          <w:color w:val="1A202C"/>
          <w:sz w:val="19"/>
        </w:rPr>
        <w:t>Engineered an automated data-integrity test suite enforcing Rules L1-L17 across 22 boundary checks, pre-deducting 0.50% round-trip premium friction and exchange SPAN margins.</w:t>
      </w:r>
    </w:p>
    <w:p>
      <w:pPr>
        <w:keepNext/>
        <w:spacing w:before="100" w:after="40"/>
      </w:pPr>
      <w:r>
        <w:rPr>
          <w:rFonts w:ascii="Arial" w:hAnsi="Arial"/>
          <w:b/>
          <w:color w:val="0F2942"/>
          <w:sz w:val="19"/>
        </w:rPr>
        <w:t>Arbitrage-Free SVI Volatility Surface &amp; GEX Profiling</w:t>
      </w:r>
    </w:p>
    <w:p>
      <w:pPr>
        <w:spacing w:before="0" w:after="76"/>
        <w:ind w:left="240" w:hanging="240"/>
      </w:pPr>
      <w:r>
        <w:rPr>
          <w:rFonts w:ascii="Arial" w:hAnsi="Arial"/>
          <w:b/>
          <w:color w:val="0F2942"/>
          <w:sz w:val="19"/>
        </w:rPr>
        <w:t xml:space="preserve">•  </w:t>
      </w:r>
      <w:r>
        <w:rPr>
          <w:rFonts w:ascii="Arial" w:hAnsi="Arial"/>
          <w:b/>
          <w:color w:val="0F2942"/>
          <w:sz w:val="19"/>
        </w:rPr>
        <w:t xml:space="preserve">Research Objective: </w:t>
      </w:r>
      <w:r>
        <w:rPr>
          <w:rFonts w:ascii="Arial" w:hAnsi="Arial"/>
          <w:color w:val="1A202C"/>
          <w:sz w:val="19"/>
        </w:rPr>
        <w:t>Eliminate calendar and butterfly arbitrage from market implied volatility quotes for robust cross-strike option pricing.</w:t>
      </w:r>
    </w:p>
    <w:p>
      <w:pPr>
        <w:spacing w:before="0" w:after="76"/>
        <w:ind w:left="240" w:hanging="240"/>
      </w:pPr>
      <w:r>
        <w:rPr>
          <w:rFonts w:ascii="Arial" w:hAnsi="Arial"/>
          <w:b/>
          <w:color w:val="0F2942"/>
          <w:sz w:val="19"/>
        </w:rPr>
        <w:t xml:space="preserve">•  </w:t>
      </w:r>
      <w:r>
        <w:rPr>
          <w:rFonts w:ascii="Arial" w:hAnsi="Arial"/>
          <w:b/>
          <w:color w:val="0F2942"/>
          <w:sz w:val="19"/>
        </w:rPr>
        <w:t xml:space="preserve">Methodology: </w:t>
      </w:r>
      <w:r>
        <w:rPr>
          <w:rFonts w:ascii="Arial" w:hAnsi="Arial"/>
          <w:color w:val="1A202C"/>
          <w:sz w:val="19"/>
        </w:rPr>
        <w:t>Calibrated daily implied volatility surfaces using SVI parameterization with non-linear optimization; enforced butterfly convexity and calendar-spread non-arbitrage constraints.</w:t>
      </w:r>
    </w:p>
    <w:p>
      <w:pPr>
        <w:spacing w:before="0" w:after="76"/>
        <w:ind w:left="240" w:hanging="240"/>
      </w:pPr>
      <w:r>
        <w:rPr>
          <w:rFonts w:ascii="Arial" w:hAnsi="Arial"/>
          <w:b/>
          <w:color w:val="0F2942"/>
          <w:sz w:val="19"/>
        </w:rPr>
        <w:t xml:space="preserve">•  </w:t>
      </w:r>
      <w:r>
        <w:rPr>
          <w:rFonts w:ascii="Arial" w:hAnsi="Arial"/>
          <w:b/>
          <w:color w:val="0F2942"/>
          <w:sz w:val="19"/>
        </w:rPr>
        <w:t xml:space="preserve">Practical Outcome: </w:t>
      </w:r>
      <w:r>
        <w:rPr>
          <w:rFonts w:ascii="Arial" w:hAnsi="Arial"/>
          <w:color w:val="1A202C"/>
          <w:sz w:val="19"/>
        </w:rPr>
        <w:t>Stabilized cross-strike smile interpolation across illiquid strikes and generated real-time dealer GEX sensitivity curves to map institutional pin-risk zones.</w:t>
      </w:r>
    </w:p>
    <w:p>
      <w:pPr>
        <w:keepNext/>
        <w:spacing w:before="100" w:after="40"/>
      </w:pPr>
      <w:r>
        <w:rPr>
          <w:rFonts w:ascii="Arial" w:hAnsi="Arial"/>
          <w:b/>
          <w:color w:val="0F2942"/>
          <w:sz w:val="19"/>
        </w:rPr>
        <w:t>Bank Nifty Basket Cointegration &amp; Statistical Arbitrage</w:t>
      </w:r>
    </w:p>
    <w:p>
      <w:pPr>
        <w:spacing w:before="0" w:after="76"/>
        <w:ind w:left="240" w:hanging="240"/>
      </w:pPr>
      <w:r>
        <w:rPr>
          <w:rFonts w:ascii="Arial" w:hAnsi="Arial"/>
          <w:b/>
          <w:color w:val="0F2942"/>
          <w:sz w:val="19"/>
        </w:rPr>
        <w:t xml:space="preserve">•  </w:t>
      </w:r>
      <w:r>
        <w:rPr>
          <w:rFonts w:ascii="Arial" w:hAnsi="Arial"/>
          <w:b/>
          <w:color w:val="0F2942"/>
          <w:sz w:val="19"/>
        </w:rPr>
        <w:t xml:space="preserve">Research Objective: </w:t>
      </w:r>
      <w:r>
        <w:rPr>
          <w:rFonts w:ascii="Arial" w:hAnsi="Arial"/>
          <w:color w:val="1A202C"/>
          <w:sz w:val="19"/>
        </w:rPr>
        <w:t>Systematically exploit stationary mean-reverting spreads among top banking constituent equities.</w:t>
      </w:r>
    </w:p>
    <w:p>
      <w:pPr>
        <w:spacing w:before="0" w:after="76"/>
        <w:ind w:left="240" w:hanging="240"/>
      </w:pPr>
      <w:r>
        <w:rPr>
          <w:rFonts w:ascii="Arial" w:hAnsi="Arial"/>
          <w:b/>
          <w:color w:val="0F2942"/>
          <w:sz w:val="19"/>
        </w:rPr>
        <w:t xml:space="preserve">•  </w:t>
      </w:r>
      <w:r>
        <w:rPr>
          <w:rFonts w:ascii="Arial" w:hAnsi="Arial"/>
          <w:b/>
          <w:color w:val="0F2942"/>
          <w:sz w:val="19"/>
        </w:rPr>
        <w:t xml:space="preserve">Methodology &amp; Risk: </w:t>
      </w:r>
      <w:r>
        <w:rPr>
          <w:rFonts w:ascii="Arial" w:hAnsi="Arial"/>
          <w:color w:val="1A202C"/>
          <w:sz w:val="19"/>
        </w:rPr>
        <w:t>Applied Johansen multivariate cointegration tests to identify stationary linear combinations; estimated spread mean-reversion half-life to calibrate entry/exit thresholds and holding periods, maintaining delta neutrality via rolling OLS beta weights.</w:t>
      </w:r>
    </w:p>
    <w:p>
      <w:pPr>
        <w:keepNext/>
        <w:spacing w:before="100" w:after="40"/>
      </w:pPr>
      <w:r>
        <w:rPr>
          <w:rFonts w:ascii="Arial" w:hAnsi="Arial"/>
          <w:b/>
          <w:color w:val="0F2942"/>
          <w:sz w:val="19"/>
        </w:rPr>
        <w:t>Microstructure Execution Simulator &amp; TCA Engine</w:t>
      </w:r>
    </w:p>
    <w:p>
      <w:pPr>
        <w:spacing w:before="0" w:after="76"/>
        <w:ind w:left="240" w:hanging="240"/>
      </w:pPr>
      <w:r>
        <w:rPr>
          <w:rFonts w:ascii="Arial" w:hAnsi="Arial"/>
          <w:b/>
          <w:color w:val="0F2942"/>
          <w:sz w:val="19"/>
        </w:rPr>
        <w:t xml:space="preserve">•  </w:t>
      </w:r>
      <w:r>
        <w:rPr>
          <w:rFonts w:ascii="Arial" w:hAnsi="Arial"/>
          <w:b/>
          <w:color w:val="0F2942"/>
          <w:sz w:val="19"/>
        </w:rPr>
        <w:t xml:space="preserve">Research Objective: </w:t>
      </w:r>
      <w:r>
        <w:rPr>
          <w:rFonts w:ascii="Arial" w:hAnsi="Arial"/>
          <w:color w:val="1A202C"/>
          <w:sz w:val="19"/>
        </w:rPr>
        <w:t>Accurately quantify market crossing costs and adverse selection for algorithmic limit orders.</w:t>
      </w:r>
    </w:p>
    <w:p>
      <w:pPr>
        <w:spacing w:before="0" w:after="76"/>
        <w:ind w:left="240" w:hanging="240"/>
      </w:pPr>
      <w:r>
        <w:rPr>
          <w:rFonts w:ascii="Arial" w:hAnsi="Arial"/>
          <w:b/>
          <w:color w:val="0F2942"/>
          <w:sz w:val="19"/>
        </w:rPr>
        <w:t xml:space="preserve">•  </w:t>
      </w:r>
      <w:r>
        <w:rPr>
          <w:rFonts w:ascii="Arial" w:hAnsi="Arial"/>
          <w:b/>
          <w:color w:val="0F2942"/>
          <w:sz w:val="19"/>
        </w:rPr>
        <w:t xml:space="preserve">Methodology: </w:t>
      </w:r>
      <w:r>
        <w:rPr>
          <w:rFonts w:ascii="Arial" w:hAnsi="Arial"/>
          <w:color w:val="1A202C"/>
          <w:sz w:val="19"/>
        </w:rPr>
        <w:t>Modeled Limit Order Book (LOB) queue priority, non-linear market impact, and fill probability across market regimes classified by Parkinson realized volatility.</w:t>
      </w:r>
    </w:p>
    <w:p>
      <w:pPr>
        <w:keepNext/>
        <w:spacing w:before="170" w:after="50"/>
        <w:pBdr>
          <w:bottom w:val="single" w:sz="6" w:space="1" w:color="0F2942"/>
        </w:pBdr>
      </w:pPr>
      <w:r>
        <w:rPr>
          <w:rFonts w:ascii="Arial" w:hAnsi="Arial"/>
          <w:b/>
          <w:color w:val="0F2942"/>
          <w:sz w:val="20"/>
        </w:rPr>
        <w:t>TECHNICAL &amp; QUANTITATIVE COMPETENCIES</w:t>
      </w:r>
    </w:p>
    <w:p>
      <w:pPr>
        <w:spacing w:before="0" w:after="76"/>
        <w:ind w:left="240" w:hanging="240"/>
      </w:pPr>
      <w:r>
        <w:rPr>
          <w:rFonts w:ascii="Arial" w:hAnsi="Arial"/>
          <w:b/>
          <w:color w:val="0F2942"/>
          <w:sz w:val="19"/>
        </w:rPr>
        <w:t xml:space="preserve">•  </w:t>
      </w:r>
      <w:r>
        <w:rPr>
          <w:rFonts w:ascii="Arial" w:hAnsi="Arial"/>
          <w:b/>
          <w:color w:val="0F2942"/>
          <w:sz w:val="19"/>
        </w:rPr>
        <w:t xml:space="preserve">Quantitative Research: </w:t>
      </w:r>
      <w:r>
        <w:rPr>
          <w:rFonts w:ascii="Arial" w:hAnsi="Arial"/>
          <w:color w:val="1A202C"/>
          <w:sz w:val="19"/>
        </w:rPr>
        <w:t>Statistical Arbitrage, Johansen Cointegration, Dynamic Beta Hedging, SVI Volatility Surface Fitting, Parkinson Realized Volatility, Market Regime Classification (K-Means), Walk-Forward Optimization, Monte Carlo Simulation.</w:t>
      </w:r>
    </w:p>
    <w:p>
      <w:pPr>
        <w:spacing w:before="0" w:after="76"/>
        <w:ind w:left="240" w:hanging="240"/>
      </w:pPr>
      <w:r>
        <w:rPr>
          <w:rFonts w:ascii="Arial" w:hAnsi="Arial"/>
          <w:b/>
          <w:color w:val="0F2942"/>
          <w:sz w:val="19"/>
        </w:rPr>
        <w:t xml:space="preserve">•  </w:t>
      </w:r>
      <w:r>
        <w:rPr>
          <w:rFonts w:ascii="Arial" w:hAnsi="Arial"/>
          <w:b/>
          <w:color w:val="0F2942"/>
          <w:sz w:val="19"/>
        </w:rPr>
        <w:t xml:space="preserve">Derivatives &amp; Risk: </w:t>
      </w:r>
      <w:r>
        <w:rPr>
          <w:rFonts w:ascii="Arial" w:hAnsi="Arial"/>
          <w:color w:val="1A202C"/>
          <w:sz w:val="19"/>
        </w:rPr>
        <w:t>Black-Scholes Pricing, Portfolio Greeks (Delta, Gamma, Vega, Theta), Dealer GEX Profiling, Parametric &amp; Historical VaR, SPAN Cross-Margin Optimization, Risk Parity, Mean-Variance Allocation.</w:t>
      </w:r>
    </w:p>
    <w:p>
      <w:pPr>
        <w:spacing w:before="0" w:after="76"/>
        <w:ind w:left="240" w:hanging="240"/>
      </w:pPr>
      <w:r>
        <w:rPr>
          <w:rFonts w:ascii="Arial" w:hAnsi="Arial"/>
          <w:b/>
          <w:color w:val="0F2942"/>
          <w:sz w:val="19"/>
        </w:rPr>
        <w:t xml:space="preserve">•  </w:t>
      </w:r>
      <w:r>
        <w:rPr>
          <w:rFonts w:ascii="Arial" w:hAnsi="Arial"/>
          <w:b/>
          <w:color w:val="0F2942"/>
          <w:sz w:val="19"/>
        </w:rPr>
        <w:t xml:space="preserve">AI-Augmented Engineering: </w:t>
      </w:r>
      <w:r>
        <w:rPr>
          <w:rFonts w:ascii="Arial" w:hAnsi="Arial"/>
          <w:color w:val="1A202C"/>
          <w:sz w:val="19"/>
        </w:rPr>
        <w:t>Agentic LLM Architecture for Rapid Alpha Prototyping, Automated Pipeline Construction, Synthetic Scenario Generation, Code Verification, and Mathematical Invariant Auditing.</w:t>
      </w:r>
    </w:p>
    <w:p>
      <w:pPr>
        <w:spacing w:before="0" w:after="76"/>
        <w:ind w:left="240" w:hanging="240"/>
      </w:pPr>
      <w:r>
        <w:rPr>
          <w:rFonts w:ascii="Arial" w:hAnsi="Arial"/>
          <w:b/>
          <w:color w:val="0F2942"/>
          <w:sz w:val="19"/>
        </w:rPr>
        <w:t xml:space="preserve">•  </w:t>
      </w:r>
      <w:r>
        <w:rPr>
          <w:rFonts w:ascii="Arial" w:hAnsi="Arial"/>
          <w:b/>
          <w:color w:val="0F2942"/>
          <w:sz w:val="19"/>
        </w:rPr>
        <w:t xml:space="preserve">Core Languages &amp; Systems: </w:t>
      </w:r>
      <w:r>
        <w:rPr>
          <w:rFonts w:ascii="Arial" w:hAnsi="Arial"/>
          <w:color w:val="1A202C"/>
          <w:sz w:val="19"/>
        </w:rPr>
        <w:t>Python (NumPy, SciPy, Polars), SQL (DuckDB, PostgreSQL), Apache Parquet, Git, Linux.</w:t>
      </w:r>
    </w:p>
    <w:p>
      <w:pPr>
        <w:spacing w:before="0" w:after="76"/>
        <w:ind w:left="240" w:hanging="240"/>
      </w:pPr>
      <w:r>
        <w:rPr>
          <w:rFonts w:ascii="Arial" w:hAnsi="Arial"/>
          <w:b/>
          <w:color w:val="0F2942"/>
          <w:sz w:val="19"/>
        </w:rPr>
        <w:t xml:space="preserve">•  </w:t>
      </w:r>
      <w:r>
        <w:rPr>
          <w:rFonts w:ascii="Arial" w:hAnsi="Arial"/>
          <w:b/>
          <w:color w:val="0F2942"/>
          <w:sz w:val="19"/>
        </w:rPr>
        <w:t xml:space="preserve">Markets &amp; Microstructure: </w:t>
      </w:r>
      <w:r>
        <w:rPr>
          <w:rFonts w:ascii="Arial" w:hAnsi="Arial"/>
          <w:color w:val="1A202C"/>
          <w:sz w:val="19"/>
        </w:rPr>
        <w:t>Indian Equity Derivatives (NSE Nifty, Bank Nifty, Sensex), US Equity Derivatives (CBOE SPX, VIX), Pre/Post-Trade TCA, Limit Order Book Queue Dynamics, Smart Order Slicing.</w:t>
      </w:r>
    </w:p>
    <w:p>
      <w:pPr>
        <w:keepNext/>
        <w:spacing w:before="170" w:after="50"/>
        <w:pBdr>
          <w:bottom w:val="single" w:sz="6" w:space="1" w:color="0F2942"/>
        </w:pBdr>
      </w:pPr>
      <w:r>
        <w:rPr>
          <w:rFonts w:ascii="Arial" w:hAnsi="Arial"/>
          <w:b/>
          <w:color w:val="0F2942"/>
          <w:sz w:val="20"/>
        </w:rPr>
        <w:t>EDUCATION &amp; REGULATORY CREDENTIALS</w:t>
      </w:r>
    </w:p>
    <w:p>
      <w:pPr>
        <w:spacing w:before="0" w:after="76"/>
        <w:ind w:left="240" w:hanging="240"/>
      </w:pPr>
      <w:r>
        <w:rPr>
          <w:rFonts w:ascii="Arial" w:hAnsi="Arial"/>
          <w:b/>
          <w:color w:val="0F2942"/>
          <w:sz w:val="19"/>
        </w:rPr>
        <w:t xml:space="preserve">•  </w:t>
      </w:r>
      <w:r>
        <w:rPr>
          <w:rFonts w:ascii="Arial" w:hAnsi="Arial"/>
          <w:b/>
          <w:color w:val="0F2942"/>
          <w:sz w:val="19"/>
        </w:rPr>
        <w:t xml:space="preserve">Bachelor of Commerce (Honours): </w:t>
      </w:r>
      <w:r>
        <w:rPr>
          <w:rFonts w:ascii="Arial" w:hAnsi="Arial"/>
          <w:color w:val="1A202C"/>
          <w:sz w:val="19"/>
        </w:rPr>
        <w:t>Kirori Mal College, University of Delhi (2011 - 2014) | First Division (71% Marks)</w:t>
      </w:r>
    </w:p>
    <w:p>
      <w:pPr>
        <w:spacing w:before="0" w:after="76"/>
        <w:ind w:left="240" w:hanging="240"/>
      </w:pPr>
      <w:r>
        <w:rPr>
          <w:rFonts w:ascii="Arial" w:hAnsi="Arial"/>
          <w:b/>
          <w:color w:val="0F2942"/>
          <w:sz w:val="19"/>
        </w:rPr>
        <w:t xml:space="preserve">•  </w:t>
      </w:r>
      <w:r>
        <w:rPr>
          <w:rFonts w:ascii="Arial" w:hAnsi="Arial"/>
          <w:b/>
          <w:color w:val="0F2942"/>
          <w:sz w:val="19"/>
        </w:rPr>
        <w:t xml:space="preserve">Chartered Accountancy (CA Final): </w:t>
      </w:r>
      <w:r>
        <w:rPr>
          <w:rFonts w:ascii="Arial" w:hAnsi="Arial"/>
          <w:color w:val="1A202C"/>
          <w:sz w:val="19"/>
        </w:rPr>
        <w:t>Institute of Chartered Accountants of India (ICAI, 2018) | Cleared Group 1 (78% Marks)</w:t>
      </w:r>
    </w:p>
    <w:p>
      <w:pPr>
        <w:spacing w:before="0" w:after="76"/>
        <w:ind w:left="240" w:hanging="240"/>
      </w:pPr>
      <w:r>
        <w:rPr>
          <w:rFonts w:ascii="Arial" w:hAnsi="Arial"/>
          <w:b/>
          <w:color w:val="0F2942"/>
          <w:sz w:val="19"/>
        </w:rPr>
        <w:t xml:space="preserve">•  </w:t>
      </w:r>
      <w:r>
        <w:rPr>
          <w:rFonts w:ascii="Arial" w:hAnsi="Arial"/>
          <w:b/>
          <w:color w:val="0F2942"/>
          <w:sz w:val="19"/>
        </w:rPr>
        <w:t xml:space="preserve">Regulatory Licenses: </w:t>
      </w:r>
      <w:r>
        <w:rPr>
          <w:rFonts w:ascii="Arial" w:hAnsi="Arial"/>
          <w:color w:val="1A202C"/>
          <w:sz w:val="19"/>
        </w:rPr>
        <w:t>SEBI Registered Research Analyst | NISM Series-XV</w:t>
      </w:r>
    </w:p>
    <w:sectPr w:rsidR="00FC693F" w:rsidRPr="0006063C" w:rsidSect="00034616">
      <w:pgSz w:w="11906" w:h="16838"/>
      <w:pgMar w:top="560" w:right="720" w:bottom="48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