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rPr>
          <w:rFonts w:ascii="Calibri" w:cs="Calibri" w:eastAsia="Calibri" w:hAnsi="Calibri"/>
        </w:rPr>
        <w:t xml:space="preserve"/>
      </w:r>
    </w:p>
    <w:p>
      <w:pPr>
        <w:spacing w:after="60"/>
      </w:pPr>
      <w:r>
        <w:rPr>
          <w:rFonts w:ascii="Calibri" w:cs="Calibri" w:eastAsia="Calibri" w:hAnsi="Calibri"/>
          <w:b/>
          <w:bCs/>
          <w:color w:val="4A7BA6"/>
          <w:spacing w:val="60"/>
          <w:sz w:val="26"/>
          <w:szCs w:val="26"/>
        </w:rPr>
        <w:t xml:space="preserve">FUNCTIONAL REQUIREMENTS DOCUMENT</w:t>
      </w:r>
    </w:p>
    <w:p>
      <w:pPr>
        <w:pBdr>
          <w:bottom w:val="single" w:color="2E5A8C" w:sz="18" w:space="10"/>
        </w:pBdr>
        <w:spacing w:after="40"/>
      </w:pPr>
      <w:r>
        <w:rPr>
          <w:rFonts w:ascii="Calibri" w:cs="Calibri" w:eastAsia="Calibri" w:hAnsi="Calibri"/>
          <w:b/>
          <w:bCs/>
          <w:color w:val="1A2332"/>
          <w:sz w:val="52"/>
          <w:szCs w:val="52"/>
        </w:rPr>
        <w:t xml:space="preserve">AI-DLC Reverse Engineering Platform</w:t>
      </w:r>
    </w:p>
    <w:p>
      <w:pPr>
        <w:spacing w:after="40" w:before="160"/>
      </w:pPr>
      <w:r>
        <w:rPr>
          <w:rFonts w:ascii="Calibri" w:cs="Calibri" w:eastAsia="Calibri" w:hAnsi="Calibri"/>
          <w:i/>
          <w:iCs/>
          <w:color w:val="5A6B7C"/>
          <w:sz w:val="26"/>
          <w:szCs w:val="26"/>
        </w:rPr>
        <w:t xml:space="preserve">Module-level functional specification</w:t>
      </w:r>
    </w:p>
    <w:p>
      <w:pPr>
        <w:spacing w:before="900"/>
      </w:pPr>
      <w:r>
        <w:rPr>
          <w:rFonts w:ascii="Calibri" w:cs="Calibri" w:eastAsia="Calibri" w:hAnsi="Calibri"/>
        </w:rPr>
        <w:t xml:space="preserve"/>
      </w:r>
    </w:p>
    <w:tbl>
      <w:tblPr>
        <w:tblW w:type="dxa" w:w="9360"/>
        <w:tblBorders>
          <w:top w:val="single" w:color="C9D4DF" w:sz="4"/>
          <w:left w:val="none"/>
          <w:bottom w:val="single" w:color="C9D4DF" w:sz="4"/>
          <w:right w:val="none"/>
          <w:insideH w:val="single" w:color="C9D4DF" w:sz="2"/>
          <w:insideV w:val="single" w:color="C9D4DF" w:sz="2"/>
        </w:tblBorders>
      </w:tblPr>
      <w:tblGrid>
        <w:gridCol w:w="2600"/>
        <w:gridCol w:w="6760"/>
      </w:tblGrid>
      <w:tr>
        <w:tc>
          <w:tcPr>
            <w:tcW w:type="dxa" w:w="2600"/>
            <w:shd w:fill="EEF2F7" w:color="auto" w:val="clear"/>
            <w:tcMar>
              <w:top w:type="dxa" w:w="40"/>
              <w:left w:type="dxa" w:w="90"/>
              <w:bottom w:type="dxa" w:w="40"/>
              <w:right w:type="dxa" w:w="90"/>
            </w:tcMar>
          </w:tcPr>
          <w:p>
            <w:pPr>
              <w:spacing w:after="20" w:line="248"/>
            </w:pPr>
            <w:r>
              <w:rPr>
                <w:rFonts w:ascii="Calibri" w:cs="Calibri" w:eastAsia="Calibri" w:hAnsi="Calibri"/>
                <w:b/>
                <w:bCs/>
                <w:color w:val="1A2332"/>
                <w:sz w:val="19"/>
                <w:szCs w:val="19"/>
              </w:rPr>
              <w:t xml:space="preserve">Document Type</w:t>
            </w:r>
          </w:p>
        </w:tc>
        <w:tc>
          <w:tcPr>
            <w:tcW w:type="dxa" w:w="6760"/>
            <w:shd w:fill="FFFFFF"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Functional Requirements Document (FRD)</w:t>
            </w:r>
          </w:p>
        </w:tc>
      </w:tr>
      <w:tr>
        <w:tc>
          <w:tcPr>
            <w:tcW w:type="dxa" w:w="2600"/>
            <w:shd w:fill="F7F9FB" w:color="auto" w:val="clear"/>
            <w:tcMar>
              <w:top w:type="dxa" w:w="40"/>
              <w:left w:type="dxa" w:w="90"/>
              <w:bottom w:type="dxa" w:w="40"/>
              <w:right w:type="dxa" w:w="90"/>
            </w:tcMar>
          </w:tcPr>
          <w:p>
            <w:pPr>
              <w:spacing w:after="20" w:line="248"/>
            </w:pPr>
            <w:r>
              <w:rPr>
                <w:rFonts w:ascii="Calibri" w:cs="Calibri" w:eastAsia="Calibri" w:hAnsi="Calibri"/>
                <w:b/>
                <w:bCs/>
                <w:color w:val="1A2332"/>
                <w:sz w:val="19"/>
                <w:szCs w:val="19"/>
              </w:rPr>
              <w:t xml:space="preserve">Product</w:t>
            </w:r>
          </w:p>
        </w:tc>
        <w:tc>
          <w:tcPr>
            <w:tcW w:type="dxa" w:w="67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AI-DLC Reverse Engineering Platform</w:t>
            </w:r>
          </w:p>
        </w:tc>
      </w:tr>
      <w:tr>
        <w:tc>
          <w:tcPr>
            <w:tcW w:type="dxa" w:w="2600"/>
            <w:shd w:fill="EEF2F7" w:color="auto" w:val="clear"/>
            <w:tcMar>
              <w:top w:type="dxa" w:w="40"/>
              <w:left w:type="dxa" w:w="90"/>
              <w:bottom w:type="dxa" w:w="40"/>
              <w:right w:type="dxa" w:w="90"/>
            </w:tcMar>
          </w:tcPr>
          <w:p>
            <w:pPr>
              <w:spacing w:after="20" w:line="248"/>
            </w:pPr>
            <w:r>
              <w:rPr>
                <w:rFonts w:ascii="Calibri" w:cs="Calibri" w:eastAsia="Calibri" w:hAnsi="Calibri"/>
                <w:b/>
                <w:bCs/>
                <w:color w:val="1A2332"/>
                <w:sz w:val="19"/>
                <w:szCs w:val="19"/>
              </w:rPr>
              <w:t xml:space="preserve">Client / Program</w:t>
            </w:r>
          </w:p>
        </w:tc>
        <w:tc>
          <w:tcPr>
            <w:tcW w:type="dxa" w:w="6760"/>
            <w:shd w:fill="FFFFFF"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Evernorth — AI-Driven Development Life Cycle</w:t>
            </w:r>
          </w:p>
        </w:tc>
      </w:tr>
      <w:tr>
        <w:tc>
          <w:tcPr>
            <w:tcW w:type="dxa" w:w="2600"/>
            <w:shd w:fill="F7F9FB" w:color="auto" w:val="clear"/>
            <w:tcMar>
              <w:top w:type="dxa" w:w="40"/>
              <w:left w:type="dxa" w:w="90"/>
              <w:bottom w:type="dxa" w:w="40"/>
              <w:right w:type="dxa" w:w="90"/>
            </w:tcMar>
          </w:tcPr>
          <w:p>
            <w:pPr>
              <w:spacing w:after="20" w:line="248"/>
            </w:pPr>
            <w:r>
              <w:rPr>
                <w:rFonts w:ascii="Calibri" w:cs="Calibri" w:eastAsia="Calibri" w:hAnsi="Calibri"/>
                <w:b/>
                <w:bCs/>
                <w:color w:val="1A2332"/>
                <w:sz w:val="19"/>
                <w:szCs w:val="19"/>
              </w:rPr>
              <w:t xml:space="preserve">Version</w:t>
            </w:r>
          </w:p>
        </w:tc>
        <w:tc>
          <w:tcPr>
            <w:tcW w:type="dxa" w:w="67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1.0 (Draft)</w:t>
            </w:r>
          </w:p>
        </w:tc>
      </w:tr>
      <w:tr>
        <w:tc>
          <w:tcPr>
            <w:tcW w:type="dxa" w:w="2600"/>
            <w:shd w:fill="EEF2F7" w:color="auto" w:val="clear"/>
            <w:tcMar>
              <w:top w:type="dxa" w:w="40"/>
              <w:left w:type="dxa" w:w="90"/>
              <w:bottom w:type="dxa" w:w="40"/>
              <w:right w:type="dxa" w:w="90"/>
            </w:tcMar>
          </w:tcPr>
          <w:p>
            <w:pPr>
              <w:spacing w:after="20" w:line="248"/>
            </w:pPr>
            <w:r>
              <w:rPr>
                <w:rFonts w:ascii="Calibri" w:cs="Calibri" w:eastAsia="Calibri" w:hAnsi="Calibri"/>
                <w:b/>
                <w:bCs/>
                <w:color w:val="1A2332"/>
                <w:sz w:val="19"/>
                <w:szCs w:val="19"/>
              </w:rPr>
              <w:t xml:space="preserve">Status</w:t>
            </w:r>
          </w:p>
        </w:tc>
        <w:tc>
          <w:tcPr>
            <w:tcW w:type="dxa" w:w="6760"/>
            <w:shd w:fill="FFFFFF"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For engineering &amp; QA review</w:t>
            </w:r>
          </w:p>
        </w:tc>
      </w:tr>
      <w:tr>
        <w:tc>
          <w:tcPr>
            <w:tcW w:type="dxa" w:w="2600"/>
            <w:shd w:fill="F7F9FB" w:color="auto" w:val="clear"/>
            <w:tcMar>
              <w:top w:type="dxa" w:w="40"/>
              <w:left w:type="dxa" w:w="90"/>
              <w:bottom w:type="dxa" w:w="40"/>
              <w:right w:type="dxa" w:w="90"/>
            </w:tcMar>
          </w:tcPr>
          <w:p>
            <w:pPr>
              <w:spacing w:after="20" w:line="248"/>
            </w:pPr>
            <w:r>
              <w:rPr>
                <w:rFonts w:ascii="Calibri" w:cs="Calibri" w:eastAsia="Calibri" w:hAnsi="Calibri"/>
                <w:b/>
                <w:bCs/>
                <w:color w:val="1A2332"/>
                <w:sz w:val="19"/>
                <w:szCs w:val="19"/>
              </w:rPr>
              <w:t xml:space="preserve">Parent Documents</w:t>
            </w:r>
          </w:p>
        </w:tc>
        <w:tc>
          <w:tcPr>
            <w:tcW w:type="dxa" w:w="67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BRD v1.0 · PRD v1.0</w:t>
            </w:r>
          </w:p>
        </w:tc>
      </w:tr>
      <w:tr>
        <w:tc>
          <w:tcPr>
            <w:tcW w:type="dxa" w:w="2600"/>
            <w:shd w:fill="EEF2F7" w:color="auto" w:val="clear"/>
            <w:tcMar>
              <w:top w:type="dxa" w:w="40"/>
              <w:left w:type="dxa" w:w="90"/>
              <w:bottom w:type="dxa" w:w="40"/>
              <w:right w:type="dxa" w:w="90"/>
            </w:tcMar>
          </w:tcPr>
          <w:p>
            <w:pPr>
              <w:spacing w:after="20" w:line="248"/>
            </w:pPr>
            <w:r>
              <w:rPr>
                <w:rFonts w:ascii="Calibri" w:cs="Calibri" w:eastAsia="Calibri" w:hAnsi="Calibri"/>
                <w:b/>
                <w:bCs/>
                <w:color w:val="1A2332"/>
                <w:sz w:val="19"/>
                <w:szCs w:val="19"/>
              </w:rPr>
              <w:t xml:space="preserve">Author</w:t>
            </w:r>
          </w:p>
        </w:tc>
        <w:tc>
          <w:tcPr>
            <w:tcW w:type="dxa" w:w="6760"/>
            <w:shd w:fill="FFFFFF"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Vishal — KPMG</w:t>
            </w:r>
          </w:p>
        </w:tc>
      </w:tr>
      <w:tr>
        <w:tc>
          <w:tcPr>
            <w:tcW w:type="dxa" w:w="2600"/>
            <w:shd w:fill="F7F9FB" w:color="auto" w:val="clear"/>
            <w:tcMar>
              <w:top w:type="dxa" w:w="40"/>
              <w:left w:type="dxa" w:w="90"/>
              <w:bottom w:type="dxa" w:w="40"/>
              <w:right w:type="dxa" w:w="90"/>
            </w:tcMar>
          </w:tcPr>
          <w:p>
            <w:pPr>
              <w:spacing w:after="20" w:line="248"/>
            </w:pPr>
            <w:r>
              <w:rPr>
                <w:rFonts w:ascii="Calibri" w:cs="Calibri" w:eastAsia="Calibri" w:hAnsi="Calibri"/>
                <w:b/>
                <w:bCs/>
                <w:color w:val="1A2332"/>
                <w:sz w:val="19"/>
                <w:szCs w:val="19"/>
              </w:rPr>
              <w:t xml:space="preserve">Date</w:t>
            </w:r>
          </w:p>
        </w:tc>
        <w:tc>
          <w:tcPr>
            <w:tcW w:type="dxa" w:w="67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20 July 2026</w:t>
            </w:r>
          </w:p>
        </w:tc>
      </w:tr>
      <w:tr>
        <w:tc>
          <w:tcPr>
            <w:tcW w:type="dxa" w:w="2600"/>
            <w:shd w:fill="EEF2F7" w:color="auto" w:val="clear"/>
            <w:tcMar>
              <w:top w:type="dxa" w:w="40"/>
              <w:left w:type="dxa" w:w="90"/>
              <w:bottom w:type="dxa" w:w="40"/>
              <w:right w:type="dxa" w:w="90"/>
            </w:tcMar>
          </w:tcPr>
          <w:p>
            <w:pPr>
              <w:spacing w:after="20" w:line="248"/>
            </w:pPr>
            <w:r>
              <w:rPr>
                <w:rFonts w:ascii="Calibri" w:cs="Calibri" w:eastAsia="Calibri" w:hAnsi="Calibri"/>
                <w:b/>
                <w:bCs/>
                <w:color w:val="1A2332"/>
                <w:sz w:val="19"/>
                <w:szCs w:val="19"/>
              </w:rPr>
              <w:t xml:space="preserve">Classification</w:t>
            </w:r>
          </w:p>
        </w:tc>
        <w:tc>
          <w:tcPr>
            <w:tcW w:type="dxa" w:w="6760"/>
            <w:shd w:fill="FFFFFF"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Confidential</w:t>
            </w:r>
          </w:p>
        </w:tc>
      </w:tr>
    </w:tbl>
    <w:p>
      <w:r>
        <w:br w:type="page"/>
      </w:r>
    </w:p>
    <w:p>
      <w:pPr>
        <w:spacing w:after="160"/>
      </w:pPr>
      <w:r>
        <w:rPr>
          <w:rFonts w:ascii="Calibri" w:cs="Calibri" w:eastAsia="Calibri" w:hAnsi="Calibri"/>
          <w:b/>
          <w:bCs/>
          <w:color w:val="1A2332"/>
          <w:sz w:val="30"/>
          <w:szCs w:val="30"/>
        </w:rPr>
        <w:t xml:space="preserve">Contents</w:t>
      </w:r>
    </w:p>
    <w:p>
      <w:pPr>
        <w:tabs>
          <w:tab w:val="right" w:pos="9360" w:leader="dot"/>
        </w:tabs>
        <w:spacing w:after="70" w:before="40"/>
        <w:ind w:left="0"/>
      </w:pPr>
      <w:r>
        <w:rPr>
          <w:rFonts w:ascii="Calibri" w:cs="Calibri" w:eastAsia="Calibri" w:hAnsi="Calibri"/>
          <w:b/>
          <w:bCs/>
          <w:color w:val="1A2332"/>
          <w:sz w:val="21"/>
          <w:szCs w:val="21"/>
        </w:rPr>
        <w:t xml:space="preserve">1.  Introduction</w:t>
      </w:r>
      <w:r>
        <w:rPr>
          <w:rFonts w:ascii="Calibri" w:cs="Calibri" w:eastAsia="Calibri" w:hAnsi="Calibri"/>
          <w:b/>
          <w:bCs/>
          <w:color w:val="1A2332"/>
          <w:sz w:val="21"/>
          <w:szCs w:val="21"/>
        </w:rPr>
        <w:tab/>
      </w:r>
      <w:r>
        <w:rPr>
          <w:rFonts w:ascii="Calibri" w:cs="Calibri" w:eastAsia="Calibri" w:hAnsi="Calibri"/>
          <w:b/>
          <w:bCs/>
          <w:color w:val="1A2332"/>
          <w:sz w:val="21"/>
          <w:szCs w:val="21"/>
        </w:rPr>
        <w:t xml:space="preserve">3</w:t>
      </w:r>
    </w:p>
    <w:p>
      <w:pPr>
        <w:tabs>
          <w:tab w:val="right" w:pos="9360" w:leader="dot"/>
        </w:tabs>
        <w:spacing w:after="70" w:before="40"/>
        <w:ind w:left="0"/>
      </w:pPr>
      <w:r>
        <w:rPr>
          <w:rFonts w:ascii="Calibri" w:cs="Calibri" w:eastAsia="Calibri" w:hAnsi="Calibri"/>
          <w:b/>
          <w:bCs/>
          <w:color w:val="1A2332"/>
          <w:sz w:val="21"/>
          <w:szCs w:val="21"/>
        </w:rPr>
        <w:t xml:space="preserve">2.  System Overview</w:t>
      </w:r>
      <w:r>
        <w:rPr>
          <w:rFonts w:ascii="Calibri" w:cs="Calibri" w:eastAsia="Calibri" w:hAnsi="Calibri"/>
          <w:b/>
          <w:bCs/>
          <w:color w:val="1A2332"/>
          <w:sz w:val="21"/>
          <w:szCs w:val="21"/>
        </w:rPr>
        <w:tab/>
      </w:r>
      <w:r>
        <w:rPr>
          <w:rFonts w:ascii="Calibri" w:cs="Calibri" w:eastAsia="Calibri" w:hAnsi="Calibri"/>
          <w:b/>
          <w:bCs/>
          <w:color w:val="1A2332"/>
          <w:sz w:val="21"/>
          <w:szCs w:val="21"/>
        </w:rPr>
        <w:t xml:space="preserve">3</w:t>
      </w:r>
    </w:p>
    <w:p>
      <w:pPr>
        <w:tabs>
          <w:tab w:val="right" w:pos="9360" w:leader="dot"/>
        </w:tabs>
        <w:spacing w:after="70" w:before="40"/>
        <w:ind w:left="0"/>
      </w:pPr>
      <w:r>
        <w:rPr>
          <w:rFonts w:ascii="Calibri" w:cs="Calibri" w:eastAsia="Calibri" w:hAnsi="Calibri"/>
          <w:b/>
          <w:bCs/>
          <w:color w:val="1A2332"/>
          <w:sz w:val="21"/>
          <w:szCs w:val="21"/>
        </w:rPr>
        <w:t xml:space="preserve">3.  Functional Requirements by Module</w:t>
      </w:r>
      <w:r>
        <w:rPr>
          <w:rFonts w:ascii="Calibri" w:cs="Calibri" w:eastAsia="Calibri" w:hAnsi="Calibri"/>
          <w:b/>
          <w:bCs/>
          <w:color w:val="1A2332"/>
          <w:sz w:val="21"/>
          <w:szCs w:val="21"/>
        </w:rPr>
        <w:tab/>
      </w:r>
      <w:r>
        <w:rPr>
          <w:rFonts w:ascii="Calibri" w:cs="Calibri" w:eastAsia="Calibri" w:hAnsi="Calibri"/>
          <w:b/>
          <w:bCs/>
          <w:color w:val="1A2332"/>
          <w:sz w:val="21"/>
          <w:szCs w:val="21"/>
        </w:rPr>
        <w:t xml:space="preserve">4</w:t>
      </w:r>
    </w:p>
    <w:p>
      <w:pPr>
        <w:tabs>
          <w:tab w:val="right" w:pos="9360" w:leader="dot"/>
        </w:tabs>
        <w:spacing w:after="40" w:before="0"/>
        <w:ind w:left="320"/>
      </w:pPr>
      <w:r>
        <w:rPr>
          <w:rFonts w:ascii="Calibri" w:cs="Calibri" w:eastAsia="Calibri" w:hAnsi="Calibri"/>
          <w:b w:val="false"/>
          <w:bCs w:val="false"/>
          <w:color w:val="5A6B7C"/>
          <w:sz w:val="19"/>
          <w:szCs w:val="19"/>
        </w:rPr>
        <w:t xml:space="preserve">3.1  Ingestion &amp; Connector Layer</w:t>
      </w:r>
      <w:r>
        <w:rPr>
          <w:rFonts w:ascii="Calibri" w:cs="Calibri" w:eastAsia="Calibri" w:hAnsi="Calibri"/>
          <w:b w:val="false"/>
          <w:bCs w:val="false"/>
          <w:color w:val="5A6B7C"/>
          <w:sz w:val="19"/>
          <w:szCs w:val="19"/>
        </w:rPr>
        <w:tab/>
      </w:r>
      <w:r>
        <w:rPr>
          <w:rFonts w:ascii="Calibri" w:cs="Calibri" w:eastAsia="Calibri" w:hAnsi="Calibri"/>
          <w:b w:val="false"/>
          <w:bCs w:val="false"/>
          <w:color w:val="5A6B7C"/>
          <w:sz w:val="19"/>
          <w:szCs w:val="19"/>
        </w:rPr>
        <w:t xml:space="preserve">4</w:t>
      </w:r>
    </w:p>
    <w:p>
      <w:pPr>
        <w:tabs>
          <w:tab w:val="right" w:pos="9360" w:leader="dot"/>
        </w:tabs>
        <w:spacing w:after="40" w:before="0"/>
        <w:ind w:left="320"/>
      </w:pPr>
      <w:r>
        <w:rPr>
          <w:rFonts w:ascii="Calibri" w:cs="Calibri" w:eastAsia="Calibri" w:hAnsi="Calibri"/>
          <w:b w:val="false"/>
          <w:bCs w:val="false"/>
          <w:color w:val="5A6B7C"/>
          <w:sz w:val="19"/>
          <w:szCs w:val="19"/>
        </w:rPr>
        <w:t xml:space="preserve">3.2  Redaction &amp; Injection Hardening</w:t>
      </w:r>
      <w:r>
        <w:rPr>
          <w:rFonts w:ascii="Calibri" w:cs="Calibri" w:eastAsia="Calibri" w:hAnsi="Calibri"/>
          <w:b w:val="false"/>
          <w:bCs w:val="false"/>
          <w:color w:val="5A6B7C"/>
          <w:sz w:val="19"/>
          <w:szCs w:val="19"/>
        </w:rPr>
        <w:tab/>
      </w:r>
      <w:r>
        <w:rPr>
          <w:rFonts w:ascii="Calibri" w:cs="Calibri" w:eastAsia="Calibri" w:hAnsi="Calibri"/>
          <w:b w:val="false"/>
          <w:bCs w:val="false"/>
          <w:color w:val="5A6B7C"/>
          <w:sz w:val="19"/>
          <w:szCs w:val="19"/>
        </w:rPr>
        <w:t xml:space="preserve">4</w:t>
      </w:r>
    </w:p>
    <w:p>
      <w:pPr>
        <w:tabs>
          <w:tab w:val="right" w:pos="9360" w:leader="dot"/>
        </w:tabs>
        <w:spacing w:after="40" w:before="0"/>
        <w:ind w:left="320"/>
      </w:pPr>
      <w:r>
        <w:rPr>
          <w:rFonts w:ascii="Calibri" w:cs="Calibri" w:eastAsia="Calibri" w:hAnsi="Calibri"/>
          <w:b w:val="false"/>
          <w:bCs w:val="false"/>
          <w:color w:val="5A6B7C"/>
          <w:sz w:val="19"/>
          <w:szCs w:val="19"/>
        </w:rPr>
        <w:t xml:space="preserve">3.3  Deterministic Extraction Engine</w:t>
      </w:r>
      <w:r>
        <w:rPr>
          <w:rFonts w:ascii="Calibri" w:cs="Calibri" w:eastAsia="Calibri" w:hAnsi="Calibri"/>
          <w:b w:val="false"/>
          <w:bCs w:val="false"/>
          <w:color w:val="5A6B7C"/>
          <w:sz w:val="19"/>
          <w:szCs w:val="19"/>
        </w:rPr>
        <w:tab/>
      </w:r>
      <w:r>
        <w:rPr>
          <w:rFonts w:ascii="Calibri" w:cs="Calibri" w:eastAsia="Calibri" w:hAnsi="Calibri"/>
          <w:b w:val="false"/>
          <w:bCs w:val="false"/>
          <w:color w:val="5A6B7C"/>
          <w:sz w:val="19"/>
          <w:szCs w:val="19"/>
        </w:rPr>
        <w:t xml:space="preserve">4</w:t>
      </w:r>
    </w:p>
    <w:p>
      <w:pPr>
        <w:tabs>
          <w:tab w:val="right" w:pos="9360" w:leader="dot"/>
        </w:tabs>
        <w:spacing w:after="40" w:before="0"/>
        <w:ind w:left="320"/>
      </w:pPr>
      <w:r>
        <w:rPr>
          <w:rFonts w:ascii="Calibri" w:cs="Calibri" w:eastAsia="Calibri" w:hAnsi="Calibri"/>
          <w:b w:val="false"/>
          <w:bCs w:val="false"/>
          <w:color w:val="5A6B7C"/>
          <w:sz w:val="19"/>
          <w:szCs w:val="19"/>
        </w:rPr>
        <w:t xml:space="preserve">3.4  Semantic Inference Engine</w:t>
      </w:r>
      <w:r>
        <w:rPr>
          <w:rFonts w:ascii="Calibri" w:cs="Calibri" w:eastAsia="Calibri" w:hAnsi="Calibri"/>
          <w:b w:val="false"/>
          <w:bCs w:val="false"/>
          <w:color w:val="5A6B7C"/>
          <w:sz w:val="19"/>
          <w:szCs w:val="19"/>
        </w:rPr>
        <w:tab/>
      </w:r>
      <w:r>
        <w:rPr>
          <w:rFonts w:ascii="Calibri" w:cs="Calibri" w:eastAsia="Calibri" w:hAnsi="Calibri"/>
          <w:b w:val="false"/>
          <w:bCs w:val="false"/>
          <w:color w:val="5A6B7C"/>
          <w:sz w:val="19"/>
          <w:szCs w:val="19"/>
        </w:rPr>
        <w:t xml:space="preserve">5</w:t>
      </w:r>
    </w:p>
    <w:p>
      <w:pPr>
        <w:tabs>
          <w:tab w:val="right" w:pos="9360" w:leader="dot"/>
        </w:tabs>
        <w:spacing w:after="40" w:before="0"/>
        <w:ind w:left="320"/>
      </w:pPr>
      <w:r>
        <w:rPr>
          <w:rFonts w:ascii="Calibri" w:cs="Calibri" w:eastAsia="Calibri" w:hAnsi="Calibri"/>
          <w:b w:val="false"/>
          <w:bCs w:val="false"/>
          <w:color w:val="5A6B7C"/>
          <w:sz w:val="19"/>
          <w:szCs w:val="19"/>
        </w:rPr>
        <w:t xml:space="preserve">3.5  Knowledge Graph &amp; Provenance Store</w:t>
      </w:r>
      <w:r>
        <w:rPr>
          <w:rFonts w:ascii="Calibri" w:cs="Calibri" w:eastAsia="Calibri" w:hAnsi="Calibri"/>
          <w:b w:val="false"/>
          <w:bCs w:val="false"/>
          <w:color w:val="5A6B7C"/>
          <w:sz w:val="19"/>
          <w:szCs w:val="19"/>
        </w:rPr>
        <w:tab/>
      </w:r>
      <w:r>
        <w:rPr>
          <w:rFonts w:ascii="Calibri" w:cs="Calibri" w:eastAsia="Calibri" w:hAnsi="Calibri"/>
          <w:b w:val="false"/>
          <w:bCs w:val="false"/>
          <w:color w:val="5A6B7C"/>
          <w:sz w:val="19"/>
          <w:szCs w:val="19"/>
        </w:rPr>
        <w:t xml:space="preserve">5</w:t>
      </w:r>
    </w:p>
    <w:p>
      <w:pPr>
        <w:tabs>
          <w:tab w:val="right" w:pos="9360" w:leader="dot"/>
        </w:tabs>
        <w:spacing w:after="40" w:before="0"/>
        <w:ind w:left="320"/>
      </w:pPr>
      <w:r>
        <w:rPr>
          <w:rFonts w:ascii="Calibri" w:cs="Calibri" w:eastAsia="Calibri" w:hAnsi="Calibri"/>
          <w:b w:val="false"/>
          <w:bCs w:val="false"/>
          <w:color w:val="5A6B7C"/>
          <w:sz w:val="19"/>
          <w:szCs w:val="19"/>
        </w:rPr>
        <w:t xml:space="preserve">3.6  Reconciliation &amp; Confidence Engine</w:t>
      </w:r>
      <w:r>
        <w:rPr>
          <w:rFonts w:ascii="Calibri" w:cs="Calibri" w:eastAsia="Calibri" w:hAnsi="Calibri"/>
          <w:b w:val="false"/>
          <w:bCs w:val="false"/>
          <w:color w:val="5A6B7C"/>
          <w:sz w:val="19"/>
          <w:szCs w:val="19"/>
        </w:rPr>
        <w:tab/>
      </w:r>
      <w:r>
        <w:rPr>
          <w:rFonts w:ascii="Calibri" w:cs="Calibri" w:eastAsia="Calibri" w:hAnsi="Calibri"/>
          <w:b w:val="false"/>
          <w:bCs w:val="false"/>
          <w:color w:val="5A6B7C"/>
          <w:sz w:val="19"/>
          <w:szCs w:val="19"/>
        </w:rPr>
        <w:t xml:space="preserve">6</w:t>
      </w:r>
    </w:p>
    <w:p>
      <w:pPr>
        <w:tabs>
          <w:tab w:val="right" w:pos="9360" w:leader="dot"/>
        </w:tabs>
        <w:spacing w:after="40" w:before="0"/>
        <w:ind w:left="320"/>
      </w:pPr>
      <w:r>
        <w:rPr>
          <w:rFonts w:ascii="Calibri" w:cs="Calibri" w:eastAsia="Calibri" w:hAnsi="Calibri"/>
          <w:b w:val="false"/>
          <w:bCs w:val="false"/>
          <w:color w:val="5A6B7C"/>
          <w:sz w:val="19"/>
          <w:szCs w:val="19"/>
        </w:rPr>
        <w:t xml:space="preserve">3.7  OKF Renderers</w:t>
      </w:r>
      <w:r>
        <w:rPr>
          <w:rFonts w:ascii="Calibri" w:cs="Calibri" w:eastAsia="Calibri" w:hAnsi="Calibri"/>
          <w:b w:val="false"/>
          <w:bCs w:val="false"/>
          <w:color w:val="5A6B7C"/>
          <w:sz w:val="19"/>
          <w:szCs w:val="19"/>
        </w:rPr>
        <w:tab/>
      </w:r>
      <w:r>
        <w:rPr>
          <w:rFonts w:ascii="Calibri" w:cs="Calibri" w:eastAsia="Calibri" w:hAnsi="Calibri"/>
          <w:b w:val="false"/>
          <w:bCs w:val="false"/>
          <w:color w:val="5A6B7C"/>
          <w:sz w:val="19"/>
          <w:szCs w:val="19"/>
        </w:rPr>
        <w:t xml:space="preserve">6</w:t>
      </w:r>
    </w:p>
    <w:p>
      <w:pPr>
        <w:tabs>
          <w:tab w:val="right" w:pos="9360" w:leader="dot"/>
        </w:tabs>
        <w:spacing w:after="40" w:before="0"/>
        <w:ind w:left="320"/>
      </w:pPr>
      <w:r>
        <w:rPr>
          <w:rFonts w:ascii="Calibri" w:cs="Calibri" w:eastAsia="Calibri" w:hAnsi="Calibri"/>
          <w:b w:val="false"/>
          <w:bCs w:val="false"/>
          <w:color w:val="5A6B7C"/>
          <w:sz w:val="19"/>
          <w:szCs w:val="19"/>
        </w:rPr>
        <w:t xml:space="preserve">3.8  Gap Analysis Planner</w:t>
      </w:r>
      <w:r>
        <w:rPr>
          <w:rFonts w:ascii="Calibri" w:cs="Calibri" w:eastAsia="Calibri" w:hAnsi="Calibri"/>
          <w:b w:val="false"/>
          <w:bCs w:val="false"/>
          <w:color w:val="5A6B7C"/>
          <w:sz w:val="19"/>
          <w:szCs w:val="19"/>
        </w:rPr>
        <w:tab/>
      </w:r>
      <w:r>
        <w:rPr>
          <w:rFonts w:ascii="Calibri" w:cs="Calibri" w:eastAsia="Calibri" w:hAnsi="Calibri"/>
          <w:b w:val="false"/>
          <w:bCs w:val="false"/>
          <w:color w:val="5A6B7C"/>
          <w:sz w:val="19"/>
          <w:szCs w:val="19"/>
        </w:rPr>
        <w:t xml:space="preserve">7</w:t>
      </w:r>
    </w:p>
    <w:p>
      <w:pPr>
        <w:tabs>
          <w:tab w:val="right" w:pos="9360" w:leader="dot"/>
        </w:tabs>
        <w:spacing w:after="40" w:before="0"/>
        <w:ind w:left="320"/>
      </w:pPr>
      <w:r>
        <w:rPr>
          <w:rFonts w:ascii="Calibri" w:cs="Calibri" w:eastAsia="Calibri" w:hAnsi="Calibri"/>
          <w:b w:val="false"/>
          <w:bCs w:val="false"/>
          <w:color w:val="5A6B7C"/>
          <w:sz w:val="19"/>
          <w:szCs w:val="19"/>
        </w:rPr>
        <w:t xml:space="preserve">3.9  Differential / Drift Detection Engine</w:t>
      </w:r>
      <w:r>
        <w:rPr>
          <w:rFonts w:ascii="Calibri" w:cs="Calibri" w:eastAsia="Calibri" w:hAnsi="Calibri"/>
          <w:b w:val="false"/>
          <w:bCs w:val="false"/>
          <w:color w:val="5A6B7C"/>
          <w:sz w:val="19"/>
          <w:szCs w:val="19"/>
        </w:rPr>
        <w:tab/>
      </w:r>
      <w:r>
        <w:rPr>
          <w:rFonts w:ascii="Calibri" w:cs="Calibri" w:eastAsia="Calibri" w:hAnsi="Calibri"/>
          <w:b w:val="false"/>
          <w:bCs w:val="false"/>
          <w:color w:val="5A6B7C"/>
          <w:sz w:val="19"/>
          <w:szCs w:val="19"/>
        </w:rPr>
        <w:t xml:space="preserve">7</w:t>
      </w:r>
    </w:p>
    <w:p>
      <w:pPr>
        <w:tabs>
          <w:tab w:val="right" w:pos="9360" w:leader="dot"/>
        </w:tabs>
        <w:spacing w:after="40" w:before="0"/>
        <w:ind w:left="320"/>
      </w:pPr>
      <w:r>
        <w:rPr>
          <w:rFonts w:ascii="Calibri" w:cs="Calibri" w:eastAsia="Calibri" w:hAnsi="Calibri"/>
          <w:b w:val="false"/>
          <w:bCs w:val="false"/>
          <w:color w:val="5A6B7C"/>
          <w:sz w:val="19"/>
          <w:szCs w:val="19"/>
        </w:rPr>
        <w:t xml:space="preserve">3.10  Human Review &amp; Correction Loop</w:t>
      </w:r>
      <w:r>
        <w:rPr>
          <w:rFonts w:ascii="Calibri" w:cs="Calibri" w:eastAsia="Calibri" w:hAnsi="Calibri"/>
          <w:b w:val="false"/>
          <w:bCs w:val="false"/>
          <w:color w:val="5A6B7C"/>
          <w:sz w:val="19"/>
          <w:szCs w:val="19"/>
        </w:rPr>
        <w:tab/>
      </w:r>
      <w:r>
        <w:rPr>
          <w:rFonts w:ascii="Calibri" w:cs="Calibri" w:eastAsia="Calibri" w:hAnsi="Calibri"/>
          <w:b w:val="false"/>
          <w:bCs w:val="false"/>
          <w:color w:val="5A6B7C"/>
          <w:sz w:val="19"/>
          <w:szCs w:val="19"/>
        </w:rPr>
        <w:t xml:space="preserve">7</w:t>
      </w:r>
    </w:p>
    <w:p>
      <w:pPr>
        <w:tabs>
          <w:tab w:val="right" w:pos="9360" w:leader="dot"/>
        </w:tabs>
        <w:spacing w:after="40" w:before="0"/>
        <w:ind w:left="320"/>
      </w:pPr>
      <w:r>
        <w:rPr>
          <w:rFonts w:ascii="Calibri" w:cs="Calibri" w:eastAsia="Calibri" w:hAnsi="Calibri"/>
          <w:b w:val="false"/>
          <w:bCs w:val="false"/>
          <w:color w:val="5A6B7C"/>
          <w:sz w:val="19"/>
          <w:szCs w:val="19"/>
        </w:rPr>
        <w:t xml:space="preserve">3.11  Evaluation Harness</w:t>
      </w:r>
      <w:r>
        <w:rPr>
          <w:rFonts w:ascii="Calibri" w:cs="Calibri" w:eastAsia="Calibri" w:hAnsi="Calibri"/>
          <w:b w:val="false"/>
          <w:bCs w:val="false"/>
          <w:color w:val="5A6B7C"/>
          <w:sz w:val="19"/>
          <w:szCs w:val="19"/>
        </w:rPr>
        <w:tab/>
      </w:r>
      <w:r>
        <w:rPr>
          <w:rFonts w:ascii="Calibri" w:cs="Calibri" w:eastAsia="Calibri" w:hAnsi="Calibri"/>
          <w:b w:val="false"/>
          <w:bCs w:val="false"/>
          <w:color w:val="5A6B7C"/>
          <w:sz w:val="19"/>
          <w:szCs w:val="19"/>
        </w:rPr>
        <w:t xml:space="preserve">8</w:t>
      </w:r>
    </w:p>
    <w:p>
      <w:pPr>
        <w:tabs>
          <w:tab w:val="right" w:pos="9360" w:leader="dot"/>
        </w:tabs>
        <w:spacing w:after="40" w:before="0"/>
        <w:ind w:left="320"/>
      </w:pPr>
      <w:r>
        <w:rPr>
          <w:rFonts w:ascii="Calibri" w:cs="Calibri" w:eastAsia="Calibri" w:hAnsi="Calibri"/>
          <w:b w:val="false"/>
          <w:bCs w:val="false"/>
          <w:color w:val="5A6B7C"/>
          <w:sz w:val="19"/>
          <w:szCs w:val="19"/>
        </w:rPr>
        <w:t xml:space="preserve">3.12  Orchestration</w:t>
      </w:r>
      <w:r>
        <w:rPr>
          <w:rFonts w:ascii="Calibri" w:cs="Calibri" w:eastAsia="Calibri" w:hAnsi="Calibri"/>
          <w:b w:val="false"/>
          <w:bCs w:val="false"/>
          <w:color w:val="5A6B7C"/>
          <w:sz w:val="19"/>
          <w:szCs w:val="19"/>
        </w:rPr>
        <w:tab/>
      </w:r>
      <w:r>
        <w:rPr>
          <w:rFonts w:ascii="Calibri" w:cs="Calibri" w:eastAsia="Calibri" w:hAnsi="Calibri"/>
          <w:b w:val="false"/>
          <w:bCs w:val="false"/>
          <w:color w:val="5A6B7C"/>
          <w:sz w:val="19"/>
          <w:szCs w:val="19"/>
        </w:rPr>
        <w:t xml:space="preserve">8</w:t>
      </w:r>
    </w:p>
    <w:p>
      <w:pPr>
        <w:tabs>
          <w:tab w:val="right" w:pos="9360" w:leader="dot"/>
        </w:tabs>
        <w:spacing w:after="70" w:before="40"/>
        <w:ind w:left="0"/>
      </w:pPr>
      <w:r>
        <w:rPr>
          <w:rFonts w:ascii="Calibri" w:cs="Calibri" w:eastAsia="Calibri" w:hAnsi="Calibri"/>
          <w:b/>
          <w:bCs/>
          <w:color w:val="1A2332"/>
          <w:sz w:val="21"/>
          <w:szCs w:val="21"/>
        </w:rPr>
        <w:t xml:space="preserve">4.  Data Requirements — Knowledge Graph Ontology</w:t>
      </w:r>
      <w:r>
        <w:rPr>
          <w:rFonts w:ascii="Calibri" w:cs="Calibri" w:eastAsia="Calibri" w:hAnsi="Calibri"/>
          <w:b/>
          <w:bCs/>
          <w:color w:val="1A2332"/>
          <w:sz w:val="21"/>
          <w:szCs w:val="21"/>
        </w:rPr>
        <w:tab/>
      </w:r>
      <w:r>
        <w:rPr>
          <w:rFonts w:ascii="Calibri" w:cs="Calibri" w:eastAsia="Calibri" w:hAnsi="Calibri"/>
          <w:b/>
          <w:bCs/>
          <w:color w:val="1A2332"/>
          <w:sz w:val="21"/>
          <w:szCs w:val="21"/>
        </w:rPr>
        <w:t xml:space="preserve">8</w:t>
      </w:r>
    </w:p>
    <w:p>
      <w:pPr>
        <w:tabs>
          <w:tab w:val="right" w:pos="9360" w:leader="dot"/>
        </w:tabs>
        <w:spacing w:after="70" w:before="40"/>
        <w:ind w:left="0"/>
      </w:pPr>
      <w:r>
        <w:rPr>
          <w:rFonts w:ascii="Calibri" w:cs="Calibri" w:eastAsia="Calibri" w:hAnsi="Calibri"/>
          <w:b/>
          <w:bCs/>
          <w:color w:val="1A2332"/>
          <w:sz w:val="21"/>
          <w:szCs w:val="21"/>
        </w:rPr>
        <w:t xml:space="preserve">5.  Interface Requirements</w:t>
      </w:r>
      <w:r>
        <w:rPr>
          <w:rFonts w:ascii="Calibri" w:cs="Calibri" w:eastAsia="Calibri" w:hAnsi="Calibri"/>
          <w:b/>
          <w:bCs/>
          <w:color w:val="1A2332"/>
          <w:sz w:val="21"/>
          <w:szCs w:val="21"/>
        </w:rPr>
        <w:tab/>
      </w:r>
      <w:r>
        <w:rPr>
          <w:rFonts w:ascii="Calibri" w:cs="Calibri" w:eastAsia="Calibri" w:hAnsi="Calibri"/>
          <w:b/>
          <w:bCs/>
          <w:color w:val="1A2332"/>
          <w:sz w:val="21"/>
          <w:szCs w:val="21"/>
        </w:rPr>
        <w:t xml:space="preserve">9</w:t>
      </w:r>
    </w:p>
    <w:p>
      <w:pPr>
        <w:tabs>
          <w:tab w:val="right" w:pos="9360" w:leader="dot"/>
        </w:tabs>
        <w:spacing w:after="70" w:before="40"/>
        <w:ind w:left="0"/>
      </w:pPr>
      <w:r>
        <w:rPr>
          <w:rFonts w:ascii="Calibri" w:cs="Calibri" w:eastAsia="Calibri" w:hAnsi="Calibri"/>
          <w:b/>
          <w:bCs/>
          <w:color w:val="1A2332"/>
          <w:sz w:val="21"/>
          <w:szCs w:val="21"/>
        </w:rPr>
        <w:t xml:space="preserve">6.  Error Handling &amp; Edge Cases</w:t>
      </w:r>
      <w:r>
        <w:rPr>
          <w:rFonts w:ascii="Calibri" w:cs="Calibri" w:eastAsia="Calibri" w:hAnsi="Calibri"/>
          <w:b/>
          <w:bCs/>
          <w:color w:val="1A2332"/>
          <w:sz w:val="21"/>
          <w:szCs w:val="21"/>
        </w:rPr>
        <w:tab/>
      </w:r>
      <w:r>
        <w:rPr>
          <w:rFonts w:ascii="Calibri" w:cs="Calibri" w:eastAsia="Calibri" w:hAnsi="Calibri"/>
          <w:b/>
          <w:bCs/>
          <w:color w:val="1A2332"/>
          <w:sz w:val="21"/>
          <w:szCs w:val="21"/>
        </w:rPr>
        <w:t xml:space="preserve">9</w:t>
      </w:r>
    </w:p>
    <w:p>
      <w:pPr>
        <w:tabs>
          <w:tab w:val="right" w:pos="9360" w:leader="dot"/>
        </w:tabs>
        <w:spacing w:after="70" w:before="40"/>
        <w:ind w:left="0"/>
      </w:pPr>
      <w:r>
        <w:rPr>
          <w:rFonts w:ascii="Calibri" w:cs="Calibri" w:eastAsia="Calibri" w:hAnsi="Calibri"/>
          <w:b/>
          <w:bCs/>
          <w:color w:val="1A2332"/>
          <w:sz w:val="21"/>
          <w:szCs w:val="21"/>
        </w:rPr>
        <w:t xml:space="preserve">7.  Traceability Matrix</w:t>
      </w:r>
      <w:r>
        <w:rPr>
          <w:rFonts w:ascii="Calibri" w:cs="Calibri" w:eastAsia="Calibri" w:hAnsi="Calibri"/>
          <w:b/>
          <w:bCs/>
          <w:color w:val="1A2332"/>
          <w:sz w:val="21"/>
          <w:szCs w:val="21"/>
        </w:rPr>
        <w:tab/>
      </w:r>
      <w:r>
        <w:rPr>
          <w:rFonts w:ascii="Calibri" w:cs="Calibri" w:eastAsia="Calibri" w:hAnsi="Calibri"/>
          <w:b/>
          <w:bCs/>
          <w:color w:val="1A2332"/>
          <w:sz w:val="21"/>
          <w:szCs w:val="21"/>
        </w:rPr>
        <w:t xml:space="preserve">10</w:t>
      </w:r>
    </w:p>
    <w:p>
      <w:r>
        <w:br w:type="page"/>
      </w:r>
    </w:p>
    <w:p>
      <w:pPr>
        <w:pStyle w:val="Heading1"/>
        <w:pBdr>
          <w:bottom w:val="single" w:color="2E5A8C" w:sz="8" w:space="6"/>
        </w:pBdr>
        <w:spacing w:after="140" w:before="260"/>
      </w:pPr>
      <w:r>
        <w:rPr>
          <w:rFonts w:ascii="Calibri" w:cs="Calibri" w:eastAsia="Calibri" w:hAnsi="Calibri"/>
          <w:b/>
          <w:bCs/>
          <w:color w:val="1A2332"/>
          <w:sz w:val="30"/>
          <w:szCs w:val="30"/>
        </w:rPr>
        <w:t xml:space="preserve">1.  Introduction</w:t>
      </w:r>
    </w:p>
    <w:p>
      <w:pPr>
        <w:pStyle w:val="Heading2"/>
        <w:spacing w:after="90" w:before="200"/>
      </w:pPr>
      <w:r>
        <w:rPr>
          <w:rFonts w:ascii="Calibri" w:cs="Calibri" w:eastAsia="Calibri" w:hAnsi="Calibri"/>
          <w:b/>
          <w:bCs/>
          <w:color w:val="2E5A8C"/>
          <w:sz w:val="24"/>
          <w:szCs w:val="24"/>
        </w:rPr>
        <w:t xml:space="preserve">1.1  Purpose</w:t>
      </w:r>
    </w:p>
    <w:p>
      <w:pPr>
        <w:spacing w:after="120" w:before="0" w:line="264"/>
      </w:pPr>
      <w:r>
        <w:rPr>
          <w:rFonts w:ascii="Calibri" w:cs="Calibri" w:eastAsia="Calibri" w:hAnsi="Calibri"/>
          <w:color w:val="1A2332"/>
          <w:sz w:val="21"/>
          <w:szCs w:val="21"/>
        </w:rPr>
        <w:t xml:space="preserve">This document specifies the functional behaviour of the AI-DLC Reverse Engineering Platform. It decomposes the product into modules and defines, for each, the functional requirements, inputs, outputs, processing logic, data, interfaces, and error handling. It is the implementation-facing companion to the BRD (business rationale) and PRD (product definition), and every requirement here traces upward to a PRD epic and a business requirement.</w:t>
      </w:r>
    </w:p>
    <w:p>
      <w:pPr>
        <w:pStyle w:val="Heading2"/>
        <w:spacing w:after="90" w:before="200"/>
      </w:pPr>
      <w:r>
        <w:rPr>
          <w:rFonts w:ascii="Calibri" w:cs="Calibri" w:eastAsia="Calibri" w:hAnsi="Calibri"/>
          <w:b/>
          <w:bCs/>
          <w:color w:val="2E5A8C"/>
          <w:sz w:val="24"/>
          <w:szCs w:val="24"/>
        </w:rPr>
        <w:t xml:space="preserve">1.2  Scope</w:t>
      </w:r>
    </w:p>
    <w:p>
      <w:pPr>
        <w:spacing w:after="120" w:before="0" w:line="264"/>
      </w:pPr>
      <w:r>
        <w:rPr>
          <w:rFonts w:ascii="Calibri" w:cs="Calibri" w:eastAsia="Calibri" w:hAnsi="Calibri"/>
          <w:color w:val="1A2332"/>
          <w:sz w:val="21"/>
          <w:szCs w:val="21"/>
        </w:rPr>
        <w:t xml:space="preserve">The specification covers the end-to-end pipeline: ingestion, redaction, deterministic extraction, semantic inference, knowledge graph and provenance, reconciliation and confidence, OKF rendering, gap analysis, drift detection, review and correction, evaluation, and orchestration. It does not specify remediation, monitoring, or target-state design, which are out of scope per the BRD.</w:t>
      </w:r>
    </w:p>
    <w:p>
      <w:pPr>
        <w:pStyle w:val="Heading2"/>
        <w:spacing w:after="90" w:before="200"/>
      </w:pPr>
      <w:r>
        <w:rPr>
          <w:rFonts w:ascii="Calibri" w:cs="Calibri" w:eastAsia="Calibri" w:hAnsi="Calibri"/>
          <w:b/>
          <w:bCs/>
          <w:color w:val="2E5A8C"/>
          <w:sz w:val="24"/>
          <w:szCs w:val="24"/>
        </w:rPr>
        <w:t xml:space="preserve">1.3  Priority Convention</w:t>
      </w:r>
    </w:p>
    <w:p>
      <w:pPr>
        <w:spacing w:after="120" w:before="0" w:line="264"/>
      </w:pPr>
      <w:r>
        <w:rPr>
          <w:rFonts w:ascii="Calibri" w:cs="Calibri" w:eastAsia="Calibri" w:hAnsi="Calibri"/>
          <w:color w:val="1A2332"/>
          <w:sz w:val="21"/>
          <w:szCs w:val="21"/>
        </w:rPr>
        <w:t xml:space="preserve">Priorities follow MoSCoW: M (Must), S (Should), C (Could). Trace references point to the PRD epic (E#) and, transitively, the business requirement.</w:t>
      </w:r>
    </w:p>
    <w:p>
      <w:pPr>
        <w:pStyle w:val="Heading1"/>
        <w:pBdr>
          <w:bottom w:val="single" w:color="2E5A8C" w:sz="8" w:space="6"/>
        </w:pBdr>
        <w:spacing w:after="140" w:before="260"/>
      </w:pPr>
      <w:r>
        <w:rPr>
          <w:rFonts w:ascii="Calibri" w:cs="Calibri" w:eastAsia="Calibri" w:hAnsi="Calibri"/>
          <w:b/>
          <w:bCs/>
          <w:color w:val="1A2332"/>
          <w:sz w:val="30"/>
          <w:szCs w:val="30"/>
        </w:rPr>
        <w:t xml:space="preserve">2.  System Overview</w:t>
      </w:r>
    </w:p>
    <w:p>
      <w:pPr>
        <w:spacing w:after="120" w:before="0" w:line="264"/>
      </w:pPr>
      <w:r>
        <w:rPr>
          <w:rFonts w:ascii="Calibri" w:cs="Calibri" w:eastAsia="Calibri" w:hAnsi="Calibri"/>
          <w:color w:val="1A2332"/>
          <w:sz w:val="21"/>
          <w:szCs w:val="21"/>
        </w:rPr>
        <w:t xml:space="preserve">The platform is a staged pipeline over a shared knowledge graph. Untrusted content is redacted and treated as data at every step; facts are extracted deterministically before any model inference; all elements are stored with provenance and confidence; and all outputs are rendered as projections of the graph.</w:t>
      </w:r>
    </w:p>
    <w:p>
      <w:pPr>
        <w:pStyle w:val="Heading3"/>
        <w:spacing w:after="70" w:before="150"/>
      </w:pPr>
      <w:r>
        <w:rPr>
          <w:rFonts w:ascii="Calibri" w:cs="Calibri" w:eastAsia="Calibri" w:hAnsi="Calibri"/>
          <w:b/>
          <w:bCs/>
          <w:color w:val="1A2332"/>
          <w:sz w:val="21"/>
          <w:szCs w:val="21"/>
        </w:rPr>
        <w:t xml:space="preserve">2.1  Processing Pipeline</w:t>
      </w:r>
    </w:p>
    <w:p>
      <w:pPr>
        <w:pStyle w:val="ListParagraph"/>
        <w:numPr>
          <w:ilvl w:val="0"/>
          <w:numId w:val="2"/>
        </w:numPr>
        <w:spacing w:after="60" w:line="260"/>
      </w:pPr>
      <w:r>
        <w:rPr>
          <w:rFonts w:ascii="Calibri" w:cs="Calibri" w:eastAsia="Calibri" w:hAnsi="Calibri"/>
          <w:color w:val="1A2332"/>
          <w:sz w:val="21"/>
          <w:szCs w:val="21"/>
        </w:rPr>
        <w:t xml:space="preserve">Connectors ingest and normalise artifact sources.</w:t>
      </w:r>
    </w:p>
    <w:p>
      <w:pPr>
        <w:pStyle w:val="ListParagraph"/>
        <w:numPr>
          <w:ilvl w:val="0"/>
          <w:numId w:val="2"/>
        </w:numPr>
        <w:spacing w:after="60" w:line="260"/>
      </w:pPr>
      <w:r>
        <w:rPr>
          <w:rFonts w:ascii="Calibri" w:cs="Calibri" w:eastAsia="Calibri" w:hAnsi="Calibri"/>
          <w:color w:val="1A2332"/>
          <w:sz w:val="21"/>
          <w:szCs w:val="21"/>
        </w:rPr>
        <w:t xml:space="preserve">The redaction &amp; hardening layer removes secrets/PII and neutralises injection.</w:t>
      </w:r>
    </w:p>
    <w:p>
      <w:pPr>
        <w:pStyle w:val="ListParagraph"/>
        <w:numPr>
          <w:ilvl w:val="0"/>
          <w:numId w:val="2"/>
        </w:numPr>
        <w:spacing w:after="60" w:line="260"/>
      </w:pPr>
      <w:r>
        <w:rPr>
          <w:rFonts w:ascii="Calibri" w:cs="Calibri" w:eastAsia="Calibri" w:hAnsi="Calibri"/>
          <w:color w:val="1A2332"/>
          <w:sz w:val="21"/>
          <w:szCs w:val="21"/>
        </w:rPr>
        <w:t xml:space="preserve">The deterministic extraction engine produces exact facts.</w:t>
      </w:r>
    </w:p>
    <w:p>
      <w:pPr>
        <w:pStyle w:val="ListParagraph"/>
        <w:numPr>
          <w:ilvl w:val="0"/>
          <w:numId w:val="2"/>
        </w:numPr>
        <w:spacing w:after="60" w:line="260"/>
      </w:pPr>
      <w:r>
        <w:rPr>
          <w:rFonts w:ascii="Calibri" w:cs="Calibri" w:eastAsia="Calibri" w:hAnsi="Calibri"/>
          <w:color w:val="1A2332"/>
          <w:sz w:val="21"/>
          <w:szCs w:val="21"/>
        </w:rPr>
        <w:t xml:space="preserve">The semantic inference engine interprets facts into domains and rationale.</w:t>
      </w:r>
    </w:p>
    <w:p>
      <w:pPr>
        <w:pStyle w:val="ListParagraph"/>
        <w:numPr>
          <w:ilvl w:val="0"/>
          <w:numId w:val="2"/>
        </w:numPr>
        <w:spacing w:after="60" w:line="260"/>
      </w:pPr>
      <w:r>
        <w:rPr>
          <w:rFonts w:ascii="Calibri" w:cs="Calibri" w:eastAsia="Calibri" w:hAnsi="Calibri"/>
          <w:color w:val="1A2332"/>
          <w:sz w:val="21"/>
          <w:szCs w:val="21"/>
        </w:rPr>
        <w:t xml:space="preserve">The knowledge graph stores all elements with provenance.</w:t>
      </w:r>
    </w:p>
    <w:p>
      <w:pPr>
        <w:pStyle w:val="ListParagraph"/>
        <w:numPr>
          <w:ilvl w:val="0"/>
          <w:numId w:val="2"/>
        </w:numPr>
        <w:spacing w:after="60" w:line="260"/>
      </w:pPr>
      <w:r>
        <w:rPr>
          <w:rFonts w:ascii="Calibri" w:cs="Calibri" w:eastAsia="Calibri" w:hAnsi="Calibri"/>
          <w:color w:val="1A2332"/>
          <w:sz w:val="21"/>
          <w:szCs w:val="21"/>
        </w:rPr>
        <w:t xml:space="preserve">The reconciliation &amp; confidence engine merges sources and surfaces conflicts.</w:t>
      </w:r>
    </w:p>
    <w:p>
      <w:pPr>
        <w:pStyle w:val="ListParagraph"/>
        <w:numPr>
          <w:ilvl w:val="0"/>
          <w:numId w:val="2"/>
        </w:numPr>
        <w:spacing w:after="60" w:line="260"/>
      </w:pPr>
      <w:r>
        <w:rPr>
          <w:rFonts w:ascii="Calibri" w:cs="Calibri" w:eastAsia="Calibri" w:hAnsi="Calibri"/>
          <w:color w:val="1A2332"/>
          <w:sz w:val="21"/>
          <w:szCs w:val="21"/>
        </w:rPr>
        <w:t xml:space="preserve">The OKF renderers project the graph into the eleven output artifacts.</w:t>
      </w:r>
    </w:p>
    <w:p>
      <w:pPr>
        <w:pStyle w:val="ListParagraph"/>
        <w:numPr>
          <w:ilvl w:val="0"/>
          <w:numId w:val="2"/>
        </w:numPr>
        <w:spacing w:after="60" w:line="260"/>
      </w:pPr>
      <w:r>
        <w:rPr>
          <w:rFonts w:ascii="Calibri" w:cs="Calibri" w:eastAsia="Calibri" w:hAnsi="Calibri"/>
          <w:color w:val="1A2332"/>
          <w:sz w:val="21"/>
          <w:szCs w:val="21"/>
        </w:rPr>
        <w:t xml:space="preserve">The gap planner reports missing inputs.</w:t>
      </w:r>
    </w:p>
    <w:p>
      <w:pPr>
        <w:pStyle w:val="ListParagraph"/>
        <w:numPr>
          <w:ilvl w:val="0"/>
          <w:numId w:val="2"/>
        </w:numPr>
        <w:spacing w:after="60" w:line="260"/>
      </w:pPr>
      <w:r>
        <w:rPr>
          <w:rFonts w:ascii="Calibri" w:cs="Calibri" w:eastAsia="Calibri" w:hAnsi="Calibri"/>
          <w:color w:val="1A2332"/>
          <w:sz w:val="21"/>
          <w:szCs w:val="21"/>
        </w:rPr>
        <w:t xml:space="preserve">The differential engine diffs runs and reports drift.</w:t>
      </w:r>
    </w:p>
    <w:p>
      <w:pPr>
        <w:pStyle w:val="ListParagraph"/>
        <w:numPr>
          <w:ilvl w:val="0"/>
          <w:numId w:val="2"/>
        </w:numPr>
        <w:spacing w:after="60" w:line="260"/>
      </w:pPr>
      <w:r>
        <w:rPr>
          <w:rFonts w:ascii="Calibri" w:cs="Calibri" w:eastAsia="Calibri" w:hAnsi="Calibri"/>
          <w:color w:val="1A2332"/>
          <w:sz w:val="21"/>
          <w:szCs w:val="21"/>
        </w:rPr>
        <w:t xml:space="preserve">The review loop captures and persists human corrections.</w:t>
      </w:r>
    </w:p>
    <w:p>
      <w:pPr>
        <w:pStyle w:val="ListParagraph"/>
        <w:numPr>
          <w:ilvl w:val="0"/>
          <w:numId w:val="2"/>
        </w:numPr>
        <w:spacing w:after="60" w:line="260"/>
      </w:pPr>
      <w:r>
        <w:rPr>
          <w:rFonts w:ascii="Calibri" w:cs="Calibri" w:eastAsia="Calibri" w:hAnsi="Calibri"/>
          <w:color w:val="1A2332"/>
          <w:sz w:val="21"/>
          <w:szCs w:val="21"/>
        </w:rPr>
        <w:t xml:space="preserve">The evaluation harness scores runs and gates regressions.</w:t>
      </w:r>
    </w:p>
    <w:p>
      <w:pPr>
        <w:pStyle w:val="ListParagraph"/>
        <w:numPr>
          <w:ilvl w:val="0"/>
          <w:numId w:val="2"/>
        </w:numPr>
        <w:spacing w:after="60" w:line="260"/>
      </w:pPr>
      <w:r>
        <w:rPr>
          <w:rFonts w:ascii="Calibri" w:cs="Calibri" w:eastAsia="Calibri" w:hAnsi="Calibri"/>
          <w:color w:val="1A2332"/>
          <w:sz w:val="21"/>
          <w:szCs w:val="21"/>
        </w:rPr>
        <w:t xml:space="preserve">The orchestrator sequences the pipeline and guarantees reproducibility.</w:t>
      </w:r>
    </w:p>
    <w:p>
      <w:pPr>
        <w:pStyle w:val="Heading3"/>
        <w:spacing w:after="70" w:before="150"/>
      </w:pPr>
      <w:r>
        <w:rPr>
          <w:rFonts w:ascii="Calibri" w:cs="Calibri" w:eastAsia="Calibri" w:hAnsi="Calibri"/>
          <w:b/>
          <w:bCs/>
          <w:color w:val="1A2332"/>
          <w:sz w:val="21"/>
          <w:szCs w:val="21"/>
        </w:rPr>
        <w:t xml:space="preserve">2.2  Module Trust Boundaries</w:t>
      </w:r>
    </w:p>
    <w:p>
      <w:pPr>
        <w:pStyle w:val="ListParagraph"/>
        <w:numPr>
          <w:ilvl w:val="0"/>
          <w:numId w:val="3"/>
        </w:numPr>
        <w:spacing w:after="60" w:line="260"/>
      </w:pPr>
      <w:r>
        <w:rPr>
          <w:rFonts w:ascii="Calibri" w:cs="Calibri" w:eastAsia="Calibri" w:hAnsi="Calibri"/>
          <w:color w:val="1A2332"/>
          <w:sz w:val="21"/>
          <w:szCs w:val="21"/>
        </w:rPr>
        <w:t xml:space="preserve">Extraction agents that read untrusted content have no tools and no write access; they emit structured claims only.</w:t>
      </w:r>
    </w:p>
    <w:p>
      <w:pPr>
        <w:pStyle w:val="ListParagraph"/>
        <w:numPr>
          <w:ilvl w:val="0"/>
          <w:numId w:val="3"/>
        </w:numPr>
        <w:spacing w:after="60" w:line="260"/>
      </w:pPr>
      <w:r>
        <w:rPr>
          <w:rFonts w:ascii="Calibri" w:cs="Calibri" w:eastAsia="Calibri" w:hAnsi="Calibri"/>
          <w:color w:val="1A2332"/>
          <w:sz w:val="21"/>
          <w:szCs w:val="21"/>
        </w:rPr>
        <w:t xml:space="preserve">Only validated claims enter the graph; raw ingested text never drives side effects.</w:t>
      </w:r>
    </w:p>
    <w:p>
      <w:pPr>
        <w:pStyle w:val="Heading1"/>
        <w:pBdr>
          <w:bottom w:val="single" w:color="2E5A8C" w:sz="8" w:space="6"/>
        </w:pBdr>
        <w:spacing w:after="140" w:before="260"/>
      </w:pPr>
      <w:r>
        <w:rPr>
          <w:rFonts w:ascii="Calibri" w:cs="Calibri" w:eastAsia="Calibri" w:hAnsi="Calibri"/>
          <w:b/>
          <w:bCs/>
          <w:color w:val="1A2332"/>
          <w:sz w:val="30"/>
          <w:szCs w:val="30"/>
        </w:rPr>
        <w:t xml:space="preserve">3.  Functional Requirements by Module</w:t>
      </w:r>
    </w:p>
    <w:p>
      <w:pPr>
        <w:pStyle w:val="Heading2"/>
        <w:spacing w:after="90" w:before="200"/>
      </w:pPr>
      <w:r>
        <w:rPr>
          <w:rFonts w:ascii="Calibri" w:cs="Calibri" w:eastAsia="Calibri" w:hAnsi="Calibri"/>
          <w:b/>
          <w:bCs/>
          <w:color w:val="2E5A8C"/>
          <w:sz w:val="24"/>
          <w:szCs w:val="24"/>
        </w:rPr>
        <w:t xml:space="preserve">3.1  Ingestion &amp; Connector Layer</w:t>
      </w:r>
    </w:p>
    <w:p>
      <w:pPr>
        <w:spacing w:after="120" w:before="0" w:line="264"/>
      </w:pPr>
      <w:r>
        <w:rPr>
          <w:rFonts w:ascii="Calibri" w:cs="Calibri" w:eastAsia="Calibri" w:hAnsi="Calibri"/>
          <w:color w:val="1A2332"/>
          <w:sz w:val="21"/>
          <w:szCs w:val="21"/>
        </w:rPr>
        <w:t xml:space="preserve">Connects to artifact sources and normalises them into a common intermediate representation (CIR).</w:t>
      </w:r>
    </w:p>
    <w:tbl>
      <w:tblPr>
        <w:tblW w:type="dxa" w:w="9360"/>
        <w:tblBorders>
          <w:top w:val="single" w:color="C9D4DF" w:sz="4"/>
          <w:left w:val="single" w:color="C9D4DF" w:sz="4"/>
          <w:bottom w:val="single" w:color="C9D4DF" w:sz="4"/>
          <w:right w:val="single" w:color="C9D4DF" w:sz="4"/>
          <w:insideH w:val="single" w:color="C9D4DF" w:sz="2"/>
          <w:insideV w:val="single" w:color="C9D4DF" w:sz="2"/>
        </w:tblBorders>
      </w:tblPr>
      <w:tblGrid>
        <w:gridCol w:w="850"/>
        <w:gridCol w:w="6200"/>
        <w:gridCol w:w="700"/>
        <w:gridCol w:w="1610"/>
      </w:tblGrid>
      <w:tr>
        <w:trPr>
          <w:tblHeader/>
        </w:trPr>
        <w:tc>
          <w:tcPr>
            <w:tcW w:type="dxa" w:w="85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ID</w:t>
            </w:r>
          </w:p>
        </w:tc>
        <w:tc>
          <w:tcPr>
            <w:tcW w:type="dxa" w:w="62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Functional Requirement</w:t>
            </w:r>
          </w:p>
        </w:tc>
        <w:tc>
          <w:tcPr>
            <w:tcW w:type="dxa" w:w="7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Pri.</w:t>
            </w:r>
          </w:p>
        </w:tc>
        <w:tc>
          <w:tcPr>
            <w:tcW w:type="dxa" w:w="161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Trace</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FR-ING-01</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system shall provide connectors for: source code repositories, technical/business documents, ticketing systems, knowledge bases, incident/triage records, consolidated logs, API gateway/marketplace definitions, integration specifications, data models, batch/scheduling definitions, recordings, and test cases.</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E1 / BR-01</w:t>
            </w:r>
          </w:p>
        </w:tc>
      </w:tr>
      <w:tr>
        <w:tc>
          <w:tcPr>
            <w:tcW w:type="dxa" w:w="8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FR-ING-02</w:t>
            </w:r>
          </w:p>
        </w:tc>
        <w:tc>
          <w:tcPr>
            <w:tcW w:type="dxa" w:w="6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Each connector shall normalise its source into the common intermediate representation with a stable artifact identifier.</w:t>
            </w:r>
          </w:p>
        </w:tc>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E1</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FR-ING-03</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system shall record, per ingested artifact, its source type, location, version/commit or timestamp, and checksum.</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E1 / BR-03</w:t>
            </w:r>
          </w:p>
        </w:tc>
      </w:tr>
      <w:tr>
        <w:tc>
          <w:tcPr>
            <w:tcW w:type="dxa" w:w="8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FR-ING-04</w:t>
            </w:r>
          </w:p>
        </w:tc>
        <w:tc>
          <w:tcPr>
            <w:tcW w:type="dxa" w:w="6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Connectors shall support incremental fetch, retrieving only artifacts changed since the last run.</w:t>
            </w:r>
          </w:p>
        </w:tc>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S</w:t>
            </w:r>
          </w:p>
        </w:tc>
        <w:tc>
          <w:tcPr>
            <w:tcW w:type="dxa" w:w="16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E1 / BR-07</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FR-ING-05</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system shall reject or quarantine artifacts that fail integrity or access validation and report them.</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E1</w:t>
            </w:r>
          </w:p>
        </w:tc>
      </w:tr>
      <w:tr>
        <w:tc>
          <w:tcPr>
            <w:tcW w:type="dxa" w:w="8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FR-ING-06</w:t>
            </w:r>
          </w:p>
        </w:tc>
        <w:tc>
          <w:tcPr>
            <w:tcW w:type="dxa" w:w="6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For code repositories, the connector shall capture commit history, authorship, and per-commit file change sets.</w:t>
            </w:r>
          </w:p>
        </w:tc>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E2 / BR-08</w:t>
            </w:r>
          </w:p>
        </w:tc>
      </w:tr>
    </w:tbl>
    <w:p>
      <w:pPr>
        <w:pStyle w:val="Heading2"/>
        <w:spacing w:after="90" w:before="200"/>
      </w:pPr>
      <w:r>
        <w:rPr>
          <w:rFonts w:ascii="Calibri" w:cs="Calibri" w:eastAsia="Calibri" w:hAnsi="Calibri"/>
          <w:b/>
          <w:bCs/>
          <w:color w:val="2E5A8C"/>
          <w:sz w:val="24"/>
          <w:szCs w:val="24"/>
        </w:rPr>
        <w:t xml:space="preserve">3.2  Redaction &amp; Injection Hardening</w:t>
      </w:r>
    </w:p>
    <w:p>
      <w:pPr>
        <w:spacing w:after="120" w:before="0" w:line="264"/>
      </w:pPr>
      <w:r>
        <w:rPr>
          <w:rFonts w:ascii="Calibri" w:cs="Calibri" w:eastAsia="Calibri" w:hAnsi="Calibri"/>
          <w:color w:val="1A2332"/>
          <w:sz w:val="21"/>
          <w:szCs w:val="21"/>
        </w:rPr>
        <w:t xml:space="preserve">Runs in the connector layer before any content is stored or sent to a model.</w:t>
      </w:r>
    </w:p>
    <w:tbl>
      <w:tblPr>
        <w:tblW w:type="dxa" w:w="9360"/>
        <w:tblBorders>
          <w:top w:val="single" w:color="C9D4DF" w:sz="4"/>
          <w:left w:val="single" w:color="C9D4DF" w:sz="4"/>
          <w:bottom w:val="single" w:color="C9D4DF" w:sz="4"/>
          <w:right w:val="single" w:color="C9D4DF" w:sz="4"/>
          <w:insideH w:val="single" w:color="C9D4DF" w:sz="2"/>
          <w:insideV w:val="single" w:color="C9D4DF" w:sz="2"/>
        </w:tblBorders>
      </w:tblPr>
      <w:tblGrid>
        <w:gridCol w:w="850"/>
        <w:gridCol w:w="6200"/>
        <w:gridCol w:w="700"/>
        <w:gridCol w:w="1610"/>
      </w:tblGrid>
      <w:tr>
        <w:trPr>
          <w:tblHeader/>
        </w:trPr>
        <w:tc>
          <w:tcPr>
            <w:tcW w:type="dxa" w:w="85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ID</w:t>
            </w:r>
          </w:p>
        </w:tc>
        <w:tc>
          <w:tcPr>
            <w:tcW w:type="dxa" w:w="62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Functional Requirement</w:t>
            </w:r>
          </w:p>
        </w:tc>
        <w:tc>
          <w:tcPr>
            <w:tcW w:type="dxa" w:w="7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Pri.</w:t>
            </w:r>
          </w:p>
        </w:tc>
        <w:tc>
          <w:tcPr>
            <w:tcW w:type="dxa" w:w="161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Trace</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FR-SEC-01</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system shall scan all ingested content for secrets and PII before storage or model access.</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E10 / BR-11</w:t>
            </w:r>
          </w:p>
        </w:tc>
      </w:tr>
      <w:tr>
        <w:tc>
          <w:tcPr>
            <w:tcW w:type="dxa" w:w="8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FR-SEC-02</w:t>
            </w:r>
          </w:p>
        </w:tc>
        <w:tc>
          <w:tcPr>
            <w:tcW w:type="dxa" w:w="6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Detected secrets/PII shall be replaced by a stable reference token, preserving structural position while removing the value.</w:t>
            </w:r>
          </w:p>
        </w:tc>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E10 / BR-11</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FR-SEC-03</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token-to-location mapping shall be held in an encrypted store never exposed to inference models or logs.</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E10 / BR-11</w:t>
            </w:r>
          </w:p>
        </w:tc>
      </w:tr>
      <w:tr>
        <w:tc>
          <w:tcPr>
            <w:tcW w:type="dxa" w:w="8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FR-SEC-04</w:t>
            </w:r>
          </w:p>
        </w:tc>
        <w:tc>
          <w:tcPr>
            <w:tcW w:type="dxa" w:w="6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pipeline shall not proceed for any artifact that has not passed the redaction gate.</w:t>
            </w:r>
          </w:p>
        </w:tc>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E10 / BR-11</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FR-SEC-05</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Ingested content shall be presented to models only within a delimited data context, never as instructions.</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E10</w:t>
            </w:r>
          </w:p>
        </w:tc>
      </w:tr>
      <w:tr>
        <w:tc>
          <w:tcPr>
            <w:tcW w:type="dxa" w:w="8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FR-SEC-06</w:t>
            </w:r>
          </w:p>
        </w:tc>
        <w:tc>
          <w:tcPr>
            <w:tcW w:type="dxa" w:w="6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Extraction agents reading ingested content shall have no tool access and no write access to the graph.</w:t>
            </w:r>
          </w:p>
        </w:tc>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E10</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FR-SEC-07</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system shall validate every extracted claim against schema and, where possible, deterministic facts before admission.</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E10, E5</w:t>
            </w:r>
          </w:p>
        </w:tc>
      </w:tr>
    </w:tbl>
    <w:p>
      <w:pPr>
        <w:pStyle w:val="Heading2"/>
        <w:spacing w:after="90" w:before="200"/>
      </w:pPr>
      <w:r>
        <w:rPr>
          <w:rFonts w:ascii="Calibri" w:cs="Calibri" w:eastAsia="Calibri" w:hAnsi="Calibri"/>
          <w:b/>
          <w:bCs/>
          <w:color w:val="2E5A8C"/>
          <w:sz w:val="24"/>
          <w:szCs w:val="24"/>
        </w:rPr>
        <w:t xml:space="preserve">3.3  Deterministic Extraction Engine</w:t>
      </w:r>
    </w:p>
    <w:p>
      <w:pPr>
        <w:spacing w:after="120" w:before="0" w:line="264"/>
      </w:pPr>
      <w:r>
        <w:rPr>
          <w:rFonts w:ascii="Calibri" w:cs="Calibri" w:eastAsia="Calibri" w:hAnsi="Calibri"/>
          <w:color w:val="1A2332"/>
          <w:sz w:val="21"/>
          <w:szCs w:val="21"/>
        </w:rPr>
        <w:t xml:space="preserve">Extracts exact facts using parsing, not model inference.</w:t>
      </w:r>
    </w:p>
    <w:tbl>
      <w:tblPr>
        <w:tblW w:type="dxa" w:w="9360"/>
        <w:tblBorders>
          <w:top w:val="single" w:color="C9D4DF" w:sz="4"/>
          <w:left w:val="single" w:color="C9D4DF" w:sz="4"/>
          <w:bottom w:val="single" w:color="C9D4DF" w:sz="4"/>
          <w:right w:val="single" w:color="C9D4DF" w:sz="4"/>
          <w:insideH w:val="single" w:color="C9D4DF" w:sz="2"/>
          <w:insideV w:val="single" w:color="C9D4DF" w:sz="2"/>
        </w:tblBorders>
      </w:tblPr>
      <w:tblGrid>
        <w:gridCol w:w="850"/>
        <w:gridCol w:w="6200"/>
        <w:gridCol w:w="700"/>
        <w:gridCol w:w="1610"/>
      </w:tblGrid>
      <w:tr>
        <w:trPr>
          <w:tblHeader/>
        </w:trPr>
        <w:tc>
          <w:tcPr>
            <w:tcW w:type="dxa" w:w="85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ID</w:t>
            </w:r>
          </w:p>
        </w:tc>
        <w:tc>
          <w:tcPr>
            <w:tcW w:type="dxa" w:w="62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Functional Requirement</w:t>
            </w:r>
          </w:p>
        </w:tc>
        <w:tc>
          <w:tcPr>
            <w:tcW w:type="dxa" w:w="7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Pri.</w:t>
            </w:r>
          </w:p>
        </w:tc>
        <w:tc>
          <w:tcPr>
            <w:tcW w:type="dxa" w:w="161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Trace</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FR-DET-01</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system shall build the module, dependency, and call graph from source using language-aware parsing (AST/LSP).</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E2 / BR-02</w:t>
            </w:r>
          </w:p>
        </w:tc>
      </w:tr>
      <w:tr>
        <w:tc>
          <w:tcPr>
            <w:tcW w:type="dxa" w:w="8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FR-DET-02</w:t>
            </w:r>
          </w:p>
        </w:tc>
        <w:tc>
          <w:tcPr>
            <w:tcW w:type="dxa" w:w="6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system shall extract the logical data model (entities, attributes, relationships) from migrations and/or ORM definitions.</w:t>
            </w:r>
          </w:p>
        </w:tc>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E2 / BR-02</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FR-DET-03</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system shall extract API contracts (endpoints, methods, payloads) from framework annotations and interface definitions.</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E2 / BR-02</w:t>
            </w:r>
          </w:p>
        </w:tc>
      </w:tr>
      <w:tr>
        <w:tc>
          <w:tcPr>
            <w:tcW w:type="dxa" w:w="8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FR-DET-04</w:t>
            </w:r>
          </w:p>
        </w:tc>
        <w:tc>
          <w:tcPr>
            <w:tcW w:type="dxa" w:w="6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system shall extract deployment topology from infrastructure-as-code, container, and configuration files.</w:t>
            </w:r>
          </w:p>
        </w:tc>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E2 / BR-02</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FR-DET-05</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system shall compute file co-change coupling from commit history as an additional boundary signal.</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E2 / BR-08</w:t>
            </w:r>
          </w:p>
        </w:tc>
      </w:tr>
      <w:tr>
        <w:tc>
          <w:tcPr>
            <w:tcW w:type="dxa" w:w="8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FR-DET-06</w:t>
            </w:r>
          </w:p>
        </w:tc>
        <w:tc>
          <w:tcPr>
            <w:tcW w:type="dxa" w:w="6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system shall compute component ownership from authorship and flag single-owner, stale components as knowledge-risk.</w:t>
            </w:r>
          </w:p>
        </w:tc>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S</w:t>
            </w:r>
          </w:p>
        </w:tc>
        <w:tc>
          <w:tcPr>
            <w:tcW w:type="dxa" w:w="16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E2 / BR-08</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FR-DET-07</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Deterministic outputs shall be byte-stable for identical inputs.</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E2 / BR-13</w:t>
            </w:r>
          </w:p>
        </w:tc>
      </w:tr>
      <w:tr>
        <w:tc>
          <w:tcPr>
            <w:tcW w:type="dxa" w:w="8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FR-DET-08</w:t>
            </w:r>
          </w:p>
        </w:tc>
        <w:tc>
          <w:tcPr>
            <w:tcW w:type="dxa" w:w="6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Every deterministic fact shall be stored with file-and-line (or equivalent) evidence.</w:t>
            </w:r>
          </w:p>
        </w:tc>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E3 / BR-03</w:t>
            </w:r>
          </w:p>
        </w:tc>
      </w:tr>
    </w:tbl>
    <w:p>
      <w:pPr>
        <w:pStyle w:val="Heading2"/>
        <w:spacing w:after="90" w:before="200"/>
      </w:pPr>
      <w:r>
        <w:rPr>
          <w:rFonts w:ascii="Calibri" w:cs="Calibri" w:eastAsia="Calibri" w:hAnsi="Calibri"/>
          <w:b/>
          <w:bCs/>
          <w:color w:val="2E5A8C"/>
          <w:sz w:val="24"/>
          <w:szCs w:val="24"/>
        </w:rPr>
        <w:t xml:space="preserve">3.4  Semantic Inference Engine</w:t>
      </w:r>
    </w:p>
    <w:p>
      <w:pPr>
        <w:spacing w:after="120" w:before="0" w:line="264"/>
      </w:pPr>
      <w:r>
        <w:rPr>
          <w:rFonts w:ascii="Calibri" w:cs="Calibri" w:eastAsia="Calibri" w:hAnsi="Calibri"/>
          <w:color w:val="1A2332"/>
          <w:sz w:val="21"/>
          <w:szCs w:val="21"/>
        </w:rPr>
        <w:t xml:space="preserve">Interprets verified facts into domains, bounded contexts, and rationale using AI over the deterministic skeleton — never over raw files.</w:t>
      </w:r>
    </w:p>
    <w:tbl>
      <w:tblPr>
        <w:tblW w:type="dxa" w:w="9360"/>
        <w:tblBorders>
          <w:top w:val="single" w:color="C9D4DF" w:sz="4"/>
          <w:left w:val="single" w:color="C9D4DF" w:sz="4"/>
          <w:bottom w:val="single" w:color="C9D4DF" w:sz="4"/>
          <w:right w:val="single" w:color="C9D4DF" w:sz="4"/>
          <w:insideH w:val="single" w:color="C9D4DF" w:sz="2"/>
          <w:insideV w:val="single" w:color="C9D4DF" w:sz="2"/>
        </w:tblBorders>
      </w:tblPr>
      <w:tblGrid>
        <w:gridCol w:w="850"/>
        <w:gridCol w:w="6200"/>
        <w:gridCol w:w="700"/>
        <w:gridCol w:w="1610"/>
      </w:tblGrid>
      <w:tr>
        <w:trPr>
          <w:tblHeader/>
        </w:trPr>
        <w:tc>
          <w:tcPr>
            <w:tcW w:type="dxa" w:w="85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ID</w:t>
            </w:r>
          </w:p>
        </w:tc>
        <w:tc>
          <w:tcPr>
            <w:tcW w:type="dxa" w:w="62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Functional Requirement</w:t>
            </w:r>
          </w:p>
        </w:tc>
        <w:tc>
          <w:tcPr>
            <w:tcW w:type="dxa" w:w="7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Pri.</w:t>
            </w:r>
          </w:p>
        </w:tc>
        <w:tc>
          <w:tcPr>
            <w:tcW w:type="dxa" w:w="161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Trace</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FR-SEM-01</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system shall infer bounded contexts by combining dependency-graph community detection, shared-vocabulary clustering, co-change coupling, and data-ownership signals.</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E4 / BR-02</w:t>
            </w:r>
          </w:p>
        </w:tc>
      </w:tr>
      <w:tr>
        <w:tc>
          <w:tcPr>
            <w:tcW w:type="dxa" w:w="8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FR-SEM-02</w:t>
            </w:r>
          </w:p>
        </w:tc>
        <w:tc>
          <w:tcPr>
            <w:tcW w:type="dxa" w:w="6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system shall name domains and aggregates and articulate their why/what/how in OKF format.</w:t>
            </w:r>
          </w:p>
        </w:tc>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E4 / BR-02</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FR-SEM-03</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semantic layer shall operate on structured facts and summaries, not raw source, to control cost and hallucination.</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E4</w:t>
            </w:r>
          </w:p>
        </w:tc>
      </w:tr>
      <w:tr>
        <w:tc>
          <w:tcPr>
            <w:tcW w:type="dxa" w:w="8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FR-SEM-04</w:t>
            </w:r>
          </w:p>
        </w:tc>
        <w:tc>
          <w:tcPr>
            <w:tcW w:type="dxa" w:w="6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system shall retrieve rationale from commit messages, PR discussions, tickets, and docs and attach it as evidence, without fabricating rationale where none exists.</w:t>
            </w:r>
          </w:p>
        </w:tc>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E4 / BR-02</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FR-SEM-05</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Inferred elements shall be flagged as inferred and distinguished from deterministically extracted facts.</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E4 / BR-04</w:t>
            </w:r>
          </w:p>
        </w:tc>
      </w:tr>
      <w:tr>
        <w:tc>
          <w:tcPr>
            <w:tcW w:type="dxa" w:w="8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FR-SEM-06</w:t>
            </w:r>
          </w:p>
        </w:tc>
        <w:tc>
          <w:tcPr>
            <w:tcW w:type="dxa" w:w="6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Inference shall run at low temperature with stable identifiers so that groupings persist across runs.</w:t>
            </w:r>
          </w:p>
        </w:tc>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E4 / BR-13</w:t>
            </w:r>
          </w:p>
        </w:tc>
      </w:tr>
    </w:tbl>
    <w:p>
      <w:pPr>
        <w:pStyle w:val="Heading2"/>
        <w:spacing w:after="90" w:before="200"/>
      </w:pPr>
      <w:r>
        <w:rPr>
          <w:rFonts w:ascii="Calibri" w:cs="Calibri" w:eastAsia="Calibri" w:hAnsi="Calibri"/>
          <w:b/>
          <w:bCs/>
          <w:color w:val="2E5A8C"/>
          <w:sz w:val="24"/>
          <w:szCs w:val="24"/>
        </w:rPr>
        <w:t xml:space="preserve">3.5  Knowledge Graph &amp; Provenance Store</w:t>
      </w:r>
    </w:p>
    <w:p>
      <w:pPr>
        <w:spacing w:after="120" w:before="0" w:line="264"/>
      </w:pPr>
      <w:r>
        <w:rPr>
          <w:rFonts w:ascii="Calibri" w:cs="Calibri" w:eastAsia="Calibri" w:hAnsi="Calibri"/>
          <w:color w:val="1A2332"/>
          <w:sz w:val="21"/>
          <w:szCs w:val="21"/>
        </w:rPr>
        <w:t xml:space="preserve">The single source of truth from which all outputs are projected.</w:t>
      </w:r>
    </w:p>
    <w:tbl>
      <w:tblPr>
        <w:tblW w:type="dxa" w:w="9360"/>
        <w:tblBorders>
          <w:top w:val="single" w:color="C9D4DF" w:sz="4"/>
          <w:left w:val="single" w:color="C9D4DF" w:sz="4"/>
          <w:bottom w:val="single" w:color="C9D4DF" w:sz="4"/>
          <w:right w:val="single" w:color="C9D4DF" w:sz="4"/>
          <w:insideH w:val="single" w:color="C9D4DF" w:sz="2"/>
          <w:insideV w:val="single" w:color="C9D4DF" w:sz="2"/>
        </w:tblBorders>
      </w:tblPr>
      <w:tblGrid>
        <w:gridCol w:w="850"/>
        <w:gridCol w:w="6200"/>
        <w:gridCol w:w="700"/>
        <w:gridCol w:w="1610"/>
      </w:tblGrid>
      <w:tr>
        <w:trPr>
          <w:tblHeader/>
        </w:trPr>
        <w:tc>
          <w:tcPr>
            <w:tcW w:type="dxa" w:w="85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ID</w:t>
            </w:r>
          </w:p>
        </w:tc>
        <w:tc>
          <w:tcPr>
            <w:tcW w:type="dxa" w:w="62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Functional Requirement</w:t>
            </w:r>
          </w:p>
        </w:tc>
        <w:tc>
          <w:tcPr>
            <w:tcW w:type="dxa" w:w="7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Pri.</w:t>
            </w:r>
          </w:p>
        </w:tc>
        <w:tc>
          <w:tcPr>
            <w:tcW w:type="dxa" w:w="161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Trace</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FR-KG-01</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system shall store all elements as typed nodes and typed edges per the ontology in Section 4.</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E3 / BR-02</w:t>
            </w:r>
          </w:p>
        </w:tc>
      </w:tr>
      <w:tr>
        <w:tc>
          <w:tcPr>
            <w:tcW w:type="dxa" w:w="8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FR-KG-02</w:t>
            </w:r>
          </w:p>
        </w:tc>
        <w:tc>
          <w:tcPr>
            <w:tcW w:type="dxa" w:w="6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Every node and edge shall carry provenance: source artifact, deriving method/agent, evidence reference, and timestamp.</w:t>
            </w:r>
          </w:p>
        </w:tc>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E3 / BR-03</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FR-KG-03</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Every node and edge shall carry a confidence value derived per Section 3.6.</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E3 / BR-04</w:t>
            </w:r>
          </w:p>
        </w:tc>
      </w:tr>
      <w:tr>
        <w:tc>
          <w:tcPr>
            <w:tcW w:type="dxa" w:w="8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FR-KG-04</w:t>
            </w:r>
          </w:p>
        </w:tc>
        <w:tc>
          <w:tcPr>
            <w:tcW w:type="dxa" w:w="6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Element identifiers shall be stable and content-derived so elements persist across runs.</w:t>
            </w:r>
          </w:p>
        </w:tc>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E3 / BR-13</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FR-KG-05</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graph shall be versioned; each run shall produce an immutable, addressable graph version.</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E3 / BR-07</w:t>
            </w:r>
          </w:p>
        </w:tc>
      </w:tr>
      <w:tr>
        <w:tc>
          <w:tcPr>
            <w:tcW w:type="dxa" w:w="8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FR-KG-06</w:t>
            </w:r>
          </w:p>
        </w:tc>
        <w:tc>
          <w:tcPr>
            <w:tcW w:type="dxa" w:w="6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graph shall support traversal-based retrieval (e.g. all elements related to a given aggregate).</w:t>
            </w:r>
          </w:p>
        </w:tc>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E6</w:t>
            </w:r>
          </w:p>
        </w:tc>
      </w:tr>
    </w:tbl>
    <w:p>
      <w:pPr>
        <w:pStyle w:val="Heading2"/>
        <w:spacing w:after="90" w:before="200"/>
      </w:pPr>
      <w:r>
        <w:rPr>
          <w:rFonts w:ascii="Calibri" w:cs="Calibri" w:eastAsia="Calibri" w:hAnsi="Calibri"/>
          <w:b/>
          <w:bCs/>
          <w:color w:val="2E5A8C"/>
          <w:sz w:val="24"/>
          <w:szCs w:val="24"/>
        </w:rPr>
        <w:t xml:space="preserve">3.6  Reconciliation &amp; Confidence Engine</w:t>
      </w:r>
    </w:p>
    <w:p>
      <w:pPr>
        <w:spacing w:after="120" w:before="0" w:line="264"/>
      </w:pPr>
      <w:r>
        <w:rPr>
          <w:rFonts w:ascii="Calibri" w:cs="Calibri" w:eastAsia="Calibri" w:hAnsi="Calibri"/>
          <w:color w:val="1A2332"/>
          <w:sz w:val="21"/>
          <w:szCs w:val="21"/>
        </w:rPr>
        <w:t xml:space="preserve">Merges signals across sources and surfaces disagreement.</w:t>
      </w:r>
    </w:p>
    <w:tbl>
      <w:tblPr>
        <w:tblW w:type="dxa" w:w="9360"/>
        <w:tblBorders>
          <w:top w:val="single" w:color="C9D4DF" w:sz="4"/>
          <w:left w:val="single" w:color="C9D4DF" w:sz="4"/>
          <w:bottom w:val="single" w:color="C9D4DF" w:sz="4"/>
          <w:right w:val="single" w:color="C9D4DF" w:sz="4"/>
          <w:insideH w:val="single" w:color="C9D4DF" w:sz="2"/>
          <w:insideV w:val="single" w:color="C9D4DF" w:sz="2"/>
        </w:tblBorders>
      </w:tblPr>
      <w:tblGrid>
        <w:gridCol w:w="850"/>
        <w:gridCol w:w="6200"/>
        <w:gridCol w:w="700"/>
        <w:gridCol w:w="1610"/>
      </w:tblGrid>
      <w:tr>
        <w:trPr>
          <w:tblHeader/>
        </w:trPr>
        <w:tc>
          <w:tcPr>
            <w:tcW w:type="dxa" w:w="85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ID</w:t>
            </w:r>
          </w:p>
        </w:tc>
        <w:tc>
          <w:tcPr>
            <w:tcW w:type="dxa" w:w="62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Functional Requirement</w:t>
            </w:r>
          </w:p>
        </w:tc>
        <w:tc>
          <w:tcPr>
            <w:tcW w:type="dxa" w:w="7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Pri.</w:t>
            </w:r>
          </w:p>
        </w:tc>
        <w:tc>
          <w:tcPr>
            <w:tcW w:type="dxa" w:w="161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Trace</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FR-REC-01</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system shall weight sources by type: code authoritative for structure, logs/traces for behaviour, config/IaC for deployment, docs/tickets for intent.</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E5 / BR-04</w:t>
            </w:r>
          </w:p>
        </w:tc>
      </w:tr>
      <w:tr>
        <w:tc>
          <w:tcPr>
            <w:tcW w:type="dxa" w:w="8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FR-REC-02</w:t>
            </w:r>
          </w:p>
        </w:tc>
        <w:tc>
          <w:tcPr>
            <w:tcW w:type="dxa" w:w="6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Confidence shall be derived structurally from source agreement, source-type weight, and cross-signal corroboration — not from model self-report.</w:t>
            </w:r>
          </w:p>
        </w:tc>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E5 / BR-04</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FR-REC-03</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confidence of a composite element shall be bounded by its least-certain constituent.</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E5 / BR-04</w:t>
            </w:r>
          </w:p>
        </w:tc>
      </w:tr>
      <w:tr>
        <w:tc>
          <w:tcPr>
            <w:tcW w:type="dxa" w:w="8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FR-REC-04</w:t>
            </w:r>
          </w:p>
        </w:tc>
        <w:tc>
          <w:tcPr>
            <w:tcW w:type="dxa" w:w="6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When sources disagree, the system shall record a conflict retaining both positions and their sources, and shall not silently resolve it.</w:t>
            </w:r>
          </w:p>
        </w:tc>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E5 / BR-05</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FR-REC-05</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Conflicts shall be exposed in outputs and prioritised for review.</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E5 / BR-05</w:t>
            </w:r>
          </w:p>
        </w:tc>
      </w:tr>
      <w:tr>
        <w:tc>
          <w:tcPr>
            <w:tcW w:type="dxa" w:w="8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FR-REC-06</w:t>
            </w:r>
          </w:p>
        </w:tc>
        <w:tc>
          <w:tcPr>
            <w:tcW w:type="dxa" w:w="6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Human-confirmed corrections shall override derived confidence and be treated as authoritative on subsequent runs.</w:t>
            </w:r>
          </w:p>
        </w:tc>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E9 / BR-09</w:t>
            </w:r>
          </w:p>
        </w:tc>
      </w:tr>
    </w:tbl>
    <w:p>
      <w:pPr>
        <w:pStyle w:val="Heading2"/>
        <w:spacing w:after="90" w:before="200"/>
      </w:pPr>
      <w:r>
        <w:rPr>
          <w:rFonts w:ascii="Calibri" w:cs="Calibri" w:eastAsia="Calibri" w:hAnsi="Calibri"/>
          <w:b/>
          <w:bCs/>
          <w:color w:val="2E5A8C"/>
          <w:sz w:val="24"/>
          <w:szCs w:val="24"/>
        </w:rPr>
        <w:t xml:space="preserve">3.7  OKF Renderers</w:t>
      </w:r>
    </w:p>
    <w:p>
      <w:pPr>
        <w:spacing w:after="120" w:before="0" w:line="264"/>
      </w:pPr>
      <w:r>
        <w:rPr>
          <w:rFonts w:ascii="Calibri" w:cs="Calibri" w:eastAsia="Calibri" w:hAnsi="Calibri"/>
          <w:color w:val="1A2332"/>
          <w:sz w:val="21"/>
          <w:szCs w:val="21"/>
        </w:rPr>
        <w:t xml:space="preserve">Project the graph into the eleven output artifacts. Renderers read the graph; they do not perform independent analysis.</w:t>
      </w:r>
    </w:p>
    <w:tbl>
      <w:tblPr>
        <w:tblW w:type="dxa" w:w="9360"/>
        <w:tblBorders>
          <w:top w:val="single" w:color="C9D4DF" w:sz="4"/>
          <w:left w:val="single" w:color="C9D4DF" w:sz="4"/>
          <w:bottom w:val="single" w:color="C9D4DF" w:sz="4"/>
          <w:right w:val="single" w:color="C9D4DF" w:sz="4"/>
          <w:insideH w:val="single" w:color="C9D4DF" w:sz="2"/>
          <w:insideV w:val="single" w:color="C9D4DF" w:sz="2"/>
        </w:tblBorders>
      </w:tblPr>
      <w:tblGrid>
        <w:gridCol w:w="850"/>
        <w:gridCol w:w="6200"/>
        <w:gridCol w:w="700"/>
        <w:gridCol w:w="1610"/>
      </w:tblGrid>
      <w:tr>
        <w:trPr>
          <w:tblHeader/>
        </w:trPr>
        <w:tc>
          <w:tcPr>
            <w:tcW w:type="dxa" w:w="85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ID</w:t>
            </w:r>
          </w:p>
        </w:tc>
        <w:tc>
          <w:tcPr>
            <w:tcW w:type="dxa" w:w="62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Functional Requirement</w:t>
            </w:r>
          </w:p>
        </w:tc>
        <w:tc>
          <w:tcPr>
            <w:tcW w:type="dxa" w:w="7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Pri.</w:t>
            </w:r>
          </w:p>
        </w:tc>
        <w:tc>
          <w:tcPr>
            <w:tcW w:type="dxa" w:w="161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Trace</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FR-OKF-01</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system shall render logical data models with a data dictionary.</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E6 / BR-02</w:t>
            </w:r>
          </w:p>
        </w:tc>
      </w:tr>
      <w:tr>
        <w:tc>
          <w:tcPr>
            <w:tcW w:type="dxa" w:w="8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FR-OKF-02</w:t>
            </w:r>
          </w:p>
        </w:tc>
        <w:tc>
          <w:tcPr>
            <w:tcW w:type="dxa" w:w="6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system shall render domains (bounded contexts, aggregates, why/what/how) in OKF format.</w:t>
            </w:r>
          </w:p>
        </w:tc>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E6 / BR-02</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FR-OKF-03</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system shall render user personas and per-persona journeys where supporting sources exist.</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S</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E6 / BR-02</w:t>
            </w:r>
          </w:p>
        </w:tc>
      </w:tr>
      <w:tr>
        <w:tc>
          <w:tcPr>
            <w:tcW w:type="dxa" w:w="8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FR-OKF-04</w:t>
            </w:r>
          </w:p>
        </w:tc>
        <w:tc>
          <w:tcPr>
            <w:tcW w:type="dxa" w:w="6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system shall render detailed screens where UI sources exist.</w:t>
            </w:r>
          </w:p>
        </w:tc>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S</w:t>
            </w:r>
          </w:p>
        </w:tc>
        <w:tc>
          <w:tcPr>
            <w:tcW w:type="dxa" w:w="16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E6 / BR-02</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FR-OKF-05</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system shall render execution flows (user-driven and system-driven).</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E6 / BR-02</w:t>
            </w:r>
          </w:p>
        </w:tc>
      </w:tr>
      <w:tr>
        <w:tc>
          <w:tcPr>
            <w:tcW w:type="dxa" w:w="8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FR-OKF-06</w:t>
            </w:r>
          </w:p>
        </w:tc>
        <w:tc>
          <w:tcPr>
            <w:tcW w:type="dxa" w:w="6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system shall render C4 architecture diagrams (context, container, component).</w:t>
            </w:r>
          </w:p>
        </w:tc>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E6 / BR-02</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FR-OKF-07</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system shall render deployment diagrams.</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E6 / BR-02</w:t>
            </w:r>
          </w:p>
        </w:tc>
      </w:tr>
      <w:tr>
        <w:tc>
          <w:tcPr>
            <w:tcW w:type="dxa" w:w="8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FR-OKF-08</w:t>
            </w:r>
          </w:p>
        </w:tc>
        <w:tc>
          <w:tcPr>
            <w:tcW w:type="dxa" w:w="6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system shall render non-functional requirements.</w:t>
            </w:r>
          </w:p>
        </w:tc>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S</w:t>
            </w:r>
          </w:p>
        </w:tc>
        <w:tc>
          <w:tcPr>
            <w:tcW w:type="dxa" w:w="16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E6 / BR-02</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FR-OKF-09</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system shall render epics, features, and user stories with acceptance criteria.</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E6 / BR-02</w:t>
            </w:r>
          </w:p>
        </w:tc>
      </w:tr>
      <w:tr>
        <w:tc>
          <w:tcPr>
            <w:tcW w:type="dxa" w:w="8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FR-OKF-10</w:t>
            </w:r>
          </w:p>
        </w:tc>
        <w:tc>
          <w:tcPr>
            <w:tcW w:type="dxa" w:w="6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system shall render upstream/downstream integrations with data flows.</w:t>
            </w:r>
          </w:p>
        </w:tc>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E6 / BR-02</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FR-OKF-11</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system shall render realtime and batch execution flows and their relationship to user journeys.</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E6 / BR-02</w:t>
            </w:r>
          </w:p>
        </w:tc>
      </w:tr>
      <w:tr>
        <w:tc>
          <w:tcPr>
            <w:tcW w:type="dxa" w:w="8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FR-OKF-12</w:t>
            </w:r>
          </w:p>
        </w:tc>
        <w:tc>
          <w:tcPr>
            <w:tcW w:type="dxa" w:w="6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Each rendered artifact shall carry, or link to, the provenance and confidence of its elements.</w:t>
            </w:r>
          </w:p>
        </w:tc>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E6 / BR-03, BR-04</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FR-OKF-13</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Renderers shall export to standard, tool-portable formats (e.g. C4 DSL, DBML/ERD, importable story markdown).</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E6 / BR-10</w:t>
            </w:r>
          </w:p>
        </w:tc>
      </w:tr>
    </w:tbl>
    <w:p>
      <w:pPr>
        <w:pStyle w:val="Heading2"/>
        <w:spacing w:after="90" w:before="200"/>
      </w:pPr>
      <w:r>
        <w:rPr>
          <w:rFonts w:ascii="Calibri" w:cs="Calibri" w:eastAsia="Calibri" w:hAnsi="Calibri"/>
          <w:b/>
          <w:bCs/>
          <w:color w:val="2E5A8C"/>
          <w:sz w:val="24"/>
          <w:szCs w:val="24"/>
        </w:rPr>
        <w:t xml:space="preserve">3.8  Gap Analysis Planner</w:t>
      </w:r>
    </w:p>
    <w:tbl>
      <w:tblPr>
        <w:tblW w:type="dxa" w:w="9360"/>
        <w:tblBorders>
          <w:top w:val="single" w:color="C9D4DF" w:sz="4"/>
          <w:left w:val="single" w:color="C9D4DF" w:sz="4"/>
          <w:bottom w:val="single" w:color="C9D4DF" w:sz="4"/>
          <w:right w:val="single" w:color="C9D4DF" w:sz="4"/>
          <w:insideH w:val="single" w:color="C9D4DF" w:sz="2"/>
          <w:insideV w:val="single" w:color="C9D4DF" w:sz="2"/>
        </w:tblBorders>
      </w:tblPr>
      <w:tblGrid>
        <w:gridCol w:w="850"/>
        <w:gridCol w:w="6200"/>
        <w:gridCol w:w="700"/>
        <w:gridCol w:w="1610"/>
      </w:tblGrid>
      <w:tr>
        <w:trPr>
          <w:tblHeader/>
        </w:trPr>
        <w:tc>
          <w:tcPr>
            <w:tcW w:type="dxa" w:w="85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ID</w:t>
            </w:r>
          </w:p>
        </w:tc>
        <w:tc>
          <w:tcPr>
            <w:tcW w:type="dxa" w:w="62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Functional Requirement</w:t>
            </w:r>
          </w:p>
        </w:tc>
        <w:tc>
          <w:tcPr>
            <w:tcW w:type="dxa" w:w="7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Pri.</w:t>
            </w:r>
          </w:p>
        </w:tc>
        <w:tc>
          <w:tcPr>
            <w:tcW w:type="dxa" w:w="161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Trace</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FR-GAP-01</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After reconciliation, the system shall assess coverage per output artifact and identify undetermined areas.</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E7 / BR-06</w:t>
            </w:r>
          </w:p>
        </w:tc>
      </w:tr>
      <w:tr>
        <w:tc>
          <w:tcPr>
            <w:tcW w:type="dxa" w:w="8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FR-GAP-02</w:t>
            </w:r>
          </w:p>
        </w:tc>
        <w:tc>
          <w:tcPr>
            <w:tcW w:type="dxa" w:w="6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For each gap, the system shall name the specific input that would resolve it.</w:t>
            </w:r>
          </w:p>
        </w:tc>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E7 / BR-06</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FR-GAP-03</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gap report shall be phrased as a collaborative request, consistent with the trust-over-surveillance principle.</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S</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E7 / BR-06</w:t>
            </w:r>
          </w:p>
        </w:tc>
      </w:tr>
    </w:tbl>
    <w:p>
      <w:pPr>
        <w:pStyle w:val="Heading2"/>
        <w:spacing w:after="90" w:before="200"/>
      </w:pPr>
      <w:r>
        <w:rPr>
          <w:rFonts w:ascii="Calibri" w:cs="Calibri" w:eastAsia="Calibri" w:hAnsi="Calibri"/>
          <w:b/>
          <w:bCs/>
          <w:color w:val="2E5A8C"/>
          <w:sz w:val="24"/>
          <w:szCs w:val="24"/>
        </w:rPr>
        <w:t xml:space="preserve">3.9  Differential / Drift Detection Engine</w:t>
      </w:r>
    </w:p>
    <w:tbl>
      <w:tblPr>
        <w:tblW w:type="dxa" w:w="9360"/>
        <w:tblBorders>
          <w:top w:val="single" w:color="C9D4DF" w:sz="4"/>
          <w:left w:val="single" w:color="C9D4DF" w:sz="4"/>
          <w:bottom w:val="single" w:color="C9D4DF" w:sz="4"/>
          <w:right w:val="single" w:color="C9D4DF" w:sz="4"/>
          <w:insideH w:val="single" w:color="C9D4DF" w:sz="2"/>
          <w:insideV w:val="single" w:color="C9D4DF" w:sz="2"/>
        </w:tblBorders>
      </w:tblPr>
      <w:tblGrid>
        <w:gridCol w:w="850"/>
        <w:gridCol w:w="6200"/>
        <w:gridCol w:w="700"/>
        <w:gridCol w:w="1610"/>
      </w:tblGrid>
      <w:tr>
        <w:trPr>
          <w:tblHeader/>
        </w:trPr>
        <w:tc>
          <w:tcPr>
            <w:tcW w:type="dxa" w:w="85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ID</w:t>
            </w:r>
          </w:p>
        </w:tc>
        <w:tc>
          <w:tcPr>
            <w:tcW w:type="dxa" w:w="62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Functional Requirement</w:t>
            </w:r>
          </w:p>
        </w:tc>
        <w:tc>
          <w:tcPr>
            <w:tcW w:type="dxa" w:w="7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Pri.</w:t>
            </w:r>
          </w:p>
        </w:tc>
        <w:tc>
          <w:tcPr>
            <w:tcW w:type="dxa" w:w="161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Trace</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FR-DFT-01</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On re-run, the system shall re-process only artifacts changed since the prior version.</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E8 / BR-07</w:t>
            </w:r>
          </w:p>
        </w:tc>
      </w:tr>
      <w:tr>
        <w:tc>
          <w:tcPr>
            <w:tcW w:type="dxa" w:w="8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FR-DFT-02</w:t>
            </w:r>
          </w:p>
        </w:tc>
        <w:tc>
          <w:tcPr>
            <w:tcW w:type="dxa" w:w="6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system shall diff the new graph version against the prior and produce an architectural changelog.</w:t>
            </w:r>
          </w:p>
        </w:tc>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E8 / BR-07</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FR-DFT-03</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Changes shall be classified (e.g. added/removed/modified context, integration, entity, flow).</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S</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E8 / BR-07</w:t>
            </w:r>
          </w:p>
        </w:tc>
      </w:tr>
      <w:tr>
        <w:tc>
          <w:tcPr>
            <w:tcW w:type="dxa" w:w="8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FR-DFT-04</w:t>
            </w:r>
          </w:p>
        </w:tc>
        <w:tc>
          <w:tcPr>
            <w:tcW w:type="dxa" w:w="6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Drift reporting shall be immune to model non-determinism by diffing the deterministic graph, not generated prose.</w:t>
            </w:r>
          </w:p>
        </w:tc>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E8 / BR-13</w:t>
            </w:r>
          </w:p>
        </w:tc>
      </w:tr>
    </w:tbl>
    <w:p>
      <w:pPr>
        <w:pStyle w:val="Heading2"/>
        <w:spacing w:after="90" w:before="200"/>
      </w:pPr>
      <w:r>
        <w:rPr>
          <w:rFonts w:ascii="Calibri" w:cs="Calibri" w:eastAsia="Calibri" w:hAnsi="Calibri"/>
          <w:b/>
          <w:bCs/>
          <w:color w:val="2E5A8C"/>
          <w:sz w:val="24"/>
          <w:szCs w:val="24"/>
        </w:rPr>
        <w:t xml:space="preserve">3.10  Human Review &amp; Correction Loop</w:t>
      </w:r>
    </w:p>
    <w:tbl>
      <w:tblPr>
        <w:tblW w:type="dxa" w:w="9360"/>
        <w:tblBorders>
          <w:top w:val="single" w:color="C9D4DF" w:sz="4"/>
          <w:left w:val="single" w:color="C9D4DF" w:sz="4"/>
          <w:bottom w:val="single" w:color="C9D4DF" w:sz="4"/>
          <w:right w:val="single" w:color="C9D4DF" w:sz="4"/>
          <w:insideH w:val="single" w:color="C9D4DF" w:sz="2"/>
          <w:insideV w:val="single" w:color="C9D4DF" w:sz="2"/>
        </w:tblBorders>
      </w:tblPr>
      <w:tblGrid>
        <w:gridCol w:w="850"/>
        <w:gridCol w:w="6200"/>
        <w:gridCol w:w="700"/>
        <w:gridCol w:w="1610"/>
      </w:tblGrid>
      <w:tr>
        <w:trPr>
          <w:tblHeader/>
        </w:trPr>
        <w:tc>
          <w:tcPr>
            <w:tcW w:type="dxa" w:w="85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ID</w:t>
            </w:r>
          </w:p>
        </w:tc>
        <w:tc>
          <w:tcPr>
            <w:tcW w:type="dxa" w:w="62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Functional Requirement</w:t>
            </w:r>
          </w:p>
        </w:tc>
        <w:tc>
          <w:tcPr>
            <w:tcW w:type="dxa" w:w="7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Pri.</w:t>
            </w:r>
          </w:p>
        </w:tc>
        <w:tc>
          <w:tcPr>
            <w:tcW w:type="dxa" w:w="161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Trace</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FR-REV-01</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system shall present a review queue ordered by element leverage (centrality) and inverse confidence.</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E9 / BR-09</w:t>
            </w:r>
          </w:p>
        </w:tc>
      </w:tr>
      <w:tr>
        <w:tc>
          <w:tcPr>
            <w:tcW w:type="dxa" w:w="8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FR-REV-02</w:t>
            </w:r>
          </w:p>
        </w:tc>
        <w:tc>
          <w:tcPr>
            <w:tcW w:type="dxa" w:w="6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Reviewers shall be able to confirm, edit, or reject any element.</w:t>
            </w:r>
          </w:p>
        </w:tc>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E9 / BR-09</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FR-REV-03</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Corrections shall be persisted and applied as authoritative truth on subsequent runs.</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E9 / BR-09</w:t>
            </w:r>
          </w:p>
        </w:tc>
      </w:tr>
      <w:tr>
        <w:tc>
          <w:tcPr>
            <w:tcW w:type="dxa" w:w="8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FR-REV-04</w:t>
            </w:r>
          </w:p>
        </w:tc>
        <w:tc>
          <w:tcPr>
            <w:tcW w:type="dxa" w:w="6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system shall record correction rate per run as a quality metric.</w:t>
            </w:r>
          </w:p>
        </w:tc>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S</w:t>
            </w:r>
          </w:p>
        </w:tc>
        <w:tc>
          <w:tcPr>
            <w:tcW w:type="dxa" w:w="16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E11</w:t>
            </w:r>
          </w:p>
        </w:tc>
      </w:tr>
    </w:tbl>
    <w:p>
      <w:pPr>
        <w:pStyle w:val="Heading2"/>
        <w:spacing w:after="90" w:before="200"/>
      </w:pPr>
      <w:r>
        <w:rPr>
          <w:rFonts w:ascii="Calibri" w:cs="Calibri" w:eastAsia="Calibri" w:hAnsi="Calibri"/>
          <w:b/>
          <w:bCs/>
          <w:color w:val="2E5A8C"/>
          <w:sz w:val="24"/>
          <w:szCs w:val="24"/>
        </w:rPr>
        <w:t xml:space="preserve">3.11  Evaluation Harness</w:t>
      </w:r>
    </w:p>
    <w:tbl>
      <w:tblPr>
        <w:tblW w:type="dxa" w:w="9360"/>
        <w:tblBorders>
          <w:top w:val="single" w:color="C9D4DF" w:sz="4"/>
          <w:left w:val="single" w:color="C9D4DF" w:sz="4"/>
          <w:bottom w:val="single" w:color="C9D4DF" w:sz="4"/>
          <w:right w:val="single" w:color="C9D4DF" w:sz="4"/>
          <w:insideH w:val="single" w:color="C9D4DF" w:sz="2"/>
          <w:insideV w:val="single" w:color="C9D4DF" w:sz="2"/>
        </w:tblBorders>
      </w:tblPr>
      <w:tblGrid>
        <w:gridCol w:w="850"/>
        <w:gridCol w:w="6200"/>
        <w:gridCol w:w="700"/>
        <w:gridCol w:w="1610"/>
      </w:tblGrid>
      <w:tr>
        <w:trPr>
          <w:tblHeader/>
        </w:trPr>
        <w:tc>
          <w:tcPr>
            <w:tcW w:type="dxa" w:w="85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ID</w:t>
            </w:r>
          </w:p>
        </w:tc>
        <w:tc>
          <w:tcPr>
            <w:tcW w:type="dxa" w:w="62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Functional Requirement</w:t>
            </w:r>
          </w:p>
        </w:tc>
        <w:tc>
          <w:tcPr>
            <w:tcW w:type="dxa" w:w="7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Pri.</w:t>
            </w:r>
          </w:p>
        </w:tc>
        <w:tc>
          <w:tcPr>
            <w:tcW w:type="dxa" w:w="161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Trace</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FR-EVA-01</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system shall score a run against a hand-authored golden bundle using precision/recall for nodes and typed edges, and clustering metrics for bounded contexts.</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E11 / BR-02</w:t>
            </w:r>
          </w:p>
        </w:tc>
      </w:tr>
      <w:tr>
        <w:tc>
          <w:tcPr>
            <w:tcW w:type="dxa" w:w="8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FR-EVA-02</w:t>
            </w:r>
          </w:p>
        </w:tc>
        <w:tc>
          <w:tcPr>
            <w:tcW w:type="dxa" w:w="6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system shall run automatic round-trip checks (e.g. claimed APIs appear in gateway logs; claimed table writes appear in code).</w:t>
            </w:r>
          </w:p>
        </w:tc>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E11 / BR-02</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FR-EVA-03</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Round-trip contradictions shall be reported as automatic failures.</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E11 / BR-02</w:t>
            </w:r>
          </w:p>
        </w:tc>
      </w:tr>
      <w:tr>
        <w:tc>
          <w:tcPr>
            <w:tcW w:type="dxa" w:w="8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FR-EVA-04</w:t>
            </w:r>
          </w:p>
        </w:tc>
        <w:tc>
          <w:tcPr>
            <w:tcW w:type="dxa" w:w="6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Evaluation shall run in CI and gate changes that regress accuracy.</w:t>
            </w:r>
          </w:p>
        </w:tc>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S</w:t>
            </w:r>
          </w:p>
        </w:tc>
        <w:tc>
          <w:tcPr>
            <w:tcW w:type="dxa" w:w="16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E11</w:t>
            </w:r>
          </w:p>
        </w:tc>
      </w:tr>
    </w:tbl>
    <w:p>
      <w:pPr>
        <w:pStyle w:val="Heading2"/>
        <w:spacing w:after="90" w:before="200"/>
      </w:pPr>
      <w:r>
        <w:rPr>
          <w:rFonts w:ascii="Calibri" w:cs="Calibri" w:eastAsia="Calibri" w:hAnsi="Calibri"/>
          <w:b/>
          <w:bCs/>
          <w:color w:val="2E5A8C"/>
          <w:sz w:val="24"/>
          <w:szCs w:val="24"/>
        </w:rPr>
        <w:t xml:space="preserve">3.12  Orchestration</w:t>
      </w:r>
    </w:p>
    <w:tbl>
      <w:tblPr>
        <w:tblW w:type="dxa" w:w="9360"/>
        <w:tblBorders>
          <w:top w:val="single" w:color="C9D4DF" w:sz="4"/>
          <w:left w:val="single" w:color="C9D4DF" w:sz="4"/>
          <w:bottom w:val="single" w:color="C9D4DF" w:sz="4"/>
          <w:right w:val="single" w:color="C9D4DF" w:sz="4"/>
          <w:insideH w:val="single" w:color="C9D4DF" w:sz="2"/>
          <w:insideV w:val="single" w:color="C9D4DF" w:sz="2"/>
        </w:tblBorders>
      </w:tblPr>
      <w:tblGrid>
        <w:gridCol w:w="850"/>
        <w:gridCol w:w="6200"/>
        <w:gridCol w:w="700"/>
        <w:gridCol w:w="1610"/>
      </w:tblGrid>
      <w:tr>
        <w:trPr>
          <w:tblHeader/>
        </w:trPr>
        <w:tc>
          <w:tcPr>
            <w:tcW w:type="dxa" w:w="85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ID</w:t>
            </w:r>
          </w:p>
        </w:tc>
        <w:tc>
          <w:tcPr>
            <w:tcW w:type="dxa" w:w="62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Functional Requirement</w:t>
            </w:r>
          </w:p>
        </w:tc>
        <w:tc>
          <w:tcPr>
            <w:tcW w:type="dxa" w:w="7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Pri.</w:t>
            </w:r>
          </w:p>
        </w:tc>
        <w:tc>
          <w:tcPr>
            <w:tcW w:type="dxa" w:w="161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Trace</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FR-ORC-01</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system shall execute the pipeline as a defined stage sequence with explicit dependencies.</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E2, E6</w:t>
            </w:r>
          </w:p>
        </w:tc>
      </w:tr>
      <w:tr>
        <w:tc>
          <w:tcPr>
            <w:tcW w:type="dxa" w:w="8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FR-ORC-02</w:t>
            </w:r>
          </w:p>
        </w:tc>
        <w:tc>
          <w:tcPr>
            <w:tcW w:type="dxa" w:w="6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orchestrator shall route tasks to model tiers by task type (bulk extraction to lower tiers, hard synthesis to higher tiers).</w:t>
            </w:r>
          </w:p>
        </w:tc>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S</w:t>
            </w:r>
          </w:p>
        </w:tc>
        <w:tc>
          <w:tcPr>
            <w:tcW w:type="dxa" w:w="16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E6</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FR-ORC-03</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orchestrator shall guarantee that identical inputs yield an identical deterministic graph.</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BR-13</w:t>
            </w:r>
          </w:p>
        </w:tc>
      </w:tr>
      <w:tr>
        <w:tc>
          <w:tcPr>
            <w:tcW w:type="dxa" w:w="8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FR-ORC-04</w:t>
            </w:r>
          </w:p>
        </w:tc>
        <w:tc>
          <w:tcPr>
            <w:tcW w:type="dxa" w:w="6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orchestrator shall isolate each system's data per tenant with no cross-tenant access.</w:t>
            </w:r>
          </w:p>
        </w:tc>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BR-12</w:t>
            </w:r>
          </w:p>
        </w:tc>
      </w:tr>
    </w:tbl>
    <w:p>
      <w:pPr>
        <w:pStyle w:val="Heading1"/>
        <w:pBdr>
          <w:bottom w:val="single" w:color="2E5A8C" w:sz="8" w:space="6"/>
        </w:pBdr>
        <w:spacing w:after="140" w:before="260"/>
      </w:pPr>
      <w:r>
        <w:rPr>
          <w:rFonts w:ascii="Calibri" w:cs="Calibri" w:eastAsia="Calibri" w:hAnsi="Calibri"/>
          <w:b/>
          <w:bCs/>
          <w:color w:val="1A2332"/>
          <w:sz w:val="30"/>
          <w:szCs w:val="30"/>
        </w:rPr>
        <w:t xml:space="preserve">4.  Data Requirements — Knowledge Graph Ontology</w:t>
      </w:r>
    </w:p>
    <w:p>
      <w:pPr>
        <w:spacing w:after="120" w:before="0" w:line="264"/>
      </w:pPr>
      <w:r>
        <w:rPr>
          <w:rFonts w:ascii="Calibri" w:cs="Calibri" w:eastAsia="Calibri" w:hAnsi="Calibri"/>
          <w:color w:val="1A2332"/>
          <w:sz w:val="21"/>
          <w:szCs w:val="21"/>
        </w:rPr>
        <w:t xml:space="preserve">All outputs derive from this ontology. Node types and their principal relationships are summarised below.</w:t>
      </w:r>
    </w:p>
    <w:p>
      <w:pPr>
        <w:pStyle w:val="Heading3"/>
        <w:spacing w:after="70" w:before="150"/>
      </w:pPr>
      <w:r>
        <w:rPr>
          <w:rFonts w:ascii="Calibri" w:cs="Calibri" w:eastAsia="Calibri" w:hAnsi="Calibri"/>
          <w:b/>
          <w:bCs/>
          <w:color w:val="1A2332"/>
          <w:sz w:val="21"/>
          <w:szCs w:val="21"/>
        </w:rPr>
        <w:t xml:space="preserve">4.1  Node Types</w:t>
      </w:r>
    </w:p>
    <w:tbl>
      <w:tblPr>
        <w:tblW w:type="dxa" w:w="9360"/>
        <w:tblBorders>
          <w:top w:val="single" w:color="C9D4DF" w:sz="4"/>
          <w:left w:val="single" w:color="C9D4DF" w:sz="4"/>
          <w:bottom w:val="single" w:color="C9D4DF" w:sz="4"/>
          <w:right w:val="single" w:color="C9D4DF" w:sz="4"/>
          <w:insideH w:val="single" w:color="C9D4DF" w:sz="2"/>
          <w:insideV w:val="single" w:color="C9D4DF" w:sz="2"/>
        </w:tblBorders>
      </w:tblPr>
      <w:tblGrid>
        <w:gridCol w:w="2200"/>
        <w:gridCol w:w="7160"/>
      </w:tblGrid>
      <w:tr>
        <w:trPr>
          <w:tblHeader/>
        </w:trPr>
        <w:tc>
          <w:tcPr>
            <w:tcW w:type="dxa" w:w="22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Category</w:t>
            </w:r>
          </w:p>
        </w:tc>
        <w:tc>
          <w:tcPr>
            <w:tcW w:type="dxa" w:w="716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Node Types</w:t>
            </w:r>
          </w:p>
        </w:tc>
      </w:tr>
      <w:tr>
        <w:tc>
          <w:tcPr>
            <w:tcW w:type="dxa" w:w="2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Data</w:t>
            </w:r>
          </w:p>
        </w:tc>
        <w:tc>
          <w:tcPr>
            <w:tcW w:type="dxa" w:w="716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Entity, Attribute, Relationship</w:t>
            </w:r>
          </w:p>
        </w:tc>
      </w:tr>
      <w:tr>
        <w:tc>
          <w:tcPr>
            <w:tcW w:type="dxa" w:w="2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Domain</w:t>
            </w:r>
          </w:p>
        </w:tc>
        <w:tc>
          <w:tcPr>
            <w:tcW w:type="dxa" w:w="71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Domain, BoundedContext, Aggregate, AggregateRoot</w:t>
            </w:r>
          </w:p>
        </w:tc>
      </w:tr>
      <w:tr>
        <w:tc>
          <w:tcPr>
            <w:tcW w:type="dxa" w:w="2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User</w:t>
            </w:r>
          </w:p>
        </w:tc>
        <w:tc>
          <w:tcPr>
            <w:tcW w:type="dxa" w:w="716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Persona, Journey, JourneyStep</w:t>
            </w:r>
          </w:p>
        </w:tc>
      </w:tr>
      <w:tr>
        <w:tc>
          <w:tcPr>
            <w:tcW w:type="dxa" w:w="2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Interface</w:t>
            </w:r>
          </w:p>
        </w:tc>
        <w:tc>
          <w:tcPr>
            <w:tcW w:type="dxa" w:w="71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Screen, UIComponent</w:t>
            </w:r>
          </w:p>
        </w:tc>
      </w:tr>
      <w:tr>
        <w:tc>
          <w:tcPr>
            <w:tcW w:type="dxa" w:w="2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Behaviour</w:t>
            </w:r>
          </w:p>
        </w:tc>
        <w:tc>
          <w:tcPr>
            <w:tcW w:type="dxa" w:w="716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Flow, FlowStep, Trigger</w:t>
            </w:r>
          </w:p>
        </w:tc>
      </w:tr>
      <w:tr>
        <w:tc>
          <w:tcPr>
            <w:tcW w:type="dxa" w:w="2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Architecture</w:t>
            </w:r>
          </w:p>
        </w:tc>
        <w:tc>
          <w:tcPr>
            <w:tcW w:type="dxa" w:w="71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System, Container, Component</w:t>
            </w:r>
          </w:p>
        </w:tc>
      </w:tr>
      <w:tr>
        <w:tc>
          <w:tcPr>
            <w:tcW w:type="dxa" w:w="2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Deployment</w:t>
            </w:r>
          </w:p>
        </w:tc>
        <w:tc>
          <w:tcPr>
            <w:tcW w:type="dxa" w:w="716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Node, DeploymentUnit, Environment</w:t>
            </w:r>
          </w:p>
        </w:tc>
      </w:tr>
      <w:tr>
        <w:tc>
          <w:tcPr>
            <w:tcW w:type="dxa" w:w="2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Quality</w:t>
            </w:r>
          </w:p>
        </w:tc>
        <w:tc>
          <w:tcPr>
            <w:tcW w:type="dxa" w:w="71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QualityAttribute (NFR)</w:t>
            </w:r>
          </w:p>
        </w:tc>
      </w:tr>
      <w:tr>
        <w:tc>
          <w:tcPr>
            <w:tcW w:type="dxa" w:w="2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Delivery</w:t>
            </w:r>
          </w:p>
        </w:tc>
        <w:tc>
          <w:tcPr>
            <w:tcW w:type="dxa" w:w="716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Epic, Feature, Story, AcceptanceCriterion</w:t>
            </w:r>
          </w:p>
        </w:tc>
      </w:tr>
      <w:tr>
        <w:tc>
          <w:tcPr>
            <w:tcW w:type="dxa" w:w="2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Integration</w:t>
            </w:r>
          </w:p>
        </w:tc>
        <w:tc>
          <w:tcPr>
            <w:tcW w:type="dxa" w:w="71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Integration, Interface, DataFlow</w:t>
            </w:r>
          </w:p>
        </w:tc>
      </w:tr>
    </w:tbl>
    <w:p>
      <w:pPr>
        <w:pStyle w:val="Heading3"/>
        <w:spacing w:after="70" w:before="150"/>
      </w:pPr>
      <w:r>
        <w:rPr>
          <w:rFonts w:ascii="Calibri" w:cs="Calibri" w:eastAsia="Calibri" w:hAnsi="Calibri"/>
          <w:b/>
          <w:bCs/>
          <w:color w:val="1A2332"/>
          <w:sz w:val="21"/>
          <w:szCs w:val="21"/>
        </w:rPr>
        <w:t xml:space="preserve">4.2  Key Relationships (Edges)</w:t>
      </w:r>
    </w:p>
    <w:p>
      <w:pPr>
        <w:pStyle w:val="ListParagraph"/>
        <w:numPr>
          <w:ilvl w:val="0"/>
          <w:numId w:val="3"/>
        </w:numPr>
        <w:spacing w:after="60" w:line="260"/>
      </w:pPr>
      <w:r>
        <w:rPr>
          <w:rFonts w:ascii="Calibri" w:cs="Calibri" w:eastAsia="Calibri" w:hAnsi="Calibri"/>
          <w:color w:val="1A2332"/>
          <w:sz w:val="21"/>
          <w:szCs w:val="21"/>
        </w:rPr>
        <w:t xml:space="preserve">Component implements Aggregate; Container contains Component; System contains Container.</w:t>
      </w:r>
    </w:p>
    <w:p>
      <w:pPr>
        <w:pStyle w:val="ListParagraph"/>
        <w:numPr>
          <w:ilvl w:val="0"/>
          <w:numId w:val="3"/>
        </w:numPr>
        <w:spacing w:after="60" w:line="260"/>
      </w:pPr>
      <w:r>
        <w:rPr>
          <w:rFonts w:ascii="Calibri" w:cs="Calibri" w:eastAsia="Calibri" w:hAnsi="Calibri"/>
          <w:color w:val="1A2332"/>
          <w:sz w:val="21"/>
          <w:szCs w:val="21"/>
        </w:rPr>
        <w:t xml:space="preserve">Screen triggers Flow; Flow has FlowStep; Flow reads/writes Entity.</w:t>
      </w:r>
    </w:p>
    <w:p>
      <w:pPr>
        <w:pStyle w:val="ListParagraph"/>
        <w:numPr>
          <w:ilvl w:val="0"/>
          <w:numId w:val="3"/>
        </w:numPr>
        <w:spacing w:after="60" w:line="260"/>
      </w:pPr>
      <w:r>
        <w:rPr>
          <w:rFonts w:ascii="Calibri" w:cs="Calibri" w:eastAsia="Calibri" w:hAnsi="Calibri"/>
          <w:color w:val="1A2332"/>
          <w:sz w:val="21"/>
          <w:szCs w:val="21"/>
        </w:rPr>
        <w:t xml:space="preserve">Integration carries DataFlow; Interface exposes/consumes DataFlow.</w:t>
      </w:r>
    </w:p>
    <w:p>
      <w:pPr>
        <w:pStyle w:val="ListParagraph"/>
        <w:numPr>
          <w:ilvl w:val="0"/>
          <w:numId w:val="3"/>
        </w:numPr>
        <w:spacing w:after="60" w:line="260"/>
      </w:pPr>
      <w:r>
        <w:rPr>
          <w:rFonts w:ascii="Calibri" w:cs="Calibri" w:eastAsia="Calibri" w:hAnsi="Calibri"/>
          <w:color w:val="1A2332"/>
          <w:sz w:val="21"/>
          <w:szCs w:val="21"/>
        </w:rPr>
        <w:t xml:space="preserve">Story realizes Feature; Feature belongs to Epic; Story satisfies AcceptanceCriterion.</w:t>
      </w:r>
    </w:p>
    <w:p>
      <w:pPr>
        <w:pStyle w:val="ListParagraph"/>
        <w:numPr>
          <w:ilvl w:val="0"/>
          <w:numId w:val="3"/>
        </w:numPr>
        <w:spacing w:after="60" w:line="260"/>
      </w:pPr>
      <w:r>
        <w:rPr>
          <w:rFonts w:ascii="Calibri" w:cs="Calibri" w:eastAsia="Calibri" w:hAnsi="Calibri"/>
          <w:color w:val="1A2332"/>
          <w:sz w:val="21"/>
          <w:szCs w:val="21"/>
        </w:rPr>
        <w:t xml:space="preserve">Container deployedTo Node; DeploymentUnit runsIn Environment.</w:t>
      </w:r>
    </w:p>
    <w:p>
      <w:pPr>
        <w:pStyle w:val="ListParagraph"/>
        <w:numPr>
          <w:ilvl w:val="0"/>
          <w:numId w:val="3"/>
        </w:numPr>
        <w:spacing w:after="60" w:line="260"/>
      </w:pPr>
      <w:r>
        <w:rPr>
          <w:rFonts w:ascii="Calibri" w:cs="Calibri" w:eastAsia="Calibri" w:hAnsi="Calibri"/>
          <w:color w:val="1A2332"/>
          <w:sz w:val="21"/>
          <w:szCs w:val="21"/>
        </w:rPr>
        <w:t xml:space="preserve">Flow supports Journey (this edge produces output #11: flow-to-journey relationship).</w:t>
      </w:r>
    </w:p>
    <w:p>
      <w:pPr>
        <w:pStyle w:val="Heading3"/>
        <w:spacing w:after="70" w:before="150"/>
      </w:pPr>
      <w:r>
        <w:rPr>
          <w:rFonts w:ascii="Calibri" w:cs="Calibri" w:eastAsia="Calibri" w:hAnsi="Calibri"/>
          <w:b/>
          <w:bCs/>
          <w:color w:val="1A2332"/>
          <w:sz w:val="21"/>
          <w:szCs w:val="21"/>
        </w:rPr>
        <w:t xml:space="preserve">4.3  Element Metadata (mandatory on every node/edge)</w:t>
      </w:r>
    </w:p>
    <w:tbl>
      <w:tblPr>
        <w:tblW w:type="dxa" w:w="9360"/>
        <w:tblBorders>
          <w:top w:val="single" w:color="C9D4DF" w:sz="4"/>
          <w:left w:val="single" w:color="C9D4DF" w:sz="4"/>
          <w:bottom w:val="single" w:color="C9D4DF" w:sz="4"/>
          <w:right w:val="single" w:color="C9D4DF" w:sz="4"/>
          <w:insideH w:val="single" w:color="C9D4DF" w:sz="2"/>
          <w:insideV w:val="single" w:color="C9D4DF" w:sz="2"/>
        </w:tblBorders>
      </w:tblPr>
      <w:tblGrid>
        <w:gridCol w:w="1900"/>
        <w:gridCol w:w="7460"/>
      </w:tblGrid>
      <w:tr>
        <w:trPr>
          <w:tblHeader/>
        </w:trPr>
        <w:tc>
          <w:tcPr>
            <w:tcW w:type="dxa" w:w="19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Field</w:t>
            </w:r>
          </w:p>
        </w:tc>
        <w:tc>
          <w:tcPr>
            <w:tcW w:type="dxa" w:w="746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Description</w:t>
            </w:r>
          </w:p>
        </w:tc>
      </w:tr>
      <w:tr>
        <w:tc>
          <w:tcPr>
            <w:tcW w:type="dxa" w:w="19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id</w:t>
            </w:r>
          </w:p>
        </w:tc>
        <w:tc>
          <w:tcPr>
            <w:tcW w:type="dxa" w:w="746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Stable, content-derived identifier persisting across runs.</w:t>
            </w:r>
          </w:p>
        </w:tc>
      </w:tr>
      <w:tr>
        <w:tc>
          <w:tcPr>
            <w:tcW w:type="dxa" w:w="19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provenance</w:t>
            </w:r>
          </w:p>
        </w:tc>
        <w:tc>
          <w:tcPr>
            <w:tcW w:type="dxa" w:w="74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Source artifact reference, deriving method/agent, evidence pointer, timestamp.</w:t>
            </w:r>
          </w:p>
        </w:tc>
      </w:tr>
      <w:tr>
        <w:tc>
          <w:tcPr>
            <w:tcW w:type="dxa" w:w="19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confidence</w:t>
            </w:r>
          </w:p>
        </w:tc>
        <w:tc>
          <w:tcPr>
            <w:tcW w:type="dxa" w:w="746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Structurally derived confidence value.</w:t>
            </w:r>
          </w:p>
        </w:tc>
      </w:tr>
      <w:tr>
        <w:tc>
          <w:tcPr>
            <w:tcW w:type="dxa" w:w="19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status</w:t>
            </w:r>
          </w:p>
        </w:tc>
        <w:tc>
          <w:tcPr>
            <w:tcW w:type="dxa" w:w="74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extracted | inferred | conflicted | human-confirmed.</w:t>
            </w:r>
          </w:p>
        </w:tc>
      </w:tr>
      <w:tr>
        <w:tc>
          <w:tcPr>
            <w:tcW w:type="dxa" w:w="19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version</w:t>
            </w:r>
          </w:p>
        </w:tc>
        <w:tc>
          <w:tcPr>
            <w:tcW w:type="dxa" w:w="746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Graph version in which the element was produced or last changed.</w:t>
            </w:r>
          </w:p>
        </w:tc>
      </w:tr>
    </w:tbl>
    <w:p>
      <w:pPr>
        <w:pStyle w:val="Heading1"/>
        <w:pBdr>
          <w:bottom w:val="single" w:color="2E5A8C" w:sz="8" w:space="6"/>
        </w:pBdr>
        <w:spacing w:after="140" w:before="260"/>
      </w:pPr>
      <w:r>
        <w:rPr>
          <w:rFonts w:ascii="Calibri" w:cs="Calibri" w:eastAsia="Calibri" w:hAnsi="Calibri"/>
          <w:b/>
          <w:bCs/>
          <w:color w:val="1A2332"/>
          <w:sz w:val="30"/>
          <w:szCs w:val="30"/>
        </w:rPr>
        <w:t xml:space="preserve">5.  Interface Requirements</w:t>
      </w:r>
    </w:p>
    <w:tbl>
      <w:tblPr>
        <w:tblW w:type="dxa" w:w="9360"/>
        <w:tblBorders>
          <w:top w:val="single" w:color="C9D4DF" w:sz="4"/>
          <w:left w:val="single" w:color="C9D4DF" w:sz="4"/>
          <w:bottom w:val="single" w:color="C9D4DF" w:sz="4"/>
          <w:right w:val="single" w:color="C9D4DF" w:sz="4"/>
          <w:insideH w:val="single" w:color="C9D4DF" w:sz="2"/>
          <w:insideV w:val="single" w:color="C9D4DF" w:sz="2"/>
        </w:tblBorders>
      </w:tblPr>
      <w:tblGrid>
        <w:gridCol w:w="850"/>
        <w:gridCol w:w="6200"/>
        <w:gridCol w:w="700"/>
        <w:gridCol w:w="1610"/>
      </w:tblGrid>
      <w:tr>
        <w:trPr>
          <w:tblHeader/>
        </w:trPr>
        <w:tc>
          <w:tcPr>
            <w:tcW w:type="dxa" w:w="85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ID</w:t>
            </w:r>
          </w:p>
        </w:tc>
        <w:tc>
          <w:tcPr>
            <w:tcW w:type="dxa" w:w="62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Functional Requirement</w:t>
            </w:r>
          </w:p>
        </w:tc>
        <w:tc>
          <w:tcPr>
            <w:tcW w:type="dxa" w:w="7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Pri.</w:t>
            </w:r>
          </w:p>
        </w:tc>
        <w:tc>
          <w:tcPr>
            <w:tcW w:type="dxa" w:w="161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Trace</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FR-IF-01</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system shall expose an ingestion interface for registering sources and triggering runs.</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E1</w:t>
            </w:r>
          </w:p>
        </w:tc>
      </w:tr>
      <w:tr>
        <w:tc>
          <w:tcPr>
            <w:tcW w:type="dxa" w:w="8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FR-IF-02</w:t>
            </w:r>
          </w:p>
        </w:tc>
        <w:tc>
          <w:tcPr>
            <w:tcW w:type="dxa" w:w="6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system shall expose a query interface for retrieving graph elements and their provenance/confidence.</w:t>
            </w:r>
          </w:p>
        </w:tc>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E3, E6</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FR-IF-03</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system shall expose export interfaces for each OKF output in its portable format.</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E6 / BR-10</w:t>
            </w:r>
          </w:p>
        </w:tc>
      </w:tr>
      <w:tr>
        <w:tc>
          <w:tcPr>
            <w:tcW w:type="dxa" w:w="8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FR-IF-04</w:t>
            </w:r>
          </w:p>
        </w:tc>
        <w:tc>
          <w:tcPr>
            <w:tcW w:type="dxa" w:w="6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system shall expose a review interface for the correction loop.</w:t>
            </w:r>
          </w:p>
        </w:tc>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w:t>
            </w:r>
          </w:p>
        </w:tc>
        <w:tc>
          <w:tcPr>
            <w:tcW w:type="dxa" w:w="16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E9</w:t>
            </w:r>
          </w:p>
        </w:tc>
      </w:tr>
      <w:tr>
        <w:tc>
          <w:tcPr>
            <w:tcW w:type="dxa" w:w="8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FR-IF-05</w:t>
            </w:r>
          </w:p>
        </w:tc>
        <w:tc>
          <w:tcPr>
            <w:tcW w:type="dxa" w:w="6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The system shall expose a diff/changelog interface for drift results.</w:t>
            </w:r>
          </w:p>
        </w:tc>
        <w:tc>
          <w:tcPr>
            <w:tcW w:type="dxa" w:w="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S</w:t>
            </w:r>
          </w:p>
        </w:tc>
        <w:tc>
          <w:tcPr>
            <w:tcW w:type="dxa" w:w="16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E8</w:t>
            </w:r>
          </w:p>
        </w:tc>
      </w:tr>
    </w:tbl>
    <w:p>
      <w:pPr>
        <w:pStyle w:val="Heading1"/>
        <w:pBdr>
          <w:bottom w:val="single" w:color="2E5A8C" w:sz="8" w:space="6"/>
        </w:pBdr>
        <w:spacing w:after="140" w:before="260"/>
      </w:pPr>
      <w:r>
        <w:rPr>
          <w:rFonts w:ascii="Calibri" w:cs="Calibri" w:eastAsia="Calibri" w:hAnsi="Calibri"/>
          <w:b/>
          <w:bCs/>
          <w:color w:val="1A2332"/>
          <w:sz w:val="30"/>
          <w:szCs w:val="30"/>
        </w:rPr>
        <w:t xml:space="preserve">6.  Error Handling &amp; Edge Cases</w:t>
      </w:r>
    </w:p>
    <w:tbl>
      <w:tblPr>
        <w:tblW w:type="dxa" w:w="9360"/>
        <w:tblBorders>
          <w:top w:val="single" w:color="C9D4DF" w:sz="4"/>
          <w:left w:val="single" w:color="C9D4DF" w:sz="4"/>
          <w:bottom w:val="single" w:color="C9D4DF" w:sz="4"/>
          <w:right w:val="single" w:color="C9D4DF" w:sz="4"/>
          <w:insideH w:val="single" w:color="C9D4DF" w:sz="2"/>
          <w:insideV w:val="single" w:color="C9D4DF" w:sz="2"/>
        </w:tblBorders>
      </w:tblPr>
      <w:tblGrid>
        <w:gridCol w:w="3000"/>
        <w:gridCol w:w="6360"/>
      </w:tblGrid>
      <w:tr>
        <w:trPr>
          <w:tblHeader/>
        </w:trPr>
        <w:tc>
          <w:tcPr>
            <w:tcW w:type="dxa" w:w="30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Condition</w:t>
            </w:r>
          </w:p>
        </w:tc>
        <w:tc>
          <w:tcPr>
            <w:tcW w:type="dxa" w:w="636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Required Behaviour</w:t>
            </w:r>
          </w:p>
        </w:tc>
      </w:tr>
      <w:tr>
        <w:tc>
          <w:tcPr>
            <w:tcW w:type="dxa" w:w="30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Redaction failure or uncertainty</w:t>
            </w:r>
          </w:p>
        </w:tc>
        <w:tc>
          <w:tcPr>
            <w:tcW w:type="dxa" w:w="636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Halt the artifact; do not pass content downstream; report for manual handling.</w:t>
            </w:r>
          </w:p>
        </w:tc>
      </w:tr>
      <w:tr>
        <w:tc>
          <w:tcPr>
            <w:tcW w:type="dxa" w:w="30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Source access denied / partial</w:t>
            </w:r>
          </w:p>
        </w:tc>
        <w:tc>
          <w:tcPr>
            <w:tcW w:type="dxa" w:w="63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Continue with available sources; record the missing source as a gap.</w:t>
            </w:r>
          </w:p>
        </w:tc>
      </w:tr>
      <w:tr>
        <w:tc>
          <w:tcPr>
            <w:tcW w:type="dxa" w:w="30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Unparseable or unknown artifact</w:t>
            </w:r>
          </w:p>
        </w:tc>
        <w:tc>
          <w:tcPr>
            <w:tcW w:type="dxa" w:w="636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Quarantine, log with reason, exclude from extraction, surface in run report.</w:t>
            </w:r>
          </w:p>
        </w:tc>
      </w:tr>
      <w:tr>
        <w:tc>
          <w:tcPr>
            <w:tcW w:type="dxa" w:w="30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Conflicting sources</w:t>
            </w:r>
          </w:p>
        </w:tc>
        <w:tc>
          <w:tcPr>
            <w:tcW w:type="dxa" w:w="63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Record a conflict with both positions; never auto-resolve silently.</w:t>
            </w:r>
          </w:p>
        </w:tc>
      </w:tr>
      <w:tr>
        <w:tc>
          <w:tcPr>
            <w:tcW w:type="dxa" w:w="30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Insufficient sources for an output</w:t>
            </w:r>
          </w:p>
        </w:tc>
        <w:tc>
          <w:tcPr>
            <w:tcW w:type="dxa" w:w="636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Produce partial output; mark uncovered areas in the gap report.</w:t>
            </w:r>
          </w:p>
        </w:tc>
      </w:tr>
      <w:tr>
        <w:tc>
          <w:tcPr>
            <w:tcW w:type="dxa" w:w="30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System exceeds context/scale limits</w:t>
            </w:r>
          </w:p>
        </w:tc>
        <w:tc>
          <w:tcPr>
            <w:tcW w:type="dxa" w:w="63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Apply hierarchical summarisation and map-reduce over the deterministic skeleton.</w:t>
            </w:r>
          </w:p>
        </w:tc>
      </w:tr>
      <w:tr>
        <w:tc>
          <w:tcPr>
            <w:tcW w:type="dxa" w:w="30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Suspected prompt injection in content</w:t>
            </w:r>
          </w:p>
        </w:tc>
        <w:tc>
          <w:tcPr>
            <w:tcW w:type="dxa" w:w="636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Treat as data only; validate resulting claims against deterministic facts; low corroboration neutralises it.</w:t>
            </w:r>
          </w:p>
        </w:tc>
      </w:tr>
      <w:tr>
        <w:tc>
          <w:tcPr>
            <w:tcW w:type="dxa" w:w="30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Non-deterministic inference output</w:t>
            </w:r>
          </w:p>
        </w:tc>
        <w:tc>
          <w:tcPr>
            <w:tcW w:type="dxa" w:w="63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Stabilise via low temperature and stable IDs; diff the deterministic graph, not prose.</w:t>
            </w:r>
          </w:p>
        </w:tc>
      </w:tr>
    </w:tbl>
    <w:p>
      <w:pPr>
        <w:pStyle w:val="Heading1"/>
        <w:pBdr>
          <w:bottom w:val="single" w:color="2E5A8C" w:sz="8" w:space="6"/>
        </w:pBdr>
        <w:spacing w:after="140" w:before="260"/>
      </w:pPr>
      <w:r>
        <w:rPr>
          <w:rFonts w:ascii="Calibri" w:cs="Calibri" w:eastAsia="Calibri" w:hAnsi="Calibri"/>
          <w:b/>
          <w:bCs/>
          <w:color w:val="1A2332"/>
          <w:sz w:val="30"/>
          <w:szCs w:val="30"/>
        </w:rPr>
        <w:t xml:space="preserve">7.  Traceability Matrix</w:t>
      </w:r>
    </w:p>
    <w:p>
      <w:pPr>
        <w:spacing w:after="120" w:before="0" w:line="264"/>
      </w:pPr>
      <w:r>
        <w:rPr>
          <w:rFonts w:ascii="Calibri" w:cs="Calibri" w:eastAsia="Calibri" w:hAnsi="Calibri"/>
          <w:color w:val="1A2332"/>
          <w:sz w:val="21"/>
          <w:szCs w:val="21"/>
        </w:rPr>
        <w:t xml:space="preserve">Each module's requirements trace to a PRD epic and a business requirement. Summary mapping:</w:t>
      </w:r>
    </w:p>
    <w:tbl>
      <w:tblPr>
        <w:tblW w:type="dxa" w:w="9360"/>
        <w:tblBorders>
          <w:top w:val="single" w:color="C9D4DF" w:sz="4"/>
          <w:left w:val="single" w:color="C9D4DF" w:sz="4"/>
          <w:bottom w:val="single" w:color="C9D4DF" w:sz="4"/>
          <w:right w:val="single" w:color="C9D4DF" w:sz="4"/>
          <w:insideH w:val="single" w:color="C9D4DF" w:sz="2"/>
          <w:insideV w:val="single" w:color="C9D4DF" w:sz="2"/>
        </w:tblBorders>
      </w:tblPr>
      <w:tblGrid>
        <w:gridCol w:w="3800"/>
        <w:gridCol w:w="2780"/>
        <w:gridCol w:w="2780"/>
      </w:tblGrid>
      <w:tr>
        <w:trPr>
          <w:tblHeader/>
        </w:trPr>
        <w:tc>
          <w:tcPr>
            <w:tcW w:type="dxa" w:w="38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FRD Module</w:t>
            </w:r>
          </w:p>
        </w:tc>
        <w:tc>
          <w:tcPr>
            <w:tcW w:type="dxa" w:w="278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PRD Epic</w:t>
            </w:r>
          </w:p>
        </w:tc>
        <w:tc>
          <w:tcPr>
            <w:tcW w:type="dxa" w:w="278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Business Req.</w:t>
            </w:r>
          </w:p>
        </w:tc>
      </w:tr>
      <w:tr>
        <w:tc>
          <w:tcPr>
            <w:tcW w:type="dxa" w:w="38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3.1 Ingestion &amp; Connectors</w:t>
            </w:r>
          </w:p>
        </w:tc>
        <w:tc>
          <w:tcPr>
            <w:tcW w:type="dxa" w:w="278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E1</w:t>
            </w:r>
          </w:p>
        </w:tc>
        <w:tc>
          <w:tcPr>
            <w:tcW w:type="dxa" w:w="278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BR-01</w:t>
            </w:r>
          </w:p>
        </w:tc>
      </w:tr>
      <w:tr>
        <w:tc>
          <w:tcPr>
            <w:tcW w:type="dxa" w:w="38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3.2 Redaction &amp; Hardening</w:t>
            </w:r>
          </w:p>
        </w:tc>
        <w:tc>
          <w:tcPr>
            <w:tcW w:type="dxa" w:w="278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E10</w:t>
            </w:r>
          </w:p>
        </w:tc>
        <w:tc>
          <w:tcPr>
            <w:tcW w:type="dxa" w:w="278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BR-11, BR-12</w:t>
            </w:r>
          </w:p>
        </w:tc>
      </w:tr>
      <w:tr>
        <w:tc>
          <w:tcPr>
            <w:tcW w:type="dxa" w:w="38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3.3 Deterministic Extraction</w:t>
            </w:r>
          </w:p>
        </w:tc>
        <w:tc>
          <w:tcPr>
            <w:tcW w:type="dxa" w:w="278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E2</w:t>
            </w:r>
          </w:p>
        </w:tc>
        <w:tc>
          <w:tcPr>
            <w:tcW w:type="dxa" w:w="278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BR-02, BR-08</w:t>
            </w:r>
          </w:p>
        </w:tc>
      </w:tr>
      <w:tr>
        <w:tc>
          <w:tcPr>
            <w:tcW w:type="dxa" w:w="38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3.4 Semantic Inference</w:t>
            </w:r>
          </w:p>
        </w:tc>
        <w:tc>
          <w:tcPr>
            <w:tcW w:type="dxa" w:w="278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E4</w:t>
            </w:r>
          </w:p>
        </w:tc>
        <w:tc>
          <w:tcPr>
            <w:tcW w:type="dxa" w:w="278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BR-02</w:t>
            </w:r>
          </w:p>
        </w:tc>
      </w:tr>
      <w:tr>
        <w:tc>
          <w:tcPr>
            <w:tcW w:type="dxa" w:w="38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3.5 Knowledge Graph &amp; Provenance</w:t>
            </w:r>
          </w:p>
        </w:tc>
        <w:tc>
          <w:tcPr>
            <w:tcW w:type="dxa" w:w="278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E3</w:t>
            </w:r>
          </w:p>
        </w:tc>
        <w:tc>
          <w:tcPr>
            <w:tcW w:type="dxa" w:w="278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BR-03, BR-13</w:t>
            </w:r>
          </w:p>
        </w:tc>
      </w:tr>
      <w:tr>
        <w:tc>
          <w:tcPr>
            <w:tcW w:type="dxa" w:w="38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3.6 Reconciliation &amp; Confidence</w:t>
            </w:r>
          </w:p>
        </w:tc>
        <w:tc>
          <w:tcPr>
            <w:tcW w:type="dxa" w:w="278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E5</w:t>
            </w:r>
          </w:p>
        </w:tc>
        <w:tc>
          <w:tcPr>
            <w:tcW w:type="dxa" w:w="278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BR-04, BR-05</w:t>
            </w:r>
          </w:p>
        </w:tc>
      </w:tr>
      <w:tr>
        <w:tc>
          <w:tcPr>
            <w:tcW w:type="dxa" w:w="38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3.7 OKF Renderers</w:t>
            </w:r>
          </w:p>
        </w:tc>
        <w:tc>
          <w:tcPr>
            <w:tcW w:type="dxa" w:w="278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E6</w:t>
            </w:r>
          </w:p>
        </w:tc>
        <w:tc>
          <w:tcPr>
            <w:tcW w:type="dxa" w:w="278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BR-02, BR-10</w:t>
            </w:r>
          </w:p>
        </w:tc>
      </w:tr>
      <w:tr>
        <w:tc>
          <w:tcPr>
            <w:tcW w:type="dxa" w:w="38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3.8 Gap Analysis Planner</w:t>
            </w:r>
          </w:p>
        </w:tc>
        <w:tc>
          <w:tcPr>
            <w:tcW w:type="dxa" w:w="278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E7</w:t>
            </w:r>
          </w:p>
        </w:tc>
        <w:tc>
          <w:tcPr>
            <w:tcW w:type="dxa" w:w="278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BR-06</w:t>
            </w:r>
          </w:p>
        </w:tc>
      </w:tr>
      <w:tr>
        <w:tc>
          <w:tcPr>
            <w:tcW w:type="dxa" w:w="38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3.9 Drift Detection</w:t>
            </w:r>
          </w:p>
        </w:tc>
        <w:tc>
          <w:tcPr>
            <w:tcW w:type="dxa" w:w="278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E8</w:t>
            </w:r>
          </w:p>
        </w:tc>
        <w:tc>
          <w:tcPr>
            <w:tcW w:type="dxa" w:w="278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BR-07</w:t>
            </w:r>
          </w:p>
        </w:tc>
      </w:tr>
      <w:tr>
        <w:tc>
          <w:tcPr>
            <w:tcW w:type="dxa" w:w="38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3.10 Review &amp; Correction</w:t>
            </w:r>
          </w:p>
        </w:tc>
        <w:tc>
          <w:tcPr>
            <w:tcW w:type="dxa" w:w="278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E9</w:t>
            </w:r>
          </w:p>
        </w:tc>
        <w:tc>
          <w:tcPr>
            <w:tcW w:type="dxa" w:w="278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BR-09</w:t>
            </w:r>
          </w:p>
        </w:tc>
      </w:tr>
      <w:tr>
        <w:tc>
          <w:tcPr>
            <w:tcW w:type="dxa" w:w="38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3.11 Evaluation Harness</w:t>
            </w:r>
          </w:p>
        </w:tc>
        <w:tc>
          <w:tcPr>
            <w:tcW w:type="dxa" w:w="278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E11</w:t>
            </w:r>
          </w:p>
        </w:tc>
        <w:tc>
          <w:tcPr>
            <w:tcW w:type="dxa" w:w="278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BR-02</w:t>
            </w:r>
          </w:p>
        </w:tc>
      </w:tr>
      <w:tr>
        <w:tc>
          <w:tcPr>
            <w:tcW w:type="dxa" w:w="38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3.12 Orchestration</w:t>
            </w:r>
          </w:p>
        </w:tc>
        <w:tc>
          <w:tcPr>
            <w:tcW w:type="dxa" w:w="278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E2, E6</w:t>
            </w:r>
          </w:p>
        </w:tc>
        <w:tc>
          <w:tcPr>
            <w:tcW w:type="dxa" w:w="278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BR-13, BR-12</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4DF" w:sz="4" w:space="4"/>
      </w:pBdr>
      <w:jc w:val="center"/>
    </w:pPr>
    <w:r>
      <w:rPr>
        <w:rFonts w:ascii="Calibri" w:cs="Calibri" w:eastAsia="Calibri" w:hAnsi="Calibri"/>
        <w:color w:val="5A6B7C"/>
        <w:sz w:val="16"/>
        <w:szCs w:val="16"/>
      </w:rPr>
      <w:t xml:space="preserve">AI-DLC Reverse Engineering Platform   ·   Confidential   ·   Page </w:t>
    </w:r>
    <w:r>
      <w:rPr>
        <w:rFonts w:ascii="Calibri" w:cs="Calibri" w:eastAsia="Calibri" w:hAnsi="Calibri"/>
        <w:color w:val="5A6B7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DF" w:sz="4" w:space="4"/>
      </w:pBdr>
      <w:jc w:val="right"/>
    </w:pPr>
    <w:r>
      <w:rPr>
        <w:rFonts w:ascii="Calibri" w:cs="Calibri" w:eastAsia="Calibri" w:hAnsi="Calibri"/>
        <w:color w:val="5A6B7C"/>
        <w:sz w:val="16"/>
        <w:szCs w:val="16"/>
      </w:rPr>
      <w:t xml:space="preserve">FRD · AI-DLC Reverse Engineering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2E5A8C"/>
      </w:rPr>
    </w:lvl>
    <w:lvl w:ilvl="1" w15:tentative="1">
      <w:start w:val="1"/>
      <w:numFmt w:val="bullet"/>
      <w:lvlText w:val="–"/>
      <w:lvlJc w:val="left"/>
      <w:pPr>
        <w:ind w:left="720" w:hanging="220"/>
      </w:pPr>
      <w:rPr>
        <w:color w:val="2E5A8C"/>
      </w:rPr>
    </w:lvl>
  </w:abstractNum>
  <w:abstractNum w:abstractNumId="3" w15:restartNumberingAfterBreak="0">
    <w:multiLevelType w:val="hybridMultilevel"/>
    <w:lvl w:ilvl="0" w15:tentative="1">
      <w:start w:val="1"/>
      <w:numFmt w:val="decimal"/>
      <w:lvlText w:val="%1."/>
      <w:lvlJc w:val="left"/>
      <w:pPr>
        <w:ind w:left="380" w:hanging="25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AI-DLC Reverse Engineering Platform — FRD</dc:title>
  <dc:creator>Vishal — KPMG</dc:creator>
  <dc:description>Functional Requirements Document</dc:description>
  <cp:lastModifiedBy>Un-named</cp:lastModifiedBy>
  <cp:revision>1</cp:revision>
  <dcterms:created xsi:type="dcterms:W3CDTF">2026-07-20T17:25:08.137Z</dcterms:created>
  <dcterms:modified xsi:type="dcterms:W3CDTF">2026-07-20T17:25:08.137Z</dcterms:modified>
</cp:coreProperties>
</file>

<file path=docProps/custom.xml><?xml version="1.0" encoding="utf-8"?>
<Properties xmlns="http://schemas.openxmlformats.org/officeDocument/2006/custom-properties" xmlns:vt="http://schemas.openxmlformats.org/officeDocument/2006/docPropsVTypes"/>
</file>