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80" w:line="240" w:lineRule="auto"/>
      </w:pPr>
      <w:r>
        <w:rPr>
          <w:rFonts w:ascii="Calibri" w:hAnsi="Calibri"/>
          <w:b/>
          <w:color w:val="1F4D78"/>
          <w:sz w:val="20"/>
        </w:rPr>
        <w:t>PROJECT REPORT SUBMISSION  |  CHAPTER 5</w:t>
      </w:r>
    </w:p>
    <w:p>
      <w:pPr>
        <w:keepNext/>
        <w:keepLines w:val="0"/>
        <w:spacing w:before="0" w:after="80" w:line="240" w:lineRule="auto"/>
      </w:pPr>
      <w:r>
        <w:rPr>
          <w:rFonts w:ascii="Calibri" w:hAnsi="Calibri"/>
          <w:b/>
          <w:color w:val="0B2545"/>
          <w:sz w:val="54"/>
        </w:rPr>
        <w:t>Implementation Approach and Code Efficiency</w:t>
      </w:r>
    </w:p>
    <w:p>
      <w:pPr>
        <w:keepNext/>
        <w:keepLines w:val="0"/>
        <w:spacing w:before="0" w:after="320" w:line="240" w:lineRule="auto"/>
      </w:pPr>
      <w:r>
        <w:rPr>
          <w:rFonts w:ascii="Calibri" w:hAnsi="Calibri"/>
          <w:color w:val="5A6872"/>
          <w:sz w:val="26"/>
        </w:rPr>
        <w:t>QA Platform | Sections 5.1, 5.2 and 5.2.1</w:t>
      </w:r>
    </w:p>
    <w:p>
      <w:pPr>
        <w:keepNext w:val="0"/>
        <w:keepLines w:val="0"/>
        <w:spacing w:before="0" w:after="360" w:line="240" w:lineRule="auto"/>
      </w:pPr>
      <w:r>
        <w:rPr>
          <w:rFonts w:ascii="Calibri" w:hAnsi="Calibri"/>
          <w:color w:val="5A6872"/>
          <w:sz w:val="19"/>
        </w:rPr>
        <w:t>Prepared for project submission  |  Evidence basis: current repository structure and source code  |  29 August 2026</w:t>
      </w:r>
    </w:p>
    <w:p>
      <w:pPr>
        <w:keepNext w:val="0"/>
        <w:keepLines/>
        <w:spacing w:before="80" w:after="200" w:line="264" w:lineRule="auto"/>
        <w:shd w:fill="F4F6F9"/>
        <w:pBdr>
          <w:top w:val="single" w:sz="4" w:space="8" w:color="C9D5E1"/>
          <w:left w:val="single" w:sz="4" w:space="8" w:color="C9D5E1"/>
          <w:bottom w:val="single" w:sz="4" w:space="8" w:color="C9D5E1"/>
          <w:right w:val="single" w:sz="4" w:space="8" w:color="C9D5E1"/>
        </w:pBdr>
      </w:pPr>
      <w:r>
        <w:rPr>
          <w:rFonts w:ascii="Calibri" w:hAnsi="Calibri"/>
          <w:b/>
          <w:color w:val="1F4D78"/>
          <w:sz w:val="21"/>
        </w:rPr>
        <w:t xml:space="preserve">Submission scope. </w:t>
      </w:r>
      <w:r>
        <w:rPr>
          <w:rFonts w:ascii="Calibri" w:hAnsi="Calibri"/>
          <w:color w:val="0B2545"/>
          <w:sz w:val="21"/>
        </w:rPr>
        <w:t>This document explains the implemented architecture, code organisation and resource-efficiency controls visible in the current QA Platform source. It does not represent a new live deployment or a fresh pass/fail test run.</w:t>
      </w:r>
    </w:p>
    <w:p>
      <w:pPr>
        <w:pStyle w:val="Heading1"/>
        <w:keepNext/>
      </w:pPr>
      <w:r>
        <w:t>5.1 Implementation Approach</w:t>
      </w:r>
    </w:p>
    <w:p>
      <w:pPr>
        <w:pStyle w:val="Heading2"/>
        <w:keepNext/>
      </w:pPr>
      <w:r>
        <w:t>Project Summary</w:t>
      </w:r>
    </w:p>
    <w:p>
      <w:pPr>
        <w:keepNext w:val="0"/>
        <w:keepLines/>
        <w:spacing w:before="0" w:after="140" w:line="264" w:lineRule="auto"/>
      </w:pPr>
      <w:r>
        <w:rPr>
          <w:rFonts w:ascii="Calibri" w:hAnsi="Calibri"/>
          <w:color w:val="0B2545"/>
          <w:sz w:val="22"/>
        </w:rPr>
        <w:t>QA Platform is a full-stack web application for planning, executing and reviewing software-quality work in one place. It brings together projects, manual and automated test cases, browser-based execution evidence, bug tracking, reporting, administration and optional AI assistance. The central design goal is to replace fragmented QA work with one traceable workflow from project setup to recorded test result and defect follow-up.</w:t>
      </w:r>
    </w:p>
    <w:p>
      <w:pPr>
        <w:keepNext w:val="0"/>
        <w:keepLines/>
        <w:spacing w:before="0" w:after="140" w:line="264" w:lineRule="auto"/>
      </w:pPr>
      <w:r>
        <w:rPr>
          <w:rFonts w:ascii="Calibri" w:hAnsi="Calibri"/>
          <w:color w:val="0B2545"/>
          <w:sz w:val="22"/>
        </w:rPr>
        <w:t>The application is built as a React/Vite client communicating with a Flask API over JSON. The backend coordinates MySQL persistence, Playwright browser runs, screenshots and generated evidence. This separation keeps the user interface focused on interaction while keeping long-running execution, access controls and data integrity on the server.</w:t>
      </w:r>
    </w:p>
    <w:p>
      <w:pPr>
        <w:pStyle w:val="Heading3"/>
        <w:keepNext/>
      </w:pPr>
      <w:r>
        <w:t>Implementation Objectives</w:t>
      </w:r>
    </w:p>
    <w:p>
      <w:pPr>
        <w:keepNext w:val="0"/>
        <w:keepLines/>
        <w:numPr>
          <w:ilvl w:val="0"/>
          <w:numId w:val="10"/>
        </w:numPr>
        <w:spacing w:before="0" w:after="100" w:line="280" w:lineRule="auto"/>
      </w:pPr>
      <w:r>
        <w:rPr>
          <w:rFonts w:ascii="Calibri" w:hAnsi="Calibri"/>
          <w:color w:val="0B2545"/>
          <w:sz w:val="22"/>
        </w:rPr>
        <w:t>Create a single workspace where a tester can manage projects, define test cases, execute work and review outcomes.</w:t>
      </w:r>
    </w:p>
    <w:p>
      <w:pPr>
        <w:keepNext w:val="0"/>
        <w:keepLines/>
        <w:numPr>
          <w:ilvl w:val="0"/>
          <w:numId w:val="10"/>
        </w:numPr>
        <w:spacing w:before="0" w:after="100" w:line="280" w:lineRule="auto"/>
      </w:pPr>
      <w:r>
        <w:rPr>
          <w:rFonts w:ascii="Calibri" w:hAnsi="Calibri"/>
          <w:color w:val="0B2545"/>
          <w:sz w:val="22"/>
        </w:rPr>
        <w:t>Support both manual checks and automated browser runs without losing the relationship between a test case, its evidence and the resulting bugs.</w:t>
      </w:r>
    </w:p>
    <w:p>
      <w:pPr>
        <w:keepNext w:val="0"/>
        <w:keepLines/>
        <w:numPr>
          <w:ilvl w:val="0"/>
          <w:numId w:val="10"/>
        </w:numPr>
        <w:spacing w:before="0" w:after="100" w:line="280" w:lineRule="auto"/>
      </w:pPr>
      <w:r>
        <w:rPr>
          <w:rFonts w:ascii="Calibri" w:hAnsi="Calibri"/>
          <w:color w:val="0B2545"/>
          <w:sz w:val="22"/>
        </w:rPr>
        <w:t>Protect user-owned information through JWT-authenticated endpoints and ownership checks that join test cases back to their projects.</w:t>
      </w:r>
    </w:p>
    <w:p>
      <w:pPr>
        <w:keepNext w:val="0"/>
        <w:keepLines/>
        <w:numPr>
          <w:ilvl w:val="0"/>
          <w:numId w:val="10"/>
        </w:numPr>
        <w:spacing w:before="0" w:after="100" w:line="280" w:lineRule="auto"/>
      </w:pPr>
      <w:r>
        <w:rPr>
          <w:rFonts w:ascii="Calibri" w:hAnsi="Calibri"/>
          <w:color w:val="0B2545"/>
          <w:sz w:val="22"/>
        </w:rPr>
        <w:t>Present recent quality information through reports, trends and issue summaries rather than leaving execution data as isolated records.</w:t>
      </w:r>
    </w:p>
    <w:p>
      <w:pPr>
        <w:pStyle w:val="Heading2"/>
        <w:keepNext/>
      </w:pPr>
      <w:r>
        <w:t>Architecture and Responsibility Split</w:t>
      </w:r>
    </w:p>
    <w:p>
      <w:pPr>
        <w:keepNext w:val="0"/>
        <w:keepLines/>
        <w:spacing w:before="0" w:after="140" w:line="264" w:lineRule="auto"/>
      </w:pPr>
      <w:r>
        <w:rPr>
          <w:rFonts w:ascii="Calibri" w:hAnsi="Calibri"/>
          <w:color w:val="0B2545"/>
          <w:sz w:val="22"/>
        </w:rPr>
        <w:t>The implementation uses three deliberate layers. Each layer has a narrow responsibility, which reduces coupling and makes individual features easier to change or test.</w:t>
      </w:r>
    </w:p>
    <w:tbl>
      <w:tblPr>
        <w:tblW w:type="dxa" w:w="9360"/>
        <w:tblLayout w:type="fixed"/>
        <w:tblLook w:firstColumn="1" w:firstRow="1" w:lastColumn="0" w:lastRow="0" w:noHBand="0" w:noVBand="1" w:val="04A0"/>
        <w:jc w:val="left"/>
        <w:tblInd w:w="120" w:type="dxa"/>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1560"/>
        <w:gridCol w:w="2640"/>
        <w:gridCol w:w="5160"/>
      </w:tblGrid>
      <w:tr>
        <w:trPr>
          <w:cantSplit/>
          <w:tblHeader w:val="true"/>
          <w:cantSplit/>
        </w:trPr>
        <w:tc>
          <w:tcPr>
            <w:tcW w:type="dxa" w:w="1560"/>
            <w:tcMar>
              <w:top w:w="80" w:type="dxa"/>
              <w:start w:w="120" w:type="dxa"/>
              <w:bottom w:w="80" w:type="dxa"/>
              <w:end w:w="120" w:type="dxa"/>
            </w:tcMar>
            <w:vAlign w:val="center"/>
            <w:shd w:fill="F2F4F7"/>
          </w:tcPr>
          <w:p>
            <w:pPr>
              <w:keepNext w:val="0"/>
              <w:keepLines w:val="0"/>
              <w:spacing w:before="0" w:after="0" w:line="240" w:lineRule="auto"/>
              <w:jc w:val="left"/>
            </w:pPr>
            <w:r>
              <w:rPr>
                <w:rFonts w:ascii="Calibri" w:hAnsi="Calibri"/>
                <w:b/>
                <w:color w:val="1F4D78"/>
                <w:sz w:val="18"/>
              </w:rPr>
              <w:t>Layer</w:t>
            </w:r>
          </w:p>
        </w:tc>
        <w:tc>
          <w:tcPr>
            <w:tcW w:type="dxa" w:w="2640"/>
            <w:tcMar>
              <w:top w:w="80" w:type="dxa"/>
              <w:start w:w="120" w:type="dxa"/>
              <w:bottom w:w="80" w:type="dxa"/>
              <w:end w:w="120" w:type="dxa"/>
            </w:tcMar>
            <w:vAlign w:val="center"/>
            <w:shd w:fill="F2F4F7"/>
          </w:tcPr>
          <w:p>
            <w:pPr>
              <w:keepNext w:val="0"/>
              <w:keepLines w:val="0"/>
              <w:spacing w:before="0" w:after="0" w:line="240" w:lineRule="auto"/>
              <w:jc w:val="left"/>
            </w:pPr>
            <w:r>
              <w:rPr>
                <w:rFonts w:ascii="Calibri" w:hAnsi="Calibri"/>
                <w:b/>
                <w:color w:val="1F4D78"/>
                <w:sz w:val="18"/>
              </w:rPr>
              <w:t>Main implementation</w:t>
            </w:r>
          </w:p>
        </w:tc>
        <w:tc>
          <w:tcPr>
            <w:tcW w:type="dxa" w:w="5160"/>
            <w:tcMar>
              <w:top w:w="80" w:type="dxa"/>
              <w:start w:w="120" w:type="dxa"/>
              <w:bottom w:w="80" w:type="dxa"/>
              <w:end w:w="120" w:type="dxa"/>
            </w:tcMar>
            <w:vAlign w:val="center"/>
            <w:shd w:fill="F2F4F7"/>
          </w:tcPr>
          <w:p>
            <w:pPr>
              <w:keepNext w:val="0"/>
              <w:keepLines w:val="0"/>
              <w:spacing w:before="0" w:after="0" w:line="240" w:lineRule="auto"/>
              <w:jc w:val="left"/>
            </w:pPr>
            <w:r>
              <w:rPr>
                <w:rFonts w:ascii="Calibri" w:hAnsi="Calibri"/>
                <w:b/>
                <w:color w:val="1F4D78"/>
                <w:sz w:val="18"/>
              </w:rPr>
              <w:t>Responsibility</w:t>
            </w:r>
          </w:p>
        </w:tc>
      </w:tr>
      <w:tr>
        <w:trPr>
          <w:cantSplit/>
        </w:trPr>
        <w:tc>
          <w:tcPr>
            <w:tcW w:type="dxa" w:w="156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Presentation</w:t>
            </w:r>
          </w:p>
        </w:tc>
        <w:tc>
          <w:tcPr>
            <w:tcW w:type="dxa" w:w="264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React 19, Vite, React Router, Axios</w:t>
            </w:r>
          </w:p>
        </w:tc>
        <w:tc>
          <w:tcPr>
            <w:tcW w:type="dxa" w:w="516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Provides routed pages for authentication, projects, test cases, bugs, reports, AI assistance and administration.</w:t>
            </w:r>
          </w:p>
        </w:tc>
      </w:tr>
      <w:tr>
        <w:trPr>
          <w:cantSplit/>
        </w:trPr>
        <w:tc>
          <w:tcPr>
            <w:tcW w:type="dxa" w:w="156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Application API</w:t>
            </w:r>
          </w:p>
        </w:tc>
        <w:tc>
          <w:tcPr>
            <w:tcW w:type="dxa" w:w="264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Flask application with feature blueprints</w:t>
            </w:r>
          </w:p>
        </w:tc>
        <w:tc>
          <w:tcPr>
            <w:tcW w:type="dxa" w:w="516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Authenticates requests, applies ownership rules, exposes JSON endpoints and coordinates feature-specific behaviour.</w:t>
            </w:r>
          </w:p>
        </w:tc>
      </w:tr>
      <w:tr>
        <w:trPr>
          <w:cantSplit/>
        </w:trPr>
        <w:tc>
          <w:tcPr>
            <w:tcW w:type="dxa" w:w="156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Execution and data</w:t>
            </w:r>
          </w:p>
        </w:tc>
        <w:tc>
          <w:tcPr>
            <w:tcW w:type="dxa" w:w="264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MySQL, Playwright/Chromium, static evidence storage</w:t>
            </w:r>
          </w:p>
        </w:tc>
        <w:tc>
          <w:tcPr>
            <w:tcW w:type="dxa" w:w="516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Stores durable QA records; runs browser checks; retains screenshots and page-level evidence for later review.</w:t>
            </w:r>
          </w:p>
        </w:tc>
      </w:tr>
    </w:tbl>
    <w:p>
      <w:pPr>
        <w:spacing w:after="0"/>
      </w:pPr>
    </w:p>
    <w:p>
      <w:pPr>
        <w:pStyle w:val="Heading2"/>
        <w:keepNext/>
      </w:pPr>
      <w:r>
        <w:t>Implementation Method</w:t>
      </w:r>
    </w:p>
    <w:p>
      <w:pPr>
        <w:keepNext w:val="0"/>
        <w:keepLines/>
        <w:spacing w:before="0" w:after="140" w:line="264" w:lineRule="auto"/>
      </w:pPr>
      <w:r>
        <w:rPr>
          <w:rFonts w:ascii="Calibri" w:hAnsi="Calibri"/>
          <w:color w:val="0B2545"/>
          <w:sz w:val="22"/>
        </w:rPr>
        <w:t>The project was approached as a sequence of connected implementation stages rather than as independent screens. This keeps the data flow consistent from user input through execution and reporting.</w:t>
      </w:r>
    </w:p>
    <w:p>
      <w:pPr>
        <w:keepNext w:val="0"/>
        <w:keepLines/>
        <w:numPr>
          <w:ilvl w:val="0"/>
          <w:numId w:val="11"/>
        </w:numPr>
        <w:spacing w:before="0" w:after="100" w:line="280" w:lineRule="auto"/>
      </w:pPr>
      <w:r>
        <w:rPr>
          <w:rFonts w:ascii="Calibri" w:hAnsi="Calibri"/>
          <w:color w:val="0B2545"/>
          <w:sz w:val="22"/>
        </w:rPr>
        <w:t>Model the QA domain in MySQL: users own projects; projects contain test cases; test cases create test runs; test runs retain page evidence and can be linked to bugs.</w:t>
      </w:r>
    </w:p>
    <w:p>
      <w:pPr>
        <w:keepNext w:val="0"/>
        <w:keepLines/>
        <w:numPr>
          <w:ilvl w:val="0"/>
          <w:numId w:val="11"/>
        </w:numPr>
        <w:spacing w:before="0" w:after="100" w:line="280" w:lineRule="auto"/>
      </w:pPr>
      <w:r>
        <w:rPr>
          <w:rFonts w:ascii="Calibri" w:hAnsi="Calibri"/>
          <w:color w:val="0B2545"/>
          <w:sz w:val="22"/>
        </w:rPr>
        <w:t>Expose domain functions as Flask blueprints so authentication, projects, test cases, runner, reports, AI, OTP and administration can evolve independently behind clear API prefixes.</w:t>
      </w:r>
    </w:p>
    <w:p>
      <w:pPr>
        <w:keepNext w:val="0"/>
        <w:keepLines/>
        <w:numPr>
          <w:ilvl w:val="0"/>
          <w:numId w:val="11"/>
        </w:numPr>
        <w:spacing w:before="0" w:after="100" w:line="280" w:lineRule="auto"/>
      </w:pPr>
      <w:r>
        <w:rPr>
          <w:rFonts w:ascii="Calibri" w:hAnsi="Calibri"/>
          <w:color w:val="0B2545"/>
          <w:sz w:val="22"/>
        </w:rPr>
        <w:t>Build routed React pages and small API modules so the browser interface calls the correct endpoint and keeps request details out of page components where possible.</w:t>
      </w:r>
    </w:p>
    <w:p>
      <w:pPr>
        <w:keepNext w:val="0"/>
        <w:keepLines/>
        <w:numPr>
          <w:ilvl w:val="0"/>
          <w:numId w:val="11"/>
        </w:numPr>
        <w:spacing w:before="0" w:after="100" w:line="280" w:lineRule="auto"/>
      </w:pPr>
      <w:r>
        <w:rPr>
          <w:rFonts w:ascii="Calibri" w:hAnsi="Calibri"/>
          <w:color w:val="0B2545"/>
          <w:sz w:val="22"/>
        </w:rPr>
        <w:t>Execute browser-oriented work through the Playwright runner, then save outcomes, screenshots and crawled-page information in the application data model.</w:t>
      </w:r>
    </w:p>
    <w:p>
      <w:pPr>
        <w:keepNext w:val="0"/>
        <w:keepLines/>
        <w:numPr>
          <w:ilvl w:val="0"/>
          <w:numId w:val="11"/>
        </w:numPr>
        <w:spacing w:before="0" w:after="100" w:line="280" w:lineRule="auto"/>
      </w:pPr>
      <w:r>
        <w:rPr>
          <w:rFonts w:ascii="Calibri" w:hAnsi="Calibri"/>
          <w:color w:val="0B2545"/>
          <w:sz w:val="22"/>
        </w:rPr>
        <w:t>Use test, lint and build commands as quality gates during development, while reserving real browser execution for behaviour that cannot be proven by static checks alone.</w:t>
      </w:r>
    </w:p>
    <w:p>
      <w:pPr>
        <w:pStyle w:val="Heading2"/>
        <w:keepNext/>
      </w:pPr>
      <w:r>
        <w:t>End-to-End QA Flow</w:t>
      </w:r>
    </w:p>
    <w:p>
      <w:pPr>
        <w:keepNext w:val="0"/>
        <w:keepLines/>
        <w:spacing w:before="0" w:after="140" w:line="264" w:lineRule="auto"/>
      </w:pPr>
      <w:r>
        <w:rPr>
          <w:rFonts w:ascii="Calibri" w:hAnsi="Calibri"/>
          <w:color w:val="0B2545"/>
          <w:sz w:val="22"/>
        </w:rPr>
        <w:t>A user signs in and creates a project for the target application. Test cases are then created as manual or automated work. A manual run records tester activity and evidence; an automated run queues Playwright-based browser execution. The completed run feeds reports and can be used to create or investigate bugs. The same core records therefore support day-to-day testing and management reporting.</w:t>
      </w:r>
    </w:p>
    <w:p>
      <w:pPr>
        <w:keepNext w:val="0"/>
        <w:keepLines/>
        <w:spacing w:before="80" w:after="200" w:line="264" w:lineRule="auto"/>
        <w:shd w:fill="F4F6F9"/>
        <w:pBdr>
          <w:top w:val="single" w:sz="4" w:space="8" w:color="C9D5E1"/>
          <w:left w:val="single" w:sz="4" w:space="8" w:color="C9D5E1"/>
          <w:bottom w:val="single" w:sz="4" w:space="8" w:color="C9D5E1"/>
          <w:right w:val="single" w:sz="4" w:space="8" w:color="C9D5E1"/>
        </w:pBdr>
      </w:pPr>
      <w:r>
        <w:rPr>
          <w:rFonts w:ascii="Calibri" w:hAnsi="Calibri"/>
          <w:b/>
          <w:color w:val="1F4D78"/>
          <w:sz w:val="21"/>
        </w:rPr>
        <w:t xml:space="preserve">Traceability decision. </w:t>
      </w:r>
      <w:r>
        <w:rPr>
          <w:rFonts w:ascii="Calibri" w:hAnsi="Calibri"/>
          <w:color w:val="0B2545"/>
          <w:sz w:val="21"/>
        </w:rPr>
        <w:t>Test runs are linked to test cases, crawled pages are linked to runs, and bugs can retain links to both a test case and a run. This makes a report result traceable back to the execution that produced it.</w:t>
      </w:r>
    </w:p>
    <w:p>
      <w:pPr>
        <w:pStyle w:val="Heading1"/>
        <w:keepNext/>
      </w:pPr>
      <w:r>
        <w:t>5.2 Coding Details and Code Efficiency</w:t>
      </w:r>
    </w:p>
    <w:p>
      <w:pPr>
        <w:pStyle w:val="Heading2"/>
        <w:keepNext/>
      </w:pPr>
      <w:r>
        <w:t>Code Organisation</w:t>
      </w:r>
    </w:p>
    <w:p>
      <w:pPr>
        <w:keepNext w:val="0"/>
        <w:keepLines/>
        <w:spacing w:before="0" w:after="140" w:line="264" w:lineRule="auto"/>
      </w:pPr>
      <w:r>
        <w:rPr>
          <w:rFonts w:ascii="Calibri" w:hAnsi="Calibri"/>
          <w:color w:val="0B2545"/>
          <w:sz w:val="22"/>
        </w:rPr>
        <w:t>The backend is initialised in backend/app.py. It loads configuration, sets up CORS, JWT, rate limiting and MySQL, then registers one Flask blueprint per product area. This keeps the application entry point small while keeping route logic close to the responsible module. The frontend follows the same separation: pages define user-facing workflows and API modules concentrate request construction and authentication headers.</w:t>
      </w:r>
    </w:p>
    <w:tbl>
      <w:tblPr>
        <w:tblW w:type="dxa" w:w="9360"/>
        <w:tblLayout w:type="fixed"/>
        <w:tblLook w:firstColumn="1" w:firstRow="1" w:lastColumn="0" w:lastRow="0" w:noHBand="0" w:noVBand="1" w:val="04A0"/>
        <w:jc w:val="left"/>
        <w:tblInd w:w="120" w:type="dxa"/>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1560"/>
        <w:gridCol w:w="2880"/>
        <w:gridCol w:w="4920"/>
      </w:tblGrid>
      <w:tr>
        <w:trPr>
          <w:cantSplit/>
          <w:tblHeader w:val="true"/>
          <w:cantSplit/>
        </w:trPr>
        <w:tc>
          <w:tcPr>
            <w:tcW w:type="dxa" w:w="1560"/>
            <w:tcMar>
              <w:top w:w="80" w:type="dxa"/>
              <w:start w:w="120" w:type="dxa"/>
              <w:bottom w:w="80" w:type="dxa"/>
              <w:end w:w="120" w:type="dxa"/>
            </w:tcMar>
            <w:vAlign w:val="center"/>
            <w:shd w:fill="F2F4F7"/>
          </w:tcPr>
          <w:p>
            <w:pPr>
              <w:keepNext w:val="0"/>
              <w:keepLines w:val="0"/>
              <w:spacing w:before="0" w:after="0" w:line="240" w:lineRule="auto"/>
              <w:jc w:val="left"/>
            </w:pPr>
            <w:r>
              <w:rPr>
                <w:rFonts w:ascii="Calibri" w:hAnsi="Calibri"/>
                <w:b/>
                <w:color w:val="1F4D78"/>
                <w:sz w:val="18"/>
              </w:rPr>
              <w:t>Area</w:t>
            </w:r>
          </w:p>
        </w:tc>
        <w:tc>
          <w:tcPr>
            <w:tcW w:type="dxa" w:w="2880"/>
            <w:tcMar>
              <w:top w:w="80" w:type="dxa"/>
              <w:start w:w="120" w:type="dxa"/>
              <w:bottom w:w="80" w:type="dxa"/>
              <w:end w:w="120" w:type="dxa"/>
            </w:tcMar>
            <w:vAlign w:val="center"/>
            <w:shd w:fill="F2F4F7"/>
          </w:tcPr>
          <w:p>
            <w:pPr>
              <w:keepNext w:val="0"/>
              <w:keepLines w:val="0"/>
              <w:spacing w:before="0" w:after="0" w:line="240" w:lineRule="auto"/>
              <w:jc w:val="left"/>
            </w:pPr>
            <w:r>
              <w:rPr>
                <w:rFonts w:ascii="Calibri" w:hAnsi="Calibri"/>
                <w:b/>
                <w:color w:val="1F4D78"/>
                <w:sz w:val="18"/>
              </w:rPr>
              <w:t>Representative files</w:t>
            </w:r>
          </w:p>
        </w:tc>
        <w:tc>
          <w:tcPr>
            <w:tcW w:type="dxa" w:w="4920"/>
            <w:tcMar>
              <w:top w:w="80" w:type="dxa"/>
              <w:start w:w="120" w:type="dxa"/>
              <w:bottom w:w="80" w:type="dxa"/>
              <w:end w:w="120" w:type="dxa"/>
            </w:tcMar>
            <w:vAlign w:val="center"/>
            <w:shd w:fill="F2F4F7"/>
          </w:tcPr>
          <w:p>
            <w:pPr>
              <w:keepNext w:val="0"/>
              <w:keepLines w:val="0"/>
              <w:spacing w:before="0" w:after="0" w:line="240" w:lineRule="auto"/>
              <w:jc w:val="left"/>
            </w:pPr>
            <w:r>
              <w:rPr>
                <w:rFonts w:ascii="Calibri" w:hAnsi="Calibri"/>
                <w:b/>
                <w:color w:val="1F4D78"/>
                <w:sz w:val="18"/>
              </w:rPr>
              <w:t>Coding role</w:t>
            </w:r>
          </w:p>
        </w:tc>
      </w:tr>
      <w:tr>
        <w:trPr>
          <w:cantSplit/>
        </w:trPr>
        <w:tc>
          <w:tcPr>
            <w:tcW w:type="dxa" w:w="156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Application setup</w:t>
            </w:r>
          </w:p>
        </w:tc>
        <w:tc>
          <w:tcPr>
            <w:tcW w:type="dxa" w:w="288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backend/app.py</w:t>
            </w:r>
          </w:p>
        </w:tc>
        <w:tc>
          <w:tcPr>
            <w:tcW w:type="dxa" w:w="492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Creates the Flask application, configures extensions, starts the bounded background job manager and registers API blueprints.</w:t>
            </w:r>
          </w:p>
        </w:tc>
      </w:tr>
      <w:tr>
        <w:trPr>
          <w:cantSplit/>
        </w:trPr>
        <w:tc>
          <w:tcPr>
            <w:tcW w:type="dxa" w:w="156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Feature modules</w:t>
            </w:r>
          </w:p>
        </w:tc>
        <w:tc>
          <w:tcPr>
            <w:tcW w:type="dxa" w:w="288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backend/modules/*/routes.py</w:t>
            </w:r>
          </w:p>
        </w:tc>
        <w:tc>
          <w:tcPr>
            <w:tcW w:type="dxa" w:w="492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Groups related endpoints such as auth, projects, test cases, runner, reports, AI, OTP, bugs and admin.</w:t>
            </w:r>
          </w:p>
        </w:tc>
      </w:tr>
      <w:tr>
        <w:trPr>
          <w:cantSplit/>
        </w:trPr>
        <w:tc>
          <w:tcPr>
            <w:tcW w:type="dxa" w:w="156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Execution engine</w:t>
            </w:r>
          </w:p>
        </w:tc>
        <w:tc>
          <w:tcPr>
            <w:tcW w:type="dxa" w:w="288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backend/modules/runner/jobs.py, routes.py, manual_run.py</w:t>
            </w:r>
          </w:p>
        </w:tc>
        <w:tc>
          <w:tcPr>
            <w:tcW w:type="dxa" w:w="492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Queues automated work, controls browser-run behaviour, captures evidence and enforces execution limits.</w:t>
            </w:r>
          </w:p>
        </w:tc>
      </w:tr>
      <w:tr>
        <w:trPr>
          <w:cantSplit/>
        </w:trPr>
        <w:tc>
          <w:tcPr>
            <w:tcW w:type="dxa" w:w="156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Data model</w:t>
            </w:r>
          </w:p>
        </w:tc>
        <w:tc>
          <w:tcPr>
            <w:tcW w:type="dxa" w:w="288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backend/schema.sql</w:t>
            </w:r>
          </w:p>
        </w:tc>
        <w:tc>
          <w:tcPr>
            <w:tcW w:type="dxa" w:w="492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Defines relational tables, foreign-key relationships and indexes for user, project, test, run, evidence and bug data.</w:t>
            </w:r>
          </w:p>
        </w:tc>
      </w:tr>
      <w:tr>
        <w:trPr>
          <w:cantSplit/>
        </w:trPr>
        <w:tc>
          <w:tcPr>
            <w:tcW w:type="dxa" w:w="156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Client application</w:t>
            </w:r>
          </w:p>
        </w:tc>
        <w:tc>
          <w:tcPr>
            <w:tcW w:type="dxa" w:w="288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frontend/src/App.jsx, pages/, api/</w:t>
            </w:r>
          </w:p>
        </w:tc>
        <w:tc>
          <w:tcPr>
            <w:tcW w:type="dxa" w:w="492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Maps routes to React pages and isolates HTTP calls such as test-case CRUD in reusable API modules.</w:t>
            </w:r>
          </w:p>
        </w:tc>
      </w:tr>
    </w:tbl>
    <w:p>
      <w:pPr>
        <w:spacing w:after="0"/>
      </w:pPr>
    </w:p>
    <w:p>
      <w:pPr>
        <w:pStyle w:val="Heading2"/>
        <w:keepNext/>
      </w:pPr>
      <w:r>
        <w:t>Backend Coding Details</w:t>
      </w:r>
    </w:p>
    <w:p>
      <w:pPr>
        <w:keepNext w:val="0"/>
        <w:keepLines/>
        <w:numPr>
          <w:ilvl w:val="0"/>
          <w:numId w:val="10"/>
        </w:numPr>
        <w:spacing w:before="0" w:after="100" w:line="280" w:lineRule="auto"/>
      </w:pPr>
      <w:r>
        <w:rPr>
          <w:rFonts w:ascii="Calibri" w:hAnsi="Calibri"/>
          <w:color w:val="0B2545"/>
          <w:sz w:val="22"/>
        </w:rPr>
        <w:t>Blueprint registration keeps endpoint prefixes explicit, for example /api/testcases, /api/runner and /api/reports. Each module receives the shared MySQL extension through an init function instead of creating disconnected database clients.</w:t>
      </w:r>
    </w:p>
    <w:p>
      <w:pPr>
        <w:keepNext w:val="0"/>
        <w:keepLines/>
        <w:numPr>
          <w:ilvl w:val="0"/>
          <w:numId w:val="10"/>
        </w:numPr>
        <w:spacing w:before="0" w:after="100" w:line="280" w:lineRule="auto"/>
      </w:pPr>
      <w:r>
        <w:rPr>
          <w:rFonts w:ascii="Calibri" w:hAnsi="Calibri"/>
          <w:color w:val="0B2545"/>
          <w:sz w:val="22"/>
        </w:rPr>
        <w:t>JWT authentication is applied to protected routes. Ownership checks query a test case through its project, so a user cannot access another user's project data simply by supplying an identifier.</w:t>
      </w:r>
    </w:p>
    <w:p>
      <w:pPr>
        <w:keepNext w:val="0"/>
        <w:keepLines/>
        <w:numPr>
          <w:ilvl w:val="0"/>
          <w:numId w:val="10"/>
        </w:numPr>
        <w:spacing w:before="0" w:after="100" w:line="280" w:lineRule="auto"/>
      </w:pPr>
      <w:r>
        <w:rPr>
          <w:rFonts w:ascii="Calibri" w:hAnsi="Calibri"/>
          <w:color w:val="0B2545"/>
          <w:sz w:val="22"/>
        </w:rPr>
        <w:t>Database calls use parameter placeholders such as %s with separate parameter values. This avoids assembling user input into SQL strings and supports consistent query execution.</w:t>
      </w:r>
    </w:p>
    <w:p>
      <w:pPr>
        <w:keepNext w:val="0"/>
        <w:keepLines/>
        <w:numPr>
          <w:ilvl w:val="0"/>
          <w:numId w:val="10"/>
        </w:numPr>
        <w:spacing w:before="0" w:after="100" w:line="280" w:lineRule="auto"/>
      </w:pPr>
      <w:r>
        <w:rPr>
          <w:rFonts w:ascii="Calibri" w:hAnsi="Calibri"/>
          <w:color w:val="0B2545"/>
          <w:sz w:val="22"/>
        </w:rPr>
        <w:t>The application has specific handlers for database unavailability, unexpected errors and rate limiting. Responses remain concise while full diagnostic information is logged on the server.</w:t>
      </w:r>
    </w:p>
    <w:p>
      <w:pPr>
        <w:keepNext w:val="0"/>
        <w:keepLines/>
        <w:numPr>
          <w:ilvl w:val="0"/>
          <w:numId w:val="10"/>
        </w:numPr>
        <w:spacing w:before="0" w:after="100" w:line="280" w:lineRule="auto"/>
      </w:pPr>
      <w:r>
        <w:rPr>
          <w:rFonts w:ascii="Calibri" w:hAnsi="Calibri"/>
          <w:color w:val="0B2545"/>
          <w:sz w:val="22"/>
        </w:rPr>
        <w:t>Automated runs are placed behind an asynchronous runner endpoint. The request returns a queued job response instead of holding the web request open for a browser crawl that may take seconds or minutes.</w:t>
      </w:r>
    </w:p>
    <w:p>
      <w:pPr>
        <w:pStyle w:val="Heading2"/>
        <w:keepNext/>
      </w:pPr>
      <w:r>
        <w:t>Frontend Coding Details</w:t>
      </w:r>
    </w:p>
    <w:p>
      <w:pPr>
        <w:keepNext w:val="0"/>
        <w:keepLines/>
        <w:spacing w:before="0" w:after="140" w:line="264" w:lineRule="auto"/>
      </w:pPr>
      <w:r>
        <w:rPr>
          <w:rFonts w:ascii="Calibri" w:hAnsi="Calibri"/>
          <w:color w:val="0B2545"/>
          <w:sz w:val="22"/>
        </w:rPr>
        <w:t>React Router maps individual routes to focused pages, including Dashboard, Projects, Test Cases, Bug Tracker, Reports and Admin. API modules keep common Axios calls in one place. For example, the test-case API module owns list, create, update, delete and statistics requests, while pages concentrate on form state and user feedback.</w:t>
      </w:r>
    </w:p>
    <w:p>
      <w:pPr>
        <w:keepNext w:val="0"/>
        <w:keepLines/>
        <w:spacing w:before="0" w:after="140" w:line="264" w:lineRule="auto"/>
      </w:pPr>
      <w:r>
        <w:rPr>
          <w:rFonts w:ascii="Calibri" w:hAnsi="Calibri"/>
          <w:color w:val="0B2545"/>
          <w:sz w:val="22"/>
        </w:rPr>
        <w:t>The client carries the JWT as a Bearer token in authenticated requests. A global Axios response interceptor handles invalid or expired authentication by clearing stored credentials and redirecting to login. This prevents each page from duplicating the same recovery logic.</w:t>
      </w:r>
    </w:p>
    <w:p>
      <w:pPr>
        <w:pStyle w:val="Heading2"/>
        <w:keepNext/>
      </w:pPr>
      <w:r>
        <w:t>Development Quality Gates</w:t>
      </w:r>
    </w:p>
    <w:p>
      <w:pPr>
        <w:keepNext w:val="0"/>
        <w:keepLines/>
        <w:spacing w:before="0" w:after="140" w:line="264" w:lineRule="auto"/>
      </w:pPr>
      <w:r>
        <w:rPr>
          <w:rFonts w:ascii="Calibri" w:hAnsi="Calibri"/>
          <w:color w:val="0B2545"/>
          <w:sz w:val="22"/>
        </w:rPr>
        <w:t>The repository defines the following checks for development work. They are part of the implementation workflow, but this document does not replace their execution results.</w:t>
      </w:r>
    </w:p>
    <w:tbl>
      <w:tblPr>
        <w:tblW w:type="dxa" w:w="9360"/>
        <w:tblLayout w:type="fixed"/>
        <w:tblLook w:firstColumn="1" w:firstRow="1" w:lastColumn="0" w:lastRow="0" w:noHBand="0" w:noVBand="1" w:val="04A0"/>
        <w:jc w:val="left"/>
        <w:tblInd w:w="120" w:type="dxa"/>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1680"/>
        <w:gridCol w:w="1920"/>
        <w:gridCol w:w="5760"/>
      </w:tblGrid>
      <w:tr>
        <w:trPr>
          <w:cantSplit/>
          <w:tblHeader w:val="true"/>
          <w:cantSplit/>
        </w:trPr>
        <w:tc>
          <w:tcPr>
            <w:tcW w:type="dxa" w:w="1680"/>
            <w:tcMar>
              <w:top w:w="80" w:type="dxa"/>
              <w:start w:w="120" w:type="dxa"/>
              <w:bottom w:w="80" w:type="dxa"/>
              <w:end w:w="120" w:type="dxa"/>
            </w:tcMar>
            <w:vAlign w:val="center"/>
            <w:shd w:fill="F2F4F7"/>
          </w:tcPr>
          <w:p>
            <w:pPr>
              <w:keepNext w:val="0"/>
              <w:keepLines w:val="0"/>
              <w:spacing w:before="0" w:after="0" w:line="240" w:lineRule="auto"/>
              <w:jc w:val="left"/>
            </w:pPr>
            <w:r>
              <w:rPr>
                <w:rFonts w:ascii="Calibri" w:hAnsi="Calibri"/>
                <w:b/>
                <w:color w:val="1F4D78"/>
                <w:sz w:val="18"/>
              </w:rPr>
              <w:t>Check</w:t>
            </w:r>
          </w:p>
        </w:tc>
        <w:tc>
          <w:tcPr>
            <w:tcW w:type="dxa" w:w="1920"/>
            <w:tcMar>
              <w:top w:w="80" w:type="dxa"/>
              <w:start w:w="120" w:type="dxa"/>
              <w:bottom w:w="80" w:type="dxa"/>
              <w:end w:w="120" w:type="dxa"/>
            </w:tcMar>
            <w:vAlign w:val="center"/>
            <w:shd w:fill="F2F4F7"/>
          </w:tcPr>
          <w:p>
            <w:pPr>
              <w:keepNext w:val="0"/>
              <w:keepLines w:val="0"/>
              <w:spacing w:before="0" w:after="0" w:line="240" w:lineRule="auto"/>
              <w:jc w:val="left"/>
            </w:pPr>
            <w:r>
              <w:rPr>
                <w:rFonts w:ascii="Calibri" w:hAnsi="Calibri"/>
                <w:b/>
                <w:color w:val="1F4D78"/>
                <w:sz w:val="18"/>
              </w:rPr>
              <w:t>Command</w:t>
            </w:r>
          </w:p>
        </w:tc>
        <w:tc>
          <w:tcPr>
            <w:tcW w:type="dxa" w:w="5760"/>
            <w:tcMar>
              <w:top w:w="80" w:type="dxa"/>
              <w:start w:w="120" w:type="dxa"/>
              <w:bottom w:w="80" w:type="dxa"/>
              <w:end w:w="120" w:type="dxa"/>
            </w:tcMar>
            <w:vAlign w:val="center"/>
            <w:shd w:fill="F2F4F7"/>
          </w:tcPr>
          <w:p>
            <w:pPr>
              <w:keepNext w:val="0"/>
              <w:keepLines w:val="0"/>
              <w:spacing w:before="0" w:after="0" w:line="240" w:lineRule="auto"/>
              <w:jc w:val="left"/>
            </w:pPr>
            <w:r>
              <w:rPr>
                <w:rFonts w:ascii="Calibri" w:hAnsi="Calibri"/>
                <w:b/>
                <w:color w:val="1F4D78"/>
                <w:sz w:val="18"/>
              </w:rPr>
              <w:t>Purpose</w:t>
            </w:r>
          </w:p>
        </w:tc>
      </w:tr>
      <w:tr>
        <w:trPr>
          <w:cantSplit/>
        </w:trPr>
        <w:tc>
          <w:tcPr>
            <w:tcW w:type="dxa" w:w="168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Backend tests</w:t>
            </w:r>
          </w:p>
        </w:tc>
        <w:tc>
          <w:tcPr>
            <w:tcW w:type="dxa" w:w="192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pytest</w:t>
            </w:r>
          </w:p>
        </w:tc>
        <w:tc>
          <w:tcPr>
            <w:tcW w:type="dxa" w:w="576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Exercises Python backend behaviour under the repository test configuration.</w:t>
            </w:r>
          </w:p>
        </w:tc>
      </w:tr>
      <w:tr>
        <w:trPr>
          <w:cantSplit/>
        </w:trPr>
        <w:tc>
          <w:tcPr>
            <w:tcW w:type="dxa" w:w="168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Frontend tests</w:t>
            </w:r>
          </w:p>
        </w:tc>
        <w:tc>
          <w:tcPr>
            <w:tcW w:type="dxa" w:w="192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npm test</w:t>
            </w:r>
          </w:p>
        </w:tc>
        <w:tc>
          <w:tcPr>
            <w:tcW w:type="dxa" w:w="576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Runs the Vitest test suite in a browser-like JavaScript environment.</w:t>
            </w:r>
          </w:p>
        </w:tc>
      </w:tr>
      <w:tr>
        <w:trPr>
          <w:cantSplit/>
        </w:trPr>
        <w:tc>
          <w:tcPr>
            <w:tcW w:type="dxa" w:w="168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Frontend lint</w:t>
            </w:r>
          </w:p>
        </w:tc>
        <w:tc>
          <w:tcPr>
            <w:tcW w:type="dxa" w:w="192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npm run lint</w:t>
            </w:r>
          </w:p>
        </w:tc>
        <w:tc>
          <w:tcPr>
            <w:tcW w:type="dxa" w:w="576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Finds JavaScript and React code-quality problems through ESLint.</w:t>
            </w:r>
          </w:p>
        </w:tc>
      </w:tr>
      <w:tr>
        <w:trPr>
          <w:cantSplit/>
        </w:trPr>
        <w:tc>
          <w:tcPr>
            <w:tcW w:type="dxa" w:w="168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Production build</w:t>
            </w:r>
          </w:p>
        </w:tc>
        <w:tc>
          <w:tcPr>
            <w:tcW w:type="dxa" w:w="192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npm run build</w:t>
            </w:r>
          </w:p>
        </w:tc>
        <w:tc>
          <w:tcPr>
            <w:tcW w:type="dxa" w:w="576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Verifies that Vite can produce a production frontend bundle.</w:t>
            </w:r>
          </w:p>
        </w:tc>
      </w:tr>
      <w:tr>
        <w:trPr>
          <w:cantSplit/>
        </w:trPr>
        <w:tc>
          <w:tcPr>
            <w:tcW w:type="dxa" w:w="168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Browser execution</w:t>
            </w:r>
          </w:p>
        </w:tc>
        <w:tc>
          <w:tcPr>
            <w:tcW w:type="dxa" w:w="192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Playwright / Chromium</w:t>
            </w:r>
          </w:p>
        </w:tc>
        <w:tc>
          <w:tcPr>
            <w:tcW w:type="dxa" w:w="576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Runs the real browser used by automated QA workflows and evidence capture.</w:t>
            </w:r>
          </w:p>
        </w:tc>
      </w:tr>
    </w:tbl>
    <w:p>
      <w:pPr>
        <w:spacing w:after="0"/>
      </w:pPr>
    </w:p>
    <w:p>
      <w:pPr>
        <w:pStyle w:val="Heading1"/>
        <w:keepNext/>
      </w:pPr>
      <w:r>
        <w:t>5.2.1 Code Efficiency</w:t>
      </w:r>
    </w:p>
    <w:p>
      <w:pPr>
        <w:pStyle w:val="Heading2"/>
        <w:keepNext/>
      </w:pPr>
      <w:r>
        <w:t>Resource-Efficiency Controls</w:t>
      </w:r>
    </w:p>
    <w:p>
      <w:pPr>
        <w:keepNext w:val="0"/>
        <w:keepLines/>
        <w:spacing w:before="0" w:after="140" w:line="264" w:lineRule="auto"/>
      </w:pPr>
      <w:r>
        <w:rPr>
          <w:rFonts w:ascii="Calibri" w:hAnsi="Calibri"/>
          <w:color w:val="0B2545"/>
          <w:sz w:val="22"/>
        </w:rPr>
        <w:t>Code efficiency in QA Platform is handled mainly by bounding expensive work, parallelising only safe network activity and using database indexes for common relationships. The runner is intentionally constrained because browser automation and external-site checking can otherwise consume unbounded CPU, network time and memory.</w:t>
      </w:r>
    </w:p>
    <w:tbl>
      <w:tblPr>
        <w:tblW w:type="dxa" w:w="9360"/>
        <w:tblLayout w:type="fixed"/>
        <w:tblLook w:firstColumn="1" w:firstRow="1" w:lastColumn="0" w:lastRow="0" w:noHBand="0" w:noVBand="1" w:val="04A0"/>
        <w:jc w:val="left"/>
        <w:tblInd w:w="120" w:type="dxa"/>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1700"/>
        <w:gridCol w:w="3720"/>
        <w:gridCol w:w="3940"/>
      </w:tblGrid>
      <w:tr>
        <w:trPr>
          <w:cantSplit/>
          <w:tblHeader w:val="true"/>
          <w:cantSplit/>
        </w:trPr>
        <w:tc>
          <w:tcPr>
            <w:tcW w:type="dxa" w:w="1700"/>
            <w:tcMar>
              <w:top w:w="80" w:type="dxa"/>
              <w:start w:w="120" w:type="dxa"/>
              <w:bottom w:w="80" w:type="dxa"/>
              <w:end w:w="120" w:type="dxa"/>
            </w:tcMar>
            <w:vAlign w:val="center"/>
            <w:shd w:fill="F2F4F7"/>
          </w:tcPr>
          <w:p>
            <w:pPr>
              <w:keepNext w:val="0"/>
              <w:keepLines w:val="0"/>
              <w:spacing w:before="0" w:after="0" w:line="240" w:lineRule="auto"/>
              <w:jc w:val="left"/>
            </w:pPr>
            <w:r>
              <w:rPr>
                <w:rFonts w:ascii="Calibri" w:hAnsi="Calibri"/>
                <w:b/>
                <w:color w:val="1F4D78"/>
                <w:sz w:val="18"/>
              </w:rPr>
              <w:t>Control</w:t>
            </w:r>
          </w:p>
        </w:tc>
        <w:tc>
          <w:tcPr>
            <w:tcW w:type="dxa" w:w="3720"/>
            <w:tcMar>
              <w:top w:w="80" w:type="dxa"/>
              <w:start w:w="120" w:type="dxa"/>
              <w:bottom w:w="80" w:type="dxa"/>
              <w:end w:w="120" w:type="dxa"/>
            </w:tcMar>
            <w:vAlign w:val="center"/>
            <w:shd w:fill="F2F4F7"/>
          </w:tcPr>
          <w:p>
            <w:pPr>
              <w:keepNext w:val="0"/>
              <w:keepLines w:val="0"/>
              <w:spacing w:before="0" w:after="0" w:line="240" w:lineRule="auto"/>
              <w:jc w:val="left"/>
            </w:pPr>
            <w:r>
              <w:rPr>
                <w:rFonts w:ascii="Calibri" w:hAnsi="Calibri"/>
                <w:b/>
                <w:color w:val="1F4D78"/>
                <w:sz w:val="18"/>
              </w:rPr>
              <w:t>Implementation</w:t>
            </w:r>
          </w:p>
        </w:tc>
        <w:tc>
          <w:tcPr>
            <w:tcW w:type="dxa" w:w="3940"/>
            <w:tcMar>
              <w:top w:w="80" w:type="dxa"/>
              <w:start w:w="120" w:type="dxa"/>
              <w:bottom w:w="80" w:type="dxa"/>
              <w:end w:w="120" w:type="dxa"/>
            </w:tcMar>
            <w:vAlign w:val="center"/>
            <w:shd w:fill="F2F4F7"/>
          </w:tcPr>
          <w:p>
            <w:pPr>
              <w:keepNext w:val="0"/>
              <w:keepLines w:val="0"/>
              <w:spacing w:before="0" w:after="0" w:line="240" w:lineRule="auto"/>
              <w:jc w:val="left"/>
            </w:pPr>
            <w:r>
              <w:rPr>
                <w:rFonts w:ascii="Calibri" w:hAnsi="Calibri"/>
                <w:b/>
                <w:color w:val="1F4D78"/>
                <w:sz w:val="18"/>
              </w:rPr>
              <w:t>Efficiency benefit</w:t>
            </w:r>
          </w:p>
        </w:tc>
      </w:tr>
      <w:tr>
        <w:trPr>
          <w:cantSplit/>
        </w:trPr>
        <w:tc>
          <w:tcPr>
            <w:tcW w:type="dxa" w:w="170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Background execution</w:t>
            </w:r>
          </w:p>
        </w:tc>
        <w:tc>
          <w:tcPr>
            <w:tcW w:type="dxa" w:w="372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Job manager uses ThreadPoolExecutor with max_workers=2.</w:t>
            </w:r>
          </w:p>
        </w:tc>
        <w:tc>
          <w:tcPr>
            <w:tcW w:type="dxa" w:w="394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Keeps automated crawls off the request path and limits concurrent browser workload on a single application process.</w:t>
            </w:r>
          </w:p>
        </w:tc>
      </w:tr>
      <w:tr>
        <w:trPr>
          <w:cantSplit/>
        </w:trPr>
        <w:tc>
          <w:tcPr>
            <w:tcW w:type="dxa" w:w="170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Parallel link checks</w:t>
            </w:r>
          </w:p>
        </w:tc>
        <w:tc>
          <w:tcPr>
            <w:tcW w:type="dxa" w:w="372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Broken-link checking uses a small pool of 8 workers and checks at most 100 candidate links per page.</w:t>
            </w:r>
          </w:p>
        </w:tc>
        <w:tc>
          <w:tcPr>
            <w:tcW w:type="dxa" w:w="394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Reduces waiting on network I/O while preventing an unusually large page from creating unbounded requests.</w:t>
            </w:r>
          </w:p>
        </w:tc>
      </w:tr>
      <w:tr>
        <w:trPr>
          <w:cantSplit/>
        </w:trPr>
        <w:tc>
          <w:tcPr>
            <w:tcW w:type="dxa" w:w="170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Page-level limits</w:t>
            </w:r>
          </w:p>
        </w:tc>
        <w:tc>
          <w:tcPr>
            <w:tcW w:type="dxa" w:w="372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Tap-target checks cap at 150 controls; destructive-control probing caps at 15 controls.</w:t>
            </w:r>
          </w:p>
        </w:tc>
        <w:tc>
          <w:tcPr>
            <w:tcW w:type="dxa" w:w="394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Bounds repeated DOM interaction and avoids excessive side-effect risk during automated inspection.</w:t>
            </w:r>
          </w:p>
        </w:tc>
      </w:tr>
      <w:tr>
        <w:trPr>
          <w:cantSplit/>
        </w:trPr>
        <w:tc>
          <w:tcPr>
            <w:tcW w:type="dxa" w:w="170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Manual-run limits</w:t>
            </w:r>
          </w:p>
        </w:tc>
        <w:tc>
          <w:tcPr>
            <w:tcW w:type="dxa" w:w="372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Manual runs default to 25 pages and enforce a maximum of 100 pages.</w:t>
            </w:r>
          </w:p>
        </w:tc>
        <w:tc>
          <w:tcPr>
            <w:tcW w:type="dxa" w:w="394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Keeps evidence capture predictable while still allowing meaningful multi-page exploration.</w:t>
            </w:r>
          </w:p>
        </w:tc>
      </w:tr>
      <w:tr>
        <w:trPr>
          <w:cantSplit/>
        </w:trPr>
        <w:tc>
          <w:tcPr>
            <w:tcW w:type="dxa" w:w="170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Indexed relations</w:t>
            </w:r>
          </w:p>
        </w:tc>
        <w:tc>
          <w:tcPr>
            <w:tcW w:type="dxa" w:w="372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Indexes cover user/project, project/test-case, test-case/run, run/page and bug lookup paths.</w:t>
            </w:r>
          </w:p>
        </w:tc>
        <w:tc>
          <w:tcPr>
            <w:tcW w:type="dxa" w:w="3940"/>
            <w:tcMar>
              <w:top w:w="80" w:type="dxa"/>
              <w:start w:w="120" w:type="dxa"/>
              <w:bottom w:w="80" w:type="dxa"/>
              <w:end w:w="120" w:type="dxa"/>
            </w:tcMar>
            <w:vAlign w:val="center"/>
          </w:tcPr>
          <w:p>
            <w:pPr>
              <w:keepNext w:val="0"/>
              <w:keepLines w:val="0"/>
              <w:spacing w:before="0" w:after="0" w:line="252" w:lineRule="auto"/>
            </w:pPr>
            <w:r>
              <w:rPr>
                <w:rFonts w:ascii="Calibri" w:hAnsi="Calibri"/>
                <w:color w:val="0B2545"/>
                <w:sz w:val="20"/>
              </w:rPr>
              <w:t>Supports the joins and recent-run queries used by ownership checks, dashboards and reports.</w:t>
            </w:r>
          </w:p>
        </w:tc>
      </w:tr>
    </w:tbl>
    <w:p>
      <w:pPr>
        <w:spacing w:after="0"/>
      </w:pPr>
    </w:p>
    <w:p>
      <w:pPr>
        <w:pStyle w:val="Heading2"/>
        <w:keepNext/>
      </w:pPr>
      <w:r>
        <w:t>Database and Query Efficiency</w:t>
      </w:r>
    </w:p>
    <w:p>
      <w:pPr>
        <w:keepNext w:val="0"/>
        <w:keepLines/>
        <w:spacing w:before="0" w:after="140" w:line="264" w:lineRule="auto"/>
      </w:pPr>
      <w:r>
        <w:rPr>
          <w:rFonts w:ascii="Calibri" w:hAnsi="Calibri"/>
          <w:color w:val="0B2545"/>
          <w:sz w:val="22"/>
        </w:rPr>
        <w:t>The relational schema uses primary keys for each record, foreign keys to keep linked data consistent and indexes that match the application's most common access paths. Examples include indexes on project ownership, test cases by project, test runs by test case and run time, crawled pages by run, and bugs by test case, assignee and status. These choices reduce the amount of data scanned when a user opens a dashboard, a report or a project-specific test list.</w:t>
      </w:r>
    </w:p>
    <w:p>
      <w:pPr>
        <w:keepNext w:val="0"/>
        <w:keepLines/>
        <w:spacing w:before="0" w:after="140" w:line="264" w:lineRule="auto"/>
      </w:pPr>
      <w:r>
        <w:rPr>
          <w:rFonts w:ascii="Calibri" w:hAnsi="Calibri"/>
          <w:color w:val="0B2545"/>
          <w:sz w:val="22"/>
        </w:rPr>
        <w:t>Report queries also use bounded result sets where a full historical scan is not needed. Recent health information is taken from a limited set of runs, and dashboard lists use ordered LIMIT queries. This keeps everyday screens responsive while preserving detailed records in the database for targeted review.</w:t>
      </w:r>
    </w:p>
    <w:p>
      <w:pPr>
        <w:pStyle w:val="Heading2"/>
        <w:keepNext/>
      </w:pPr>
      <w:r>
        <w:t>Maintainability as an Efficiency Measure</w:t>
      </w:r>
    </w:p>
    <w:p>
      <w:pPr>
        <w:keepNext w:val="0"/>
        <w:keepLines/>
        <w:spacing w:before="0" w:after="140" w:line="264" w:lineRule="auto"/>
      </w:pPr>
      <w:r>
        <w:rPr>
          <w:rFonts w:ascii="Calibri" w:hAnsi="Calibri"/>
          <w:color w:val="0B2545"/>
          <w:sz w:val="22"/>
        </w:rPr>
        <w:t>Efficiency is not only runtime speed. The codebase avoids repeating major cross-cutting behaviour by centralising configuration, authentication helpers, API request modules and background-job handling. Modular routes make a change to reporting, test cases or runner logic less likely to affect unrelated features. This reduces development and debugging effort as the platform grows.</w:t>
      </w:r>
    </w:p>
    <w:p>
      <w:pPr>
        <w:keepNext w:val="0"/>
        <w:keepLines/>
        <w:spacing w:before="0" w:after="140" w:line="264" w:lineRule="auto"/>
      </w:pPr>
      <w:r>
        <w:rPr>
          <w:rFonts w:ascii="Calibri" w:hAnsi="Calibri"/>
          <w:color w:val="0B2545"/>
          <w:sz w:val="22"/>
        </w:rPr>
        <w:t>The runner also makes coverage limits explicit in its output. A capped inspection is recorded as limited rather than silently presented as a complete check. This is an important engineering efficiency: it bounds cost without overstating the confidence of the result.</w:t>
      </w:r>
    </w:p>
    <w:p>
      <w:pPr>
        <w:pStyle w:val="Heading2"/>
        <w:keepNext/>
      </w:pPr>
      <w:r>
        <w:t>Current Trade-Offs</w:t>
      </w:r>
    </w:p>
    <w:p>
      <w:pPr>
        <w:keepNext w:val="0"/>
        <w:keepLines/>
        <w:spacing w:before="80" w:after="200" w:line="264" w:lineRule="auto"/>
        <w:shd w:fill="F4F6F9"/>
        <w:pBdr>
          <w:top w:val="single" w:sz="4" w:space="8" w:color="C9D5E1"/>
          <w:left w:val="single" w:sz="4" w:space="8" w:color="C9D5E1"/>
          <w:bottom w:val="single" w:sz="4" w:space="8" w:color="C9D5E1"/>
          <w:right w:val="single" w:sz="4" w:space="8" w:color="C9D5E1"/>
        </w:pBdr>
      </w:pPr>
      <w:r>
        <w:rPr>
          <w:rFonts w:ascii="Calibri" w:hAnsi="Calibri"/>
          <w:b/>
          <w:color w:val="1F4D78"/>
          <w:sz w:val="21"/>
        </w:rPr>
        <w:t xml:space="preserve">Scale boundary. </w:t>
      </w:r>
      <w:r>
        <w:rPr>
          <w:rFonts w:ascii="Calibri" w:hAnsi="Calibri"/>
          <w:color w:val="0B2545"/>
          <w:sz w:val="21"/>
        </w:rPr>
        <w:t>The current asynchronous job manager stores job state in memory and is designed for a small, single-process deployment. It improves responsiveness for the present architecture, but durable multi-server scale would require shared job storage and a dedicated worker system.</w:t>
      </w:r>
    </w:p>
    <w:p>
      <w:pPr>
        <w:keepNext w:val="0"/>
        <w:keepLines/>
        <w:spacing w:before="0" w:after="140" w:line="264" w:lineRule="auto"/>
      </w:pPr>
      <w:r>
        <w:rPr>
          <w:rFonts w:ascii="Calibri" w:hAnsi="Calibri"/>
          <w:color w:val="0B2545"/>
          <w:sz w:val="22"/>
        </w:rPr>
        <w:t>This is a deliberate trade-off between simplicity and scale. The existing design is suitable for bounded concurrent QA work and keeps the execution model understandable. A future distributed queue can be introduced when workload or deployment requirements justify the additional operational complexity.</w:t>
      </w:r>
    </w:p>
    <w:p>
      <w:pPr>
        <w:pStyle w:val="Heading2"/>
        <w:keepNext/>
      </w:pPr>
      <w:r>
        <w:t>Efficiency Conclusion</w:t>
      </w:r>
    </w:p>
    <w:p>
      <w:pPr>
        <w:keepNext w:val="0"/>
        <w:keepLines/>
        <w:spacing w:before="0" w:after="140" w:line="264" w:lineRule="auto"/>
      </w:pPr>
      <w:r>
        <w:rPr>
          <w:rFonts w:ascii="Calibri" w:hAnsi="Calibri"/>
          <w:color w:val="0B2545"/>
          <w:sz w:val="22"/>
        </w:rPr>
        <w:t>QA Platform uses clear module boundaries, parameterised data access, indexed relationships, bounded browser work and asynchronous execution to keep its core workflows practical on a single application server. The implementation favours predictable resource use and traceable QA records over premature distributed complexity, while leaving a clear path for future scaling when it becomes necessary.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right"/>
    </w:pPr>
    <w:r>
      <w:rPr>
        <w:rFonts w:ascii="Calibri" w:hAnsi="Calibri"/>
        <w:color w:val="5A6872"/>
        <w:sz w:val="17"/>
      </w:rPr>
      <w:t xml:space="preserve">PROJECT REPORT SUBMISSION  |  PAGE </w:t>
    </w:r>
    <w:r>
      <w:rPr>
        <w:rFonts w:ascii="Calibri" w:hAnsi="Calibri"/>
        <w:color w:val="5A6872"/>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right"/>
    </w:pPr>
    <w:r>
      <w:rPr>
        <w:rFonts w:ascii="Calibri" w:hAnsi="Calibri"/>
        <w:b/>
        <w:color w:val="5A6872"/>
        <w:sz w:val="17"/>
      </w:rPr>
      <w:t>QA PLATFORM  |  IMPLEMENTATION APPROACH AND CODE EFFICIENCY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Platform - Implementation Approach and Code Efficiency</dc:title>
  <dc:subject>Project Report Submission: Sections 5.1, 5.2 and 5.2.1</dc:subject>
  <dc:creator>QA Platform Project Team</dc:creator>
  <cp:keywords>QA Platform, implementation approach, coding details, code efficiency</cp:keywords>
  <dc:description>generated by python-docx</dc:description>
  <cp:lastModifiedBy/>
  <cp:revision>1</cp:revision>
  <dcterms:created xsi:type="dcterms:W3CDTF">2013-12-23T23:15:00Z</dcterms:created>
  <dcterms:modified xsi:type="dcterms:W3CDTF">2013-12-23T23:15:00Z</dcterms:modified>
  <cp:category/>
</cp:coreProperties>
</file>