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 MAY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NM2023TMID07782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Crime Vision: Advanced Crime Classification with Deep Learning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2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3877">
          <v:rect xmlns:o="urn:schemas-microsoft-com:office:office" xmlns:v="urn:schemas-microsoft-com:vml" id="rectole0000000000" style="width:433.200000pt;height:19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of the voice patient diary sample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https://aws.amazon.com/blogs/industries/voice-applications-in-clinical-research-powered-by-ai-on-aws-part-1-architecture-and-design-considerations/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ws.amazon.com/blogs/industries/voice-applications-in-clinical-research-powered-by-ai-on-aws-part-1-architecture-and-design-considerations/" Id="docRId2" Type="http://schemas.openxmlformats.org/officeDocument/2006/relationships/hyperlink" /><Relationship Target="styles.xml" Id="docRId4" Type="http://schemas.openxmlformats.org/officeDocument/2006/relationships/styles" /></Relationships>
</file>